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D029A" w14:textId="77777777" w:rsidR="007C4598" w:rsidRDefault="007C4598">
      <w:pPr>
        <w:spacing w:after="800"/>
      </w:pPr>
    </w:p>
    <w:p w14:paraId="6ED9C72D" w14:textId="77777777" w:rsidR="007C4598" w:rsidRPr="005C4560" w:rsidRDefault="00000000">
      <w:pPr>
        <w:spacing w:after="200"/>
        <w:jc w:val="center"/>
        <w:rPr>
          <w:sz w:val="48"/>
          <w:szCs w:val="48"/>
        </w:rPr>
      </w:pPr>
      <w:r w:rsidRPr="005C4560">
        <w:rPr>
          <w:b/>
          <w:bCs/>
          <w:color w:val="16264B"/>
          <w:sz w:val="48"/>
          <w:szCs w:val="48"/>
        </w:rPr>
        <w:t>PROGETTO «PSICOLOGO DI BASE» REGIONE PUGLIA</w:t>
      </w:r>
    </w:p>
    <w:p w14:paraId="33BB0581" w14:textId="77777777" w:rsidR="007C4598" w:rsidRDefault="007C4598">
      <w:pPr>
        <w:pBdr>
          <w:bottom w:val="single" w:sz="6" w:space="1" w:color="C49A48"/>
        </w:pBdr>
        <w:spacing w:after="200"/>
      </w:pPr>
    </w:p>
    <w:p w14:paraId="2817AF5C" w14:textId="25E9E4EF" w:rsidR="007C4598" w:rsidRDefault="00000000">
      <w:pPr>
        <w:spacing w:after="160"/>
        <w:jc w:val="center"/>
      </w:pPr>
      <w:r>
        <w:rPr>
          <w:b/>
          <w:bCs/>
          <w:color w:val="C49A48"/>
          <w:sz w:val="36"/>
          <w:szCs w:val="36"/>
        </w:rPr>
        <w:t>DOCUMENTO UNICO INTEGRALE</w:t>
      </w:r>
    </w:p>
    <w:p w14:paraId="2314C172" w14:textId="77777777" w:rsidR="005C4560" w:rsidRDefault="005C4560" w:rsidP="003C3578">
      <w:pPr>
        <w:spacing w:after="120"/>
        <w:rPr>
          <w:i/>
          <w:iCs/>
          <w:color w:val="444444"/>
          <w:sz w:val="20"/>
          <w:szCs w:val="20"/>
        </w:rPr>
      </w:pPr>
    </w:p>
    <w:p w14:paraId="3F143B02" w14:textId="77777777" w:rsidR="005C4560" w:rsidRDefault="005C4560">
      <w:pPr>
        <w:spacing w:after="120"/>
        <w:jc w:val="center"/>
        <w:rPr>
          <w:i/>
          <w:iCs/>
          <w:color w:val="444444"/>
          <w:sz w:val="20"/>
          <w:szCs w:val="20"/>
        </w:rPr>
      </w:pPr>
    </w:p>
    <w:p w14:paraId="5BDC85EB" w14:textId="77777777" w:rsidR="005C4560" w:rsidRDefault="005C4560">
      <w:pPr>
        <w:spacing w:after="120"/>
        <w:jc w:val="center"/>
      </w:pPr>
    </w:p>
    <w:p w14:paraId="38D7E43F" w14:textId="4D5C0DA4" w:rsidR="00F4785E" w:rsidRPr="00F4785E" w:rsidRDefault="00000000" w:rsidP="00F4785E">
      <w:pPr>
        <w:spacing w:after="400"/>
        <w:jc w:val="center"/>
        <w:rPr>
          <w:color w:val="444444"/>
          <w:sz w:val="20"/>
          <w:szCs w:val="20"/>
        </w:rPr>
      </w:pPr>
      <w:r>
        <w:rPr>
          <w:color w:val="444444"/>
          <w:sz w:val="20"/>
          <w:szCs w:val="20"/>
        </w:rPr>
        <w:t xml:space="preserve">Quindici parti e cinque appendici · Telaio HTA · </w:t>
      </w:r>
      <w:proofErr w:type="spellStart"/>
      <w:r>
        <w:rPr>
          <w:color w:val="444444"/>
          <w:sz w:val="20"/>
          <w:szCs w:val="20"/>
        </w:rPr>
        <w:t>Five</w:t>
      </w:r>
      <w:proofErr w:type="spellEnd"/>
      <w:r>
        <w:rPr>
          <w:color w:val="444444"/>
          <w:sz w:val="20"/>
          <w:szCs w:val="20"/>
        </w:rPr>
        <w:t xml:space="preserve"> Case Model · CHEERS 2022 · criteri OCSE-DAC</w:t>
      </w:r>
    </w:p>
    <w:p w14:paraId="5336F1F1" w14:textId="77777777" w:rsidR="007C4598" w:rsidRDefault="007C4598">
      <w:pPr>
        <w:pBdr>
          <w:bottom w:val="single" w:sz="6" w:space="1" w:color="16264B"/>
        </w:pBdr>
        <w:spacing w:after="200"/>
      </w:pPr>
    </w:p>
    <w:p w14:paraId="7DEC7AA5" w14:textId="360A717F" w:rsidR="007C4598" w:rsidRDefault="007C4598">
      <w:pPr>
        <w:spacing w:before="200" w:after="100"/>
        <w:jc w:val="center"/>
      </w:pPr>
    </w:p>
    <w:p w14:paraId="486BAD26" w14:textId="77777777" w:rsidR="003C3578" w:rsidRDefault="003C3578">
      <w:pPr>
        <w:spacing w:before="200" w:after="100"/>
        <w:jc w:val="center"/>
      </w:pPr>
    </w:p>
    <w:p w14:paraId="742A12CF" w14:textId="60B92EA3" w:rsidR="007C4598" w:rsidRDefault="003C3578">
      <w:pPr>
        <w:spacing w:after="100"/>
        <w:jc w:val="center"/>
      </w:pPr>
      <w:r>
        <w:rPr>
          <w:b/>
          <w:bCs/>
          <w:color w:val="16264B"/>
          <w:sz w:val="28"/>
          <w:szCs w:val="28"/>
        </w:rPr>
        <w:t xml:space="preserve">Dott. </w:t>
      </w:r>
      <w:r w:rsidR="00000000">
        <w:rPr>
          <w:b/>
          <w:bCs/>
          <w:color w:val="16264B"/>
          <w:sz w:val="28"/>
          <w:szCs w:val="28"/>
        </w:rPr>
        <w:t>Luigi De Michele</w:t>
      </w:r>
    </w:p>
    <w:p w14:paraId="34E53745" w14:textId="344E33B4" w:rsidR="007C4598" w:rsidRDefault="007C4598" w:rsidP="003C3578">
      <w:pPr>
        <w:spacing w:after="100"/>
        <w:rPr>
          <w:color w:val="444444"/>
          <w:sz w:val="20"/>
          <w:szCs w:val="20"/>
        </w:rPr>
      </w:pPr>
    </w:p>
    <w:p w14:paraId="3C4856F8" w14:textId="77777777" w:rsidR="003C3578" w:rsidRDefault="003C3578" w:rsidP="003C3578">
      <w:pPr>
        <w:spacing w:after="100"/>
      </w:pPr>
    </w:p>
    <w:p w14:paraId="5886223D" w14:textId="77777777" w:rsidR="007C4598" w:rsidRDefault="007C4598">
      <w:pPr>
        <w:pBdr>
          <w:bottom w:val="single" w:sz="6" w:space="1" w:color="C49A48"/>
        </w:pBdr>
        <w:spacing w:after="200"/>
      </w:pPr>
    </w:p>
    <w:p w14:paraId="2CDC65A3" w14:textId="77777777" w:rsidR="007C4598" w:rsidRDefault="00000000">
      <w:pPr>
        <w:spacing w:before="200" w:after="100"/>
        <w:jc w:val="center"/>
      </w:pPr>
      <w:r>
        <w:rPr>
          <w:b/>
          <w:bCs/>
          <w:color w:val="16264B"/>
        </w:rPr>
        <w:t>Giugno 2026</w:t>
      </w:r>
    </w:p>
    <w:p w14:paraId="1E33F223" w14:textId="77777777" w:rsidR="007C4598" w:rsidRDefault="00000000">
      <w:pPr>
        <w:spacing w:after="100"/>
        <w:jc w:val="center"/>
      </w:pPr>
      <w:r>
        <w:rPr>
          <w:color w:val="555555"/>
          <w:sz w:val="20"/>
          <w:szCs w:val="20"/>
        </w:rPr>
        <w:t>Capurso (BA) — Regione Puglia</w:t>
      </w:r>
    </w:p>
    <w:p w14:paraId="49DCECF9" w14:textId="77777777" w:rsidR="007C4598" w:rsidRDefault="007C4598">
      <w:pPr>
        <w:sectPr w:rsidR="007C4598">
          <w:pgSz w:w="11906" w:h="16838"/>
          <w:pgMar w:top="1440" w:right="1440" w:bottom="1440" w:left="1440" w:header="708" w:footer="708" w:gutter="0"/>
          <w:cols w:space="720"/>
          <w:docGrid w:linePitch="360"/>
        </w:sectPr>
      </w:pPr>
    </w:p>
    <w:p w14:paraId="3B7BF881" w14:textId="77777777" w:rsidR="007C4598" w:rsidRDefault="00000000">
      <w:r>
        <w:br w:type="page"/>
      </w:r>
    </w:p>
    <w:p w14:paraId="1DF943DC" w14:textId="77777777" w:rsidR="007C4598" w:rsidRDefault="00000000">
      <w:pPr>
        <w:pStyle w:val="Titolo1"/>
        <w:pageBreakBefore/>
      </w:pPr>
      <w:r>
        <w:rPr>
          <w:sz w:val="22"/>
          <w:szCs w:val="22"/>
        </w:rPr>
        <w:t>INDICE GENERALE</w:t>
      </w:r>
    </w:p>
    <w:p w14:paraId="7EACFDF9" w14:textId="77777777" w:rsidR="007C4598" w:rsidRDefault="007C4598">
      <w:pPr>
        <w:pBdr>
          <w:bottom w:val="single" w:sz="6" w:space="1" w:color="C49A48"/>
        </w:pBdr>
        <w:spacing w:after="200"/>
      </w:pPr>
    </w:p>
    <w:p w14:paraId="4D983C5B" w14:textId="77777777" w:rsidR="007C4598" w:rsidRDefault="007C4598">
      <w:pPr>
        <w:spacing w:after="200"/>
      </w:pPr>
    </w:p>
    <w:p w14:paraId="6450557C" w14:textId="77777777" w:rsidR="007C4598" w:rsidRDefault="00000000">
      <w:r>
        <w:rPr>
          <w:b/>
          <w:bCs/>
          <w:color w:val="16264B"/>
        </w:rPr>
        <w:t xml:space="preserve">Parte I — </w:t>
      </w:r>
      <w:r>
        <w:rPr>
          <w:color w:val="222222"/>
        </w:rPr>
        <w:t>Quadro, mandato, metodo e perimetro integrale</w:t>
      </w:r>
    </w:p>
    <w:p w14:paraId="78EC5B7F" w14:textId="77777777" w:rsidR="007C4598" w:rsidRDefault="00000000">
      <w:r>
        <w:rPr>
          <w:b/>
          <w:bCs/>
          <w:color w:val="16264B"/>
        </w:rPr>
        <w:t xml:space="preserve">Parte II — </w:t>
      </w:r>
      <w:r>
        <w:rPr>
          <w:color w:val="222222"/>
        </w:rPr>
        <w:t>Il bisogno e il contesto multidimensionale in Puglia</w:t>
      </w:r>
    </w:p>
    <w:p w14:paraId="1E7F1518" w14:textId="77777777" w:rsidR="007C4598" w:rsidRDefault="00000000">
      <w:r>
        <w:rPr>
          <w:b/>
          <w:bCs/>
          <w:color w:val="16264B"/>
        </w:rPr>
        <w:t xml:space="preserve">Parte III — </w:t>
      </w:r>
      <w:r>
        <w:rPr>
          <w:color w:val="222222"/>
        </w:rPr>
        <w:t>L'architettura delle figure a cascata gerarchica piramidale</w:t>
      </w:r>
    </w:p>
    <w:p w14:paraId="0C58FA3C" w14:textId="77777777" w:rsidR="007C4598" w:rsidRDefault="00000000">
      <w:r>
        <w:rPr>
          <w:b/>
          <w:bCs/>
          <w:color w:val="16264B"/>
        </w:rPr>
        <w:t xml:space="preserve">Parte IV — </w:t>
      </w:r>
      <w:r>
        <w:rPr>
          <w:color w:val="222222"/>
        </w:rPr>
        <w:t>Il modello organizzativo integrato e le leve abilitanti</w:t>
      </w:r>
    </w:p>
    <w:p w14:paraId="4C849255" w14:textId="77777777" w:rsidR="007C4598" w:rsidRDefault="00000000">
      <w:r>
        <w:rPr>
          <w:b/>
          <w:bCs/>
          <w:color w:val="16264B"/>
        </w:rPr>
        <w:t xml:space="preserve">Parte V — </w:t>
      </w:r>
      <w:r>
        <w:rPr>
          <w:color w:val="222222"/>
        </w:rPr>
        <w:t>La formazione del personale: le quattro modalità, singole e congiunte</w:t>
      </w:r>
    </w:p>
    <w:p w14:paraId="14EEAC1C" w14:textId="77777777" w:rsidR="007C4598" w:rsidRDefault="00000000">
      <w:r>
        <w:rPr>
          <w:b/>
          <w:bCs/>
          <w:color w:val="16264B"/>
        </w:rPr>
        <w:t xml:space="preserve">Parte VI — </w:t>
      </w:r>
      <w:r>
        <w:rPr>
          <w:color w:val="222222"/>
        </w:rPr>
        <w:t>Efficacia, evidenza e meccanismi di impatto</w:t>
      </w:r>
    </w:p>
    <w:p w14:paraId="234D70DC" w14:textId="77777777" w:rsidR="007C4598" w:rsidRDefault="00000000">
      <w:r>
        <w:rPr>
          <w:b/>
          <w:bCs/>
          <w:color w:val="16264B"/>
        </w:rPr>
        <w:t xml:space="preserve">Parte VII — </w:t>
      </w:r>
      <w:r>
        <w:rPr>
          <w:color w:val="222222"/>
        </w:rPr>
        <w:t>Costi diretti (rinegoziazione integrale)</w:t>
      </w:r>
    </w:p>
    <w:p w14:paraId="6CEF74B9" w14:textId="77777777" w:rsidR="007C4598" w:rsidRDefault="00000000">
      <w:r>
        <w:rPr>
          <w:b/>
          <w:bCs/>
          <w:color w:val="16264B"/>
        </w:rPr>
        <w:t xml:space="preserve">Parte VIII — </w:t>
      </w:r>
      <w:r>
        <w:rPr>
          <w:color w:val="222222"/>
        </w:rPr>
        <w:t>Benefici e risparmi diretti (rinegoziazione integrale)</w:t>
      </w:r>
    </w:p>
    <w:p w14:paraId="395DBE04" w14:textId="77777777" w:rsidR="007C4598" w:rsidRDefault="00000000">
      <w:r>
        <w:rPr>
          <w:b/>
          <w:bCs/>
          <w:color w:val="16264B"/>
        </w:rPr>
        <w:t xml:space="preserve">Parte IX — </w:t>
      </w:r>
      <w:r>
        <w:rPr>
          <w:color w:val="222222"/>
        </w:rPr>
        <w:t>Costi e benefici indiretti: il perimetro multidisciplinare integrale</w:t>
      </w:r>
    </w:p>
    <w:p w14:paraId="5C4F6D01" w14:textId="77777777" w:rsidR="007C4598" w:rsidRDefault="00000000">
      <w:r>
        <w:rPr>
          <w:b/>
          <w:bCs/>
          <w:color w:val="16264B"/>
        </w:rPr>
        <w:t xml:space="preserve">Parte X — </w:t>
      </w:r>
      <w:r>
        <w:rPr>
          <w:color w:val="222222"/>
        </w:rPr>
        <w:t>Valutazione economica integrata e saldo consolidato</w:t>
      </w:r>
    </w:p>
    <w:p w14:paraId="6E159920" w14:textId="77777777" w:rsidR="007C4598" w:rsidRDefault="00000000">
      <w:r>
        <w:rPr>
          <w:b/>
          <w:bCs/>
          <w:color w:val="16264B"/>
        </w:rPr>
        <w:t xml:space="preserve">Parte XI — </w:t>
      </w:r>
      <w:r>
        <w:rPr>
          <w:color w:val="222222"/>
        </w:rPr>
        <w:t>Modellazione, incertezza e previsione falsificabile</w:t>
      </w:r>
    </w:p>
    <w:p w14:paraId="4DA051B1" w14:textId="77777777" w:rsidR="007C4598" w:rsidRDefault="00000000">
      <w:r>
        <w:rPr>
          <w:b/>
          <w:bCs/>
          <w:color w:val="16264B"/>
        </w:rPr>
        <w:t xml:space="preserve">Parte XII — </w:t>
      </w:r>
      <w:r>
        <w:rPr>
          <w:color w:val="222222"/>
        </w:rPr>
        <w:t>Equità e impatto distributivo</w:t>
      </w:r>
    </w:p>
    <w:p w14:paraId="1A6AD0E4" w14:textId="77777777" w:rsidR="007C4598" w:rsidRDefault="00000000">
      <w:r>
        <w:rPr>
          <w:b/>
          <w:bCs/>
          <w:color w:val="16264B"/>
        </w:rPr>
        <w:t xml:space="preserve">Parte XIII — </w:t>
      </w:r>
      <w:r>
        <w:rPr>
          <w:color w:val="222222"/>
        </w:rPr>
        <w:t>Profili etico-giuridico-organizzativi</w:t>
      </w:r>
    </w:p>
    <w:p w14:paraId="0EDC6949" w14:textId="77777777" w:rsidR="007C4598" w:rsidRDefault="00000000">
      <w:r>
        <w:rPr>
          <w:b/>
          <w:bCs/>
          <w:color w:val="16264B"/>
        </w:rPr>
        <w:t xml:space="preserve">Parte XIV — </w:t>
      </w:r>
      <w:r>
        <w:rPr>
          <w:color w:val="222222"/>
        </w:rPr>
        <w:t>Attuazione, fattibilità e sostenibilità</w:t>
      </w:r>
    </w:p>
    <w:p w14:paraId="38BFE0AC" w14:textId="77777777" w:rsidR="007C4598" w:rsidRDefault="00000000">
      <w:r>
        <w:rPr>
          <w:b/>
          <w:bCs/>
          <w:color w:val="16264B"/>
        </w:rPr>
        <w:t xml:space="preserve">Parte XV — </w:t>
      </w:r>
      <w:r>
        <w:rPr>
          <w:color w:val="222222"/>
        </w:rPr>
        <w:t>Monitoraggio, valutazione ex-post e sintesi multidimensionale</w:t>
      </w:r>
    </w:p>
    <w:p w14:paraId="341B0771" w14:textId="77777777" w:rsidR="007C4598" w:rsidRDefault="007C4598">
      <w:pPr>
        <w:spacing w:after="200"/>
      </w:pPr>
    </w:p>
    <w:p w14:paraId="0BF9558B" w14:textId="77777777" w:rsidR="007C4598" w:rsidRDefault="007C4598">
      <w:pPr>
        <w:pBdr>
          <w:bottom w:val="single" w:sz="6" w:space="1" w:color="16264B"/>
        </w:pBdr>
        <w:spacing w:after="200"/>
      </w:pPr>
    </w:p>
    <w:p w14:paraId="775360A7" w14:textId="77777777" w:rsidR="007C4598" w:rsidRDefault="00000000">
      <w:r>
        <w:br w:type="page"/>
      </w:r>
    </w:p>
    <w:p w14:paraId="54AFD87C" w14:textId="77777777" w:rsidR="007C4598" w:rsidRDefault="00000000">
      <w:pPr>
        <w:spacing w:before="1200" w:after="200"/>
        <w:jc w:val="center"/>
      </w:pPr>
      <w:r>
        <w:rPr>
          <w:b/>
          <w:bCs/>
          <w:color w:val="C49A48"/>
          <w:sz w:val="64"/>
          <w:szCs w:val="64"/>
        </w:rPr>
        <w:t>PARTE I</w:t>
      </w:r>
    </w:p>
    <w:p w14:paraId="7910E396" w14:textId="4D5536B3" w:rsidR="007C4598" w:rsidRDefault="00000000">
      <w:pPr>
        <w:spacing w:after="600"/>
        <w:jc w:val="center"/>
      </w:pPr>
      <w:r>
        <w:rPr>
          <w:b/>
          <w:bCs/>
          <w:color w:val="16264B"/>
          <w:sz w:val="32"/>
          <w:szCs w:val="32"/>
        </w:rPr>
        <w:t>Quadro, mandato</w:t>
      </w:r>
      <w:r w:rsidR="00C1130B">
        <w:rPr>
          <w:b/>
          <w:bCs/>
          <w:color w:val="16264B"/>
          <w:sz w:val="32"/>
          <w:szCs w:val="32"/>
        </w:rPr>
        <w:t>,</w:t>
      </w:r>
      <w:r>
        <w:rPr>
          <w:b/>
          <w:bCs/>
          <w:color w:val="16264B"/>
          <w:sz w:val="32"/>
          <w:szCs w:val="32"/>
        </w:rPr>
        <w:t xml:space="preserve"> metodo</w:t>
      </w:r>
      <w:r w:rsidR="00C1130B">
        <w:rPr>
          <w:b/>
          <w:bCs/>
          <w:color w:val="16264B"/>
          <w:sz w:val="32"/>
          <w:szCs w:val="32"/>
        </w:rPr>
        <w:t xml:space="preserve">. </w:t>
      </w:r>
    </w:p>
    <w:p w14:paraId="17F7E9D4" w14:textId="77777777" w:rsidR="007C4598" w:rsidRDefault="007C4598">
      <w:pPr>
        <w:pBdr>
          <w:bottom w:val="single" w:sz="6" w:space="1" w:color="C49A48"/>
        </w:pBdr>
        <w:spacing w:after="200"/>
      </w:pPr>
    </w:p>
    <w:p w14:paraId="1CD238EB" w14:textId="7CDBE83B" w:rsidR="007C4598" w:rsidRDefault="00000000">
      <w:pPr>
        <w:jc w:val="both"/>
      </w:pPr>
      <w:r>
        <w:t>Studio Integrale · Psicologo di Base in Puglia · Parte I</w:t>
      </w:r>
    </w:p>
    <w:p w14:paraId="36411ECA" w14:textId="3E3D30B3" w:rsidR="007C4598" w:rsidRDefault="007C4598">
      <w:pPr>
        <w:jc w:val="both"/>
      </w:pPr>
    </w:p>
    <w:p w14:paraId="3EBCCCF3" w14:textId="77777777" w:rsidR="003C3578" w:rsidRDefault="003C3578">
      <w:pPr>
        <w:jc w:val="both"/>
      </w:pPr>
    </w:p>
    <w:p w14:paraId="4D73FC11" w14:textId="77777777" w:rsidR="004B3643" w:rsidRDefault="004B3643">
      <w:pPr>
        <w:jc w:val="both"/>
      </w:pPr>
    </w:p>
    <w:p w14:paraId="2CD5416A" w14:textId="77777777" w:rsidR="004B3643" w:rsidRDefault="004B3643">
      <w:pPr>
        <w:jc w:val="both"/>
      </w:pPr>
    </w:p>
    <w:p w14:paraId="096F80AD" w14:textId="7B01F0EF" w:rsidR="007C4598" w:rsidRDefault="007C4598">
      <w:pPr>
        <w:jc w:val="both"/>
      </w:pPr>
    </w:p>
    <w:p w14:paraId="15A812D7" w14:textId="77777777" w:rsidR="007C4598" w:rsidRDefault="007C4598"/>
    <w:p w14:paraId="6BE7791A" w14:textId="77777777" w:rsidR="007C4598" w:rsidRDefault="00000000">
      <w:pPr>
        <w:pStyle w:val="Titolo2"/>
        <w:spacing w:before="200" w:after="100"/>
      </w:pPr>
      <w:r>
        <w:rPr>
          <w:sz w:val="22"/>
          <w:szCs w:val="22"/>
        </w:rPr>
        <w:t>Premessa</w:t>
      </w:r>
    </w:p>
    <w:p w14:paraId="2A1DC0B9" w14:textId="77777777" w:rsidR="007C4598" w:rsidRDefault="007C4598"/>
    <w:p w14:paraId="527750CC" w14:textId="0E18D879" w:rsidR="007C4598" w:rsidRDefault="00000000">
      <w:pPr>
        <w:jc w:val="both"/>
      </w:pPr>
      <w:r>
        <w:t xml:space="preserve">La presente parte apre lo studio dedicato alla riforma del Servizio di Psicologia di Base </w:t>
      </w:r>
      <w:r w:rsidR="004B3643">
        <w:t>in</w:t>
      </w:r>
      <w:r>
        <w:t xml:space="preserve"> Puglia e ne costituisce </w:t>
      </w:r>
      <w:r w:rsidR="004B3643">
        <w:t>le più essenziali</w:t>
      </w:r>
      <w:r>
        <w:t xml:space="preserve"> </w:t>
      </w:r>
      <w:r w:rsidR="004B3643">
        <w:t>fondamenta</w:t>
      </w:r>
      <w:r>
        <w:t xml:space="preserve">. Essa non sviluppa ancora stime, ma ne predispone le condizioni: enuncia lo scopo dell’opera </w:t>
      </w:r>
      <w:r w:rsidR="004B3643">
        <w:t>ed</w:t>
      </w:r>
      <w:r>
        <w:t xml:space="preserve"> il quesito al quale essa intende rispondere; fissa il metodo con </w:t>
      </w:r>
      <w:r w:rsidR="004B3643">
        <w:t>il quale</w:t>
      </w:r>
      <w:r>
        <w:t xml:space="preserve"> ogni stima successiva sarà prodotta; stabilisce le regole della rinegoziazione dei costi e dei benefici, diretti </w:t>
      </w:r>
      <w:r w:rsidR="004B3643">
        <w:t>ed</w:t>
      </w:r>
      <w:r>
        <w:t xml:space="preserve"> indiretti;</w:t>
      </w:r>
      <w:r w:rsidR="004C3E2F">
        <w:t xml:space="preserve"> tratta dei</w:t>
      </w:r>
      <w:r>
        <w:t xml:space="preserve"> </w:t>
      </w:r>
      <w:r w:rsidR="004C3E2F">
        <w:t>principii</w:t>
      </w:r>
      <w:r>
        <w:t xml:space="preserve"> che </w:t>
      </w:r>
      <w:r w:rsidR="004C3E2F">
        <w:t>ordinano</w:t>
      </w:r>
      <w:r>
        <w:t xml:space="preserve"> </w:t>
      </w:r>
      <w:r w:rsidR="004C3E2F">
        <w:t>l’intera ricerca</w:t>
      </w:r>
      <w:r>
        <w:t>. La distinzione tra ciò che la parte fa e ciò che le parti seguenti faranno</w:t>
      </w:r>
      <w:r w:rsidR="004C3E2F">
        <w:t>,</w:t>
      </w:r>
      <w:r>
        <w:t xml:space="preserve"> è sostanziale, perché un’analisi che ambisce </w:t>
      </w:r>
      <w:r w:rsidR="00B40730">
        <w:t>ad</w:t>
      </w:r>
      <w:r>
        <w:t xml:space="preserve"> essere insieme rigorosa, multidisciplinare e replicabile non si misura dalla quantità dei suoi risultati, ma dalla solidità </w:t>
      </w:r>
      <w:r w:rsidR="00B40730">
        <w:t>dei</w:t>
      </w:r>
      <w:r>
        <w:t xml:space="preserve"> </w:t>
      </w:r>
      <w:r w:rsidR="00B40730">
        <w:t>processi</w:t>
      </w:r>
      <w:r>
        <w:t xml:space="preserve"> che li </w:t>
      </w:r>
      <w:r w:rsidR="00B40730">
        <w:t>generano</w:t>
      </w:r>
      <w:r>
        <w:t xml:space="preserve"> e dalla coerenza del disegno che li tiene </w:t>
      </w:r>
      <w:r w:rsidR="00B74432">
        <w:t>as</w:t>
      </w:r>
      <w:r>
        <w:t>sieme.</w:t>
      </w:r>
    </w:p>
    <w:p w14:paraId="466388E9" w14:textId="77777777" w:rsidR="007C4598" w:rsidRDefault="007C4598"/>
    <w:p w14:paraId="75C15FC8" w14:textId="28B55146" w:rsidR="007C4598" w:rsidRDefault="00000000">
      <w:pPr>
        <w:jc w:val="both"/>
      </w:pPr>
      <w:r>
        <w:t xml:space="preserve">Il </w:t>
      </w:r>
      <w:r w:rsidR="00A37DE9">
        <w:t>testo</w:t>
      </w:r>
      <w:r>
        <w:t xml:space="preserve"> eredita e prosegue un corpus già esteso, sviluppato</w:t>
      </w:r>
      <w:r w:rsidR="00B74432">
        <w:t>, tanto</w:t>
      </w:r>
      <w:r>
        <w:t xml:space="preserve"> per la Puglia</w:t>
      </w:r>
      <w:r w:rsidR="00B74432">
        <w:t xml:space="preserve">, quanto </w:t>
      </w:r>
      <w:r>
        <w:t xml:space="preserve">per le altre Regioni, e ne adotta il telaio metodologico validato: la composizione delle cornici apicali della valutazione di tecnologia sanitaria, del modello britannico dei cinque casi </w:t>
      </w:r>
      <w:r w:rsidR="00CF2874">
        <w:t>finalizzati a</w:t>
      </w:r>
      <w:r>
        <w:t xml:space="preserve"> </w:t>
      </w:r>
      <w:r w:rsidR="00CF2874">
        <w:t xml:space="preserve">giustificare </w:t>
      </w:r>
      <w:r>
        <w:t xml:space="preserve">gli investimenti pubblici, </w:t>
      </w:r>
      <w:r w:rsidR="00A37DE9">
        <w:t>lo</w:t>
      </w:r>
      <w:r>
        <w:t xml:space="preserve"> standard internazionale di rendicontazione delle valutazioni economiche in sanità e dei criteri di valutazione delle politiche pubbliche </w:t>
      </w:r>
      <w:r w:rsidR="00A37DE9">
        <w:t>elaborati a livello</w:t>
      </w:r>
      <w:r>
        <w:t xml:space="preserve"> internazionale.</w:t>
      </w:r>
    </w:p>
    <w:p w14:paraId="16846DB3" w14:textId="77777777" w:rsidR="007C4598" w:rsidRDefault="007C4598"/>
    <w:p w14:paraId="162DDC03" w14:textId="77777777" w:rsidR="007C4598" w:rsidRDefault="007C4598"/>
    <w:p w14:paraId="434C672C" w14:textId="59D6EEB8" w:rsidR="00F969A1" w:rsidRPr="00F969A1" w:rsidRDefault="00F969A1" w:rsidP="00F969A1">
      <w:pPr>
        <w:pStyle w:val="Titolo3"/>
        <w:numPr>
          <w:ilvl w:val="1"/>
          <w:numId w:val="2"/>
        </w:numPr>
        <w:spacing w:before="200" w:after="100"/>
        <w:rPr>
          <w:color w:val="16264B"/>
          <w:sz w:val="22"/>
          <w:szCs w:val="22"/>
        </w:rPr>
      </w:pPr>
      <w:r>
        <w:rPr>
          <w:color w:val="16264B"/>
          <w:sz w:val="22"/>
          <w:szCs w:val="22"/>
        </w:rPr>
        <w:t>Finalità</w:t>
      </w:r>
    </w:p>
    <w:p w14:paraId="4D62662E" w14:textId="77777777" w:rsidR="007C4598" w:rsidRDefault="007C4598"/>
    <w:p w14:paraId="31F02499" w14:textId="77777777" w:rsidR="007C4598" w:rsidRDefault="007C4598"/>
    <w:p w14:paraId="64B8BE7F" w14:textId="77777777" w:rsidR="007C4598" w:rsidRDefault="00000000">
      <w:pPr>
        <w:jc w:val="both"/>
      </w:pPr>
      <w:r>
        <w:rPr>
          <w:b/>
          <w:bCs/>
        </w:rPr>
        <w:t>Tabella 1.1 — Scomposizione del quesito di valutazione</w:t>
      </w:r>
    </w:p>
    <w:p w14:paraId="1E7101D4"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4513"/>
        <w:gridCol w:w="4513"/>
      </w:tblGrid>
      <w:tr w:rsidR="007C4598" w14:paraId="00832971" w14:textId="77777777">
        <w:tc>
          <w:tcPr>
            <w:tcW w:w="4513"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05FE6DF" w14:textId="77777777" w:rsidR="007C4598" w:rsidRDefault="00000000">
            <w:pPr>
              <w:spacing w:after="40"/>
            </w:pPr>
            <w:r>
              <w:rPr>
                <w:b/>
                <w:bCs/>
                <w:color w:val="FFFFFF"/>
                <w:sz w:val="18"/>
                <w:szCs w:val="18"/>
              </w:rPr>
              <w:t>Elemento</w:t>
            </w:r>
          </w:p>
        </w:tc>
        <w:tc>
          <w:tcPr>
            <w:tcW w:w="4513"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A28F671" w14:textId="77777777" w:rsidR="007C4598" w:rsidRDefault="00000000">
            <w:pPr>
              <w:spacing w:after="40"/>
            </w:pPr>
            <w:r>
              <w:rPr>
                <w:b/>
                <w:bCs/>
                <w:color w:val="FFFFFF"/>
                <w:sz w:val="18"/>
                <w:szCs w:val="18"/>
              </w:rPr>
              <w:t>Definizione assunta nell’opera</w:t>
            </w:r>
          </w:p>
        </w:tc>
      </w:tr>
      <w:tr w:rsidR="007C4598" w14:paraId="7D2DD068"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2D9861A" w14:textId="77777777" w:rsidR="007C4598" w:rsidRDefault="00000000">
            <w:pPr>
              <w:spacing w:after="40"/>
            </w:pPr>
            <w:r>
              <w:t>Popolazione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DFA7A2D" w14:textId="77777777" w:rsidR="007C4598" w:rsidRDefault="00000000">
            <w:pPr>
              <w:spacing w:after="40"/>
            </w:pPr>
            <w:r>
              <w:t>Popolazione residente in Puglia con disturbi mentali comuni di intensità clinicamente rilevante, e sottoinsiemi specifici (età evolutiva, età lavorativa, anziani, soggetti fragili) rilevanti per i singoli ambiti.</w:t>
            </w:r>
          </w:p>
        </w:tc>
      </w:tr>
      <w:tr w:rsidR="007C4598" w14:paraId="7E0C88C8"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1A13199" w14:textId="77777777" w:rsidR="007C4598" w:rsidRDefault="00000000">
            <w:pPr>
              <w:spacing w:after="40"/>
            </w:pPr>
            <w:r>
              <w:t>Intervento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FF8922B" w14:textId="77777777" w:rsidR="007C4598" w:rsidRDefault="00000000">
            <w:pPr>
              <w:spacing w:after="40"/>
            </w:pPr>
            <w:r>
              <w:t>Servizio di Psicologia di Base integrato nelle cure primarie, ai diversi livelli di dimensionamento, potenziato dalle leve abilitanti organizzative, digitali e formative.</w:t>
            </w:r>
          </w:p>
        </w:tc>
      </w:tr>
      <w:tr w:rsidR="007C4598" w14:paraId="3AA691AC"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1E868F3" w14:textId="77777777" w:rsidR="007C4598" w:rsidRDefault="00000000">
            <w:pPr>
              <w:spacing w:after="40"/>
            </w:pPr>
            <w:r>
              <w:t>Confronto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C0F1BB4" w14:textId="77777777" w:rsidR="007C4598" w:rsidRDefault="00000000">
            <w:pPr>
              <w:spacing w:after="40"/>
            </w:pPr>
            <w:r>
              <w:t>Assetto in assenza del servizio strutturato, ossia la gestione corrente della domanda psichica nei soli studi della medicina generale e nei servizi specialistici.</w:t>
            </w:r>
          </w:p>
        </w:tc>
      </w:tr>
      <w:tr w:rsidR="007C4598" w14:paraId="4BEC41F1"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32F3FB0" w14:textId="77777777" w:rsidR="007C4598" w:rsidRDefault="00000000">
            <w:pPr>
              <w:spacing w:after="40"/>
            </w:pPr>
            <w:r>
              <w:t>Esiti</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6AB125C" w14:textId="77777777" w:rsidR="007C4598" w:rsidRDefault="00000000">
            <w:pPr>
              <w:spacing w:after="40"/>
            </w:pPr>
            <w:r>
              <w:t>Esiti clinici (riduzione dei sintomi, esiti misurati seduta per seduta), esiti economici diretti (spesa sanitaria) ed esiti indiretti per ciascun ambito del perimetro integrale.</w:t>
            </w:r>
          </w:p>
        </w:tc>
      </w:tr>
      <w:tr w:rsidR="007C4598" w14:paraId="55A5EDDF"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1AA9151" w14:textId="77777777" w:rsidR="007C4598" w:rsidRDefault="00000000">
            <w:pPr>
              <w:spacing w:after="40"/>
            </w:pPr>
            <w:r>
              <w:t>Prospettiva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795B74D" w14:textId="77777777" w:rsidR="007C4598" w:rsidRDefault="00000000">
            <w:pPr>
              <w:spacing w:after="40"/>
            </w:pPr>
            <w:r>
              <w:t>Prospettiva integrale: bilancio sanitario regionale per le grandezze dirette; collettività e finanza pubblica allargata per le grandezze indirette, mantenute distinte.</w:t>
            </w:r>
          </w:p>
        </w:tc>
      </w:tr>
      <w:tr w:rsidR="007C4598" w14:paraId="14D80E6C"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9A3693D" w14:textId="77777777" w:rsidR="007C4598" w:rsidRDefault="00000000">
            <w:pPr>
              <w:spacing w:after="40"/>
            </w:pPr>
            <w:r>
              <w:t>Orizzonte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D093235" w14:textId="77777777" w:rsidR="007C4598" w:rsidRDefault="00000000">
            <w:pPr>
              <w:spacing w:after="40"/>
            </w:pPr>
            <w:r>
              <w:t>Orizzonte pluriennale, con proiezioni a regime e analisi di sensibilità, in forma prudenziale e falsificabile.</w:t>
            </w:r>
          </w:p>
        </w:tc>
      </w:tr>
    </w:tbl>
    <w:p w14:paraId="3FADFFC1" w14:textId="77777777" w:rsidR="007C4598" w:rsidRDefault="007C4598"/>
    <w:p w14:paraId="113963A3" w14:textId="77777777" w:rsidR="007C4598" w:rsidRDefault="00000000">
      <w:pPr>
        <w:jc w:val="both"/>
      </w:pPr>
      <w:r>
        <w:t>La prospettiva merita una precisazione, perché da essa dipende la coerenza dell’intera rinegoziazione. L’opera adotta una prospettiva integrale, ma articolata: le grandezze dirette sono valutate dal punto di vista del bilancio sanitario regionale, che è il soggetto che sostiene i costi del servizio e che beneficia dei risparmi sanitari; le grandezze indirette sono valutate dal punto di vista della collettività e della finanza pubblica allargata, che comprende il sistema previdenziale, il mercato del lavoro, la scuola, la giustizia e l’apparato amministrativo. Le due prospettive non sono sommate in modo indistinto, ma mantenute su piani separati fino al saldo finale, dove la loro composizione è esplicitata e governata dalla regola di non duplicazione. Questa articolazione è ciò che consente all’opera di essere insieme integrale e prudente: integrale perché nessun ambito è trascurato, prudente perché nessun beneficio è contato due volte.7</w:t>
      </w:r>
    </w:p>
    <w:p w14:paraId="61B0137E" w14:textId="77777777" w:rsidR="007C4598" w:rsidRDefault="007C4598"/>
    <w:p w14:paraId="3AE8BA37" w14:textId="77777777" w:rsidR="007C4598" w:rsidRDefault="00000000">
      <w:pPr>
        <w:jc w:val="both"/>
      </w:pPr>
      <w:r>
        <w:t>Il mandato e il quesito così definiti determinano anche gli standard ai quali l’opera si vincola. La valutazione di tecnologia sanitaria fornisce la cornice generale entro cui il problema di salute, l’intervento, le evidenze e le conseguenze economiche e organizzative sono ordinati; il modello dei cinque casi fornisce la struttura di giustificazione dell’investimento pubblico, che impone di argomentare congiuntamente la dimensione strategica, economica, commerciale, finanziaria e gestionale della riforma; lo standard internazionale di rendicontazione delle valutazioni economiche garantisce la trasparenza e la replicabilità delle stime; i criteri di valutazione delle politiche pubbliche assicurano che l’analisi consideri la rilevanza, la coerenza, l’efficacia, l’efficienza, l’impatto e la sostenibilità della riforma. L’adozione congiunta di questi standard non è un ossequio formale, ma la condizione perché lo studio sia leggibile e contestabile da chi decide.126</w:t>
      </w:r>
    </w:p>
    <w:p w14:paraId="0D3CA9F9" w14:textId="77777777" w:rsidR="007C4598" w:rsidRDefault="007C4598"/>
    <w:p w14:paraId="6B516EB3" w14:textId="77777777" w:rsidR="007C4598" w:rsidRDefault="00000000">
      <w:pPr>
        <w:jc w:val="both"/>
      </w:pPr>
      <w:r>
        <w:t>Da ultimo, lo scopo dell’opera include la sua stessa esemplarità. Poiché il telaio è concepito per essere replicato, lo studio pugliese è al tempo stesso un documento compiuto per la Puglia e il riferimento per la generalizzazione alle altre Regioni: ciò che qui viene fissato — il quesito, gli standard, le regole di separazione, il principio ordinatore — costituisce la parte invariante del modello, mentre i dati epidemiologici, demografici, organizzativi e finanziari costituiscono la parte variabile, che ciascuna Regione fornisce dai propri conti certificati. Questa duplice natura, di documento e di modello, è dichiarata fin dall’inizio perché orienta ogni scelta metodologica successiva.</w:t>
      </w:r>
    </w:p>
    <w:p w14:paraId="2E10C08A" w14:textId="77777777" w:rsidR="007C4598" w:rsidRDefault="007C4598"/>
    <w:p w14:paraId="53B73D2E" w14:textId="77777777" w:rsidR="007C4598" w:rsidRDefault="00000000">
      <w:pPr>
        <w:pStyle w:val="Titolo3"/>
        <w:spacing w:before="200" w:after="100"/>
      </w:pPr>
      <w:r>
        <w:rPr>
          <w:color w:val="16264B"/>
          <w:sz w:val="22"/>
          <w:szCs w:val="22"/>
        </w:rPr>
        <w:t>1.2  Il perimetro integrale e il principio ordinatore della cascata gerarchica piramidale</w:t>
      </w:r>
    </w:p>
    <w:p w14:paraId="37B2FFC1" w14:textId="77777777" w:rsidR="007C4598" w:rsidRDefault="007C4598"/>
    <w:p w14:paraId="690A541F" w14:textId="77777777" w:rsidR="007C4598" w:rsidRDefault="00000000">
      <w:pPr>
        <w:jc w:val="both"/>
      </w:pPr>
      <w:r>
        <w:t>Il perimetro dell’opera è integrale in un senso preciso. Esso comprende, da un lato, tutte le figure professionali, istituzionali ed extra-sanitarie la cui attività è connessa, in modo diretto o indiretto, a quella dello Psicologo di Base; dall’altro, tutti gli ambiti — sanitari ed extra-sanitari — sui quali la riforma produce effetti. Le figure e gli ambiti non sono due elenchi paralleli, ma le due dimensioni di una medesima matrice: ciascuna figura opera entro uno o più ambiti, e ciascun ambito è popolato da una o più figure. La valutazione integrale consiste appunto nel percorrere questa matrice in modo ordinato, attribuendo a ciascuna intersezione gli effetti che le competono, senza lacune e senza sovrapposizioni.</w:t>
      </w:r>
    </w:p>
    <w:p w14:paraId="4C4A0E44" w14:textId="77777777" w:rsidR="007C4598" w:rsidRDefault="007C4598"/>
    <w:p w14:paraId="50121AD9" w14:textId="77777777" w:rsidR="007C4598" w:rsidRDefault="00000000">
      <w:pPr>
        <w:jc w:val="both"/>
      </w:pPr>
      <w:r>
        <w:t>L’ordine con cui la matrice è percorsa non è arbitrario, ed è qui che interviene il principio ordinatore dell’opera. Il principio è quello della cascata gerarchica piramidale: l’analisi muove dallo Psicologo di Base, posto all’apice della piramide, e discende verso le figure e gli attori a esso connessi, ordinandoli secondo due criteri congiunti. Il primo criterio è l’influenza nel progetto, ossia il grado in cui l’attività di ciascuna figura dipende dalla figura dello Psicologo di Base e ne è trasformata; il secondo criterio è la capacità di generare rientro economico o revisione della spesa, ossia l’entità del valore economico — diretto o indiretto — che l’azione della figura, attivata o potenziata dalla riforma, è in grado di liberare. La cascata non è dunque una semplice elencazione discendente, ma una gerarchia di influenza e di valore, che determina la sequenza dell’esposizione e fonda l’ordinamento delle valutazioni economiche delle parti seguenti.</w:t>
      </w:r>
    </w:p>
    <w:p w14:paraId="619CCFFF" w14:textId="77777777" w:rsidR="007C4598" w:rsidRDefault="007C4598"/>
    <w:p w14:paraId="57E44952" w14:textId="77777777" w:rsidR="007C4598" w:rsidRDefault="00000000">
      <w:pPr>
        <w:jc w:val="both"/>
      </w:pPr>
      <w:proofErr w:type="spellStart"/>
      <w:r>
        <w:rPr>
          <w:i/>
          <w:iCs/>
        </w:rPr>
        <w:t>Infografica</w:t>
      </w:r>
      <w:proofErr w:type="spellEnd"/>
      <w:r>
        <w:rPr>
          <w:i/>
          <w:iCs/>
        </w:rPr>
        <w:t xml:space="preserve"> 1.2 — La cascata gerarchica piramidale: dallo Psicologo di Base alle figure e agli attori connessi, ordinati per influenza nel progetto e capacità di rientro economico. Resa segnaposto; impostazione cromatica </w:t>
      </w:r>
      <w:proofErr w:type="spellStart"/>
      <w:r>
        <w:rPr>
          <w:i/>
          <w:iCs/>
        </w:rPr>
        <w:t>navy</w:t>
      </w:r>
      <w:proofErr w:type="spellEnd"/>
      <w:r>
        <w:rPr>
          <w:i/>
          <w:iCs/>
        </w:rPr>
        <w:t xml:space="preserve"> e gradiente bianco-crema, da finalizzare in </w:t>
      </w:r>
      <w:proofErr w:type="spellStart"/>
      <w:r>
        <w:rPr>
          <w:i/>
          <w:iCs/>
        </w:rPr>
        <w:t>Barlow</w:t>
      </w:r>
      <w:proofErr w:type="spellEnd"/>
      <w:r>
        <w:rPr>
          <w:i/>
          <w:iCs/>
        </w:rPr>
        <w:t xml:space="preserve"> </w:t>
      </w:r>
      <w:proofErr w:type="spellStart"/>
      <w:r>
        <w:rPr>
          <w:i/>
          <w:iCs/>
        </w:rPr>
        <w:t>Semicondensed</w:t>
      </w:r>
      <w:proofErr w:type="spellEnd"/>
      <w:r>
        <w:rPr>
          <w:i/>
          <w:iCs/>
        </w:rPr>
        <w:t>.</w:t>
      </w:r>
    </w:p>
    <w:p w14:paraId="6BDDA6E7" w14:textId="77777777" w:rsidR="007C4598" w:rsidRDefault="007C4598"/>
    <w:p w14:paraId="3158DD23" w14:textId="77777777" w:rsidR="007C4598" w:rsidRDefault="00000000">
      <w:pPr>
        <w:jc w:val="both"/>
      </w:pPr>
      <w:r>
        <w:t>La piramide si articola in cinque livelli, che la tabella seguente espone con la loro funzione e il criterio che ne determina la posizione. Al vertice si colloca lo Psicologo di Base, origine della cascata e figura di massima influenza nel progetto. Al secondo livello si collocano le figure cliniche di primo contatto, la cui attività è immediatamente e quotidianamente trasformata dalla presenza dello psicologo. Al terzo livello si collocano le ulteriori figure sanitarie e socio-sanitarie, che intervengono nella presa in carico in modo più mediato. Al quarto livello si collocano le figure educative e gli attori istituzionali e amministrativi regionali, che governano e finanziano il sistema. Alla base si collocano gli attori extra-sanitari e di sistema, la cui connessione con lo Psicologo di Base è la più indiretta, ma la cui capacità di rientro economico complessivo è, in aggregato, la più ampia, perché coinvolge il sistema previdenziale, il lavoro, la giustizia, l’istruzione e la finanza pubblica nel suo insieme.</w:t>
      </w:r>
    </w:p>
    <w:p w14:paraId="39284CE0" w14:textId="77777777" w:rsidR="007C4598" w:rsidRDefault="007C4598"/>
    <w:p w14:paraId="5A19F9F3" w14:textId="77777777" w:rsidR="007C4598" w:rsidRDefault="00000000">
      <w:pPr>
        <w:jc w:val="both"/>
      </w:pPr>
      <w:r>
        <w:rPr>
          <w:b/>
          <w:bCs/>
        </w:rPr>
        <w:t>Tabella 1.2 — I cinque livelli della cascata gerarchica piramidale</w:t>
      </w:r>
    </w:p>
    <w:p w14:paraId="3196D18B"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346EDB7D"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1F19B6A" w14:textId="77777777" w:rsidR="007C4598" w:rsidRDefault="00000000">
            <w:pPr>
              <w:spacing w:after="40"/>
            </w:pPr>
            <w:r>
              <w:rPr>
                <w:b/>
                <w:bCs/>
                <w:color w:val="FFFFFF"/>
                <w:sz w:val="18"/>
                <w:szCs w:val="18"/>
              </w:rPr>
              <w:t>Livello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CE3E3C9" w14:textId="77777777" w:rsidR="007C4598" w:rsidRDefault="00000000">
            <w:pPr>
              <w:spacing w:after="40"/>
            </w:pPr>
            <w:r>
              <w:rPr>
                <w:b/>
                <w:bCs/>
                <w:color w:val="FFFFFF"/>
                <w:sz w:val="18"/>
                <w:szCs w:val="18"/>
              </w:rPr>
              <w:t>Figure e attori</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DA66B4A" w14:textId="77777777" w:rsidR="007C4598" w:rsidRDefault="00000000">
            <w:pPr>
              <w:spacing w:after="40"/>
            </w:pPr>
            <w:r>
              <w:rPr>
                <w:b/>
                <w:bCs/>
                <w:color w:val="FFFFFF"/>
                <w:sz w:val="18"/>
                <w:szCs w:val="18"/>
              </w:rPr>
              <w:t>Connessione e criterio di posizione</w:t>
            </w:r>
          </w:p>
        </w:tc>
      </w:tr>
      <w:tr w:rsidR="007C4598" w14:paraId="40A368AA"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BE70994" w14:textId="77777777" w:rsidR="007C4598" w:rsidRDefault="00000000">
            <w:pPr>
              <w:spacing w:after="40"/>
            </w:pPr>
            <w:r>
              <w:t>Apice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9672AF7" w14:textId="77777777" w:rsidR="007C4598" w:rsidRDefault="00000000">
            <w:pPr>
              <w:spacing w:after="40"/>
            </w:pPr>
            <w:r>
              <w:t>Psicologo di Base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5E8020C" w14:textId="77777777" w:rsidR="007C4598" w:rsidRDefault="00000000">
            <w:pPr>
              <w:spacing w:after="40"/>
            </w:pPr>
            <w:r>
              <w:t>Origine della cascata; massima influenza nel progetto; attiva e ordina il valore generato a valle.</w:t>
            </w:r>
          </w:p>
        </w:tc>
      </w:tr>
      <w:tr w:rsidR="007C4598" w14:paraId="76496E07"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7F32796" w14:textId="77777777" w:rsidR="007C4598" w:rsidRDefault="00000000">
            <w:pPr>
              <w:spacing w:after="40"/>
            </w:pPr>
            <w:r>
              <w:t>Secondo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6427990" w14:textId="77777777" w:rsidR="007C4598" w:rsidRDefault="00000000">
            <w:pPr>
              <w:spacing w:after="40"/>
            </w:pPr>
            <w:r>
              <w:t>Medico di medicina generale, pediatra di libera scelta, neurologo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F3E5B82" w14:textId="77777777" w:rsidR="007C4598" w:rsidRDefault="00000000">
            <w:pPr>
              <w:spacing w:after="40"/>
            </w:pPr>
            <w:r>
              <w:t>Connessione diretta e quotidiana; la coppia clinica trasforma l’attività di primo contatto.</w:t>
            </w:r>
          </w:p>
        </w:tc>
      </w:tr>
      <w:tr w:rsidR="007C4598" w14:paraId="3BFB056A"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A0F00A5" w14:textId="77777777" w:rsidR="007C4598" w:rsidRDefault="00000000">
            <w:pPr>
              <w:spacing w:after="40"/>
            </w:pPr>
            <w:r>
              <w:t>Terzo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C98AEC2" w14:textId="77777777" w:rsidR="007C4598" w:rsidRDefault="00000000">
            <w:pPr>
              <w:spacing w:after="40"/>
            </w:pPr>
            <w:r>
              <w:t>Infermiere di comunità, psichiatra consulente, assistente sociale, farmacista di comunità, altre figure socio-sanitarie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87502D8" w14:textId="77777777" w:rsidR="007C4598" w:rsidRDefault="00000000">
            <w:pPr>
              <w:spacing w:after="40"/>
            </w:pPr>
            <w:r>
              <w:t>Connessione mediata nella presa in carico; rilevante capacità di contenimento dei costi assistenziali.</w:t>
            </w:r>
          </w:p>
        </w:tc>
      </w:tr>
      <w:tr w:rsidR="007C4598" w14:paraId="0348714B"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80B9165" w14:textId="77777777" w:rsidR="007C4598" w:rsidRDefault="00000000">
            <w:pPr>
              <w:spacing w:after="40"/>
            </w:pPr>
            <w:r>
              <w:t>Quarto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ED59A05" w14:textId="77777777" w:rsidR="007C4598" w:rsidRDefault="00000000">
            <w:pPr>
              <w:spacing w:after="40"/>
            </w:pPr>
            <w:r>
              <w:t>Psicologo scolastico e figure educative; aziende sanitarie locali, distretti, Azienda Zero, Regione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38292D9" w14:textId="77777777" w:rsidR="007C4598" w:rsidRDefault="00000000">
            <w:pPr>
              <w:spacing w:after="40"/>
            </w:pPr>
            <w:r>
              <w:t>Governo, finanziamento e regolazione del sistema; influenza istituzionale e capacità di revisione della spesa.</w:t>
            </w:r>
          </w:p>
        </w:tc>
      </w:tr>
      <w:tr w:rsidR="007C4598" w14:paraId="79C1D2D6"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D2EF14A" w14:textId="77777777" w:rsidR="007C4598" w:rsidRDefault="00000000">
            <w:pPr>
              <w:spacing w:after="40"/>
            </w:pPr>
            <w:r>
              <w:t>Base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CEB4959" w14:textId="77777777" w:rsidR="007C4598" w:rsidRDefault="00000000">
            <w:pPr>
              <w:spacing w:after="40"/>
            </w:pPr>
            <w:r>
              <w:t>INPS, INAIL, sistema giudiziario, imprese, sindacati, università, terzo settore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969C545" w14:textId="77777777" w:rsidR="007C4598" w:rsidRDefault="00000000">
            <w:pPr>
              <w:spacing w:after="40"/>
            </w:pPr>
            <w:r>
              <w:t>Connessione indiretta; in aggregato la più ampia capacità di rientro economico e sociale.</w:t>
            </w:r>
          </w:p>
        </w:tc>
      </w:tr>
    </w:tbl>
    <w:p w14:paraId="1BC255BA" w14:textId="77777777" w:rsidR="007C4598" w:rsidRDefault="007C4598"/>
    <w:p w14:paraId="095F8F53" w14:textId="77777777" w:rsidR="007C4598" w:rsidRDefault="00000000">
      <w:pPr>
        <w:jc w:val="both"/>
      </w:pPr>
      <w:r>
        <w:t>La scelta di ordinare l’analisi secondo questo principio risponde a un’esigenza metodologica, non a una preferenza espositiva. La cascata, infatti, governa l’attribuzione degli effetti e previene la duplicazione: percorrendo la piramide dall’apice alla base, ciascun effetto economico è attribuito al livello in cui si genera e alla figura che lo determina, e gli effetti dei livelli inferiori sono valutati al netto di quanto già contabilizzato ai livelli superiori. In assenza di un tale ordine, la valutazione integrale rischierebbe di sommare grandezze sovrapposte — per esempio imputando due volte, alla riduzione degli accessi impropri e alla riduzione della spesa farmaceutica, un medesimo risparmio — e perderebbe così la propria credibilità. L’ordine della cascata è dunque la condizione che rende l’integralità del perimetro compatibile con la prudenza delle stime.</w:t>
      </w:r>
    </w:p>
    <w:p w14:paraId="320A12F5" w14:textId="77777777" w:rsidR="007C4598" w:rsidRDefault="007C4598"/>
    <w:p w14:paraId="4786167F" w14:textId="77777777" w:rsidR="007C4598" w:rsidRDefault="00000000">
      <w:pPr>
        <w:jc w:val="both"/>
      </w:pPr>
      <w:r>
        <w:t>La cascata delle figure si compone, infine, con la matrice degli ambiti. Ogni figura della piramide opera entro più ambiti del perimetro integrale, e ogni ambito riceve contributi da più livelli della piramide. Lo Psicologo di Base, all’apice, incide in modo diretto sull’ambito salutistico e, attraverso di esso, in modo indiretto su tutti gli altri; le figure dei livelli inferiori traducono e amplificano questo effetto nei rispettivi ambiti, fino agli attori di sistema, che ne raccolgono le ricadute previdenziali, lavorative, giudiziarie, scolastiche e finanziarie. La parte dedicata ai costi e ai benefici indiretti percorrerà questa matrice ambito per ambito; le presenti voci ne hanno fissato l’architettura e l’ordine, così che la trattazione successiva possa svolgersi su un disegno stabile.</w:t>
      </w:r>
    </w:p>
    <w:p w14:paraId="7E19E9A3" w14:textId="77777777" w:rsidR="007C4598" w:rsidRDefault="007C4598"/>
    <w:p w14:paraId="43251ACF" w14:textId="77777777" w:rsidR="007C4598" w:rsidRDefault="00000000">
      <w:pPr>
        <w:jc w:val="both"/>
      </w:pPr>
      <w:r>
        <w:t>Entro questa architettura, l’Intelligenza Artificiale non costituisce un livello della piramide né un ambito a sé, ma una leva trasversale che attraversa i livelli e gli ambiti, accrescendo la capacità di ciascuna figura di generare valore. Collocarla in questo modo — come strumento e non come soggetto — non ne riduce la rilevanza, ma ne disciplina la valutazione: il suo contributo sarà isolato all’interno di ciascun livello e di ciascun ambito, quantificato in via incrementale e graduato secondo la qualità dell’evidenza, sempre nel quadro della supervisione umana. La medesima logica trasversale vale per la formazione del personale, che attraversa la piramide rendendo le figure capaci di esercitare appieno, e in sicurezza, le funzioni che la riforma assegna loro.</w:t>
      </w:r>
    </w:p>
    <w:p w14:paraId="01825623" w14:textId="77777777" w:rsidR="007C4598" w:rsidRDefault="007C4598"/>
    <w:p w14:paraId="002F3584" w14:textId="77777777" w:rsidR="007C4598" w:rsidRDefault="00000000">
      <w:pPr>
        <w:pStyle w:val="Titolo3"/>
        <w:spacing w:before="200" w:after="100"/>
      </w:pPr>
      <w:r>
        <w:rPr>
          <w:color w:val="16264B"/>
          <w:sz w:val="22"/>
          <w:szCs w:val="22"/>
        </w:rPr>
        <w:t>1.3  Il telaio metodologico ibrido: le cornici apicali</w:t>
      </w:r>
    </w:p>
    <w:p w14:paraId="2E24B04B" w14:textId="77777777" w:rsidR="007C4598" w:rsidRDefault="007C4598"/>
    <w:p w14:paraId="508BFA15" w14:textId="77777777" w:rsidR="007C4598" w:rsidRDefault="00000000">
      <w:pPr>
        <w:jc w:val="both"/>
      </w:pPr>
      <w:r>
        <w:t>La scelta metodologica fondante dell’opera consiste nel non affidare la valutazione a un’unica cornice, ma nel comporne l’apice di quattro tradizioni distinte e complementari. Nessuna disciplina, isolatamente, possiede gli strumenti per rispondere a un quesito che è insieme clinico, economico, finanziario, organizzativo e politico; la loro composizione, per contro, consente di trattare ciascuna dimensione con il metodo che le è proprio, senza che l’una prevarichi le altre. Il telaio che ne risulta non è un eclettismo, bensì un’architettura ordinata, nella quale ciascuna cornice occupa una funzione precisa e cede alle altre ciò che non le compete.</w:t>
      </w:r>
    </w:p>
    <w:p w14:paraId="2505DAFC" w14:textId="77777777" w:rsidR="007C4598" w:rsidRDefault="007C4598"/>
    <w:p w14:paraId="6CAEC9D7" w14:textId="77777777" w:rsidR="007C4598" w:rsidRDefault="00000000">
      <w:pPr>
        <w:jc w:val="both"/>
      </w:pPr>
      <w:r>
        <w:t>La prima cornice è la valutazione delle tecnologie sanitarie, che fornisce la griglia generale entro cui l’intero problema è ordinato. Concepita per stimare in modo sistematico il valore di una tecnologia o di un intervento sanitario, essa articola l’analisi in domini successivi: il problema di salute e l’uso corrente, la descrizione dell’intervento, la sicurezza, l’efficacia clinica, la valutazione economica e, infine, i profili etici, giuridici, sociali e organizzativi. Nell’opera, la valutazione delle tecnologie sanitarie svolge la funzione di telaio portante, poiché stabilisce l’ordine dei domini e garantisce che nessuna dimensione del valore sia trascurata, dalla prova di efficacia alla sostenibilità organizzativa.10</w:t>
      </w:r>
    </w:p>
    <w:p w14:paraId="08822436" w14:textId="77777777" w:rsidR="007C4598" w:rsidRDefault="007C4598"/>
    <w:p w14:paraId="03B3DCB3" w14:textId="77777777" w:rsidR="007C4598" w:rsidRDefault="00000000">
      <w:pPr>
        <w:jc w:val="both"/>
      </w:pPr>
      <w:r>
        <w:t>La seconda cornice è il modello dei cinque casi, elaborato per la giustificazione e l’approvazione degli investimenti pubblici. Esso impone di argomentare congiuntamente cinque dimensioni dell’investimento: il caso strategico, che ne dimostra la coerenza con gli obiettivi di sistema; il caso economico, che ne stabilisce il valore per la collettività; il caso commerciale, che ne verifica la praticabilità sul piano dell’approvvigionamento e dei rapporti contrattuali; il caso finanziario, che ne accerta la sostenibilità per il bilancio; e il caso gestionale, che ne assicura la realizzabilità organizzativa. La funzione di questa cornice è di trasformare la valutazione da esercizio analitico in argomento decisionale, organizzando le evidenze nella forma che un’amministrazione pubblica richiede per deliberare un investimento.6</w:t>
      </w:r>
    </w:p>
    <w:p w14:paraId="26267188" w14:textId="77777777" w:rsidR="007C4598" w:rsidRDefault="007C4598"/>
    <w:p w14:paraId="2BDE3238" w14:textId="77777777" w:rsidR="007C4598" w:rsidRDefault="00000000">
      <w:pPr>
        <w:jc w:val="both"/>
      </w:pPr>
      <w:r>
        <w:t>La terza cornice è lo standard internazionale di rendicontazione delle valutazioni economiche in sanità, che disciplina il modo in cui i risultati sono presentati. Esso fissa l’elenco degli elementi che ogni valutazione economica deve dichiarare — la prospettiva, l’orizzonte temporale, il tasso di sconto, le fonti dei parametri, i metodi di trattamento dell’incertezza — affinché lo studio sia trasparente e riproducibile. La sua funzione nell’opera non è di produrre stime, ma di renderle verificabili: esso è la garanzia che ogni grandezza esposta possa essere ricondotta alla propria fonte e al proprio metodo, e quindi controllata e, se del caso, contestata.1</w:t>
      </w:r>
    </w:p>
    <w:p w14:paraId="06395096" w14:textId="77777777" w:rsidR="007C4598" w:rsidRDefault="007C4598"/>
    <w:p w14:paraId="5FD52D7B" w14:textId="77777777" w:rsidR="007C4598" w:rsidRDefault="00000000">
      <w:pPr>
        <w:jc w:val="both"/>
      </w:pPr>
      <w:r>
        <w:t>La quarta cornice è costituita dai criteri internazionali di valutazione delle politiche e dei programmi, che estendono lo sguardo oltre il piano strettamente economico. Tali criteri — la rilevanza, la coerenza, l’efficacia, l’efficienza, l’impatto e la sostenibilità — consentono di valutare la riforma non soltanto per ciò che costa e fa risparmiare, ma per la sua aderenza ai bisogni, per la sua congruenza con le altre politiche pubbliche, per la sua capacità di produrre gli effetti attesi e di mantenerli nel tempo. La loro funzione è di collocare la valutazione economica entro una valutazione di politica pubblica più ampia, che è quella effettivamente rilevante per un decisore regionale.2</w:t>
      </w:r>
    </w:p>
    <w:p w14:paraId="103EC138" w14:textId="77777777" w:rsidR="007C4598" w:rsidRDefault="007C4598"/>
    <w:p w14:paraId="52874CA5" w14:textId="77777777" w:rsidR="007C4598" w:rsidRDefault="00000000">
      <w:pPr>
        <w:jc w:val="both"/>
      </w:pPr>
      <w:r>
        <w:t>La composizione delle quattro cornici non è una giustapposizione, ma una gerarchia funzionale. La valutazione delle tecnologie sanitarie fornisce il telaio e l’ordine dei domini; il modello dei cinque casi fornisce la forma della giustificazione dell’investimento; lo standard di rendicontazione fornisce le regole della trasparenza; i criteri di valutazione delle politiche forniscono i parametri del giudizio complessivo. Su questa architettura apicale sono innestate le metodologie operative della rinegoziazione, che la voce seguente espone e che forniscono gli strumenti di misura entro ciascun dominio. La distinzione tra le cornici apicali, che ordinano, e le metodologie innestate, che misurano, costituisce la chiave dell’intero impianto metodologico dell’opera.</w:t>
      </w:r>
    </w:p>
    <w:p w14:paraId="2B9444D6" w14:textId="77777777" w:rsidR="007C4598" w:rsidRDefault="007C4598"/>
    <w:p w14:paraId="722198FC" w14:textId="77777777" w:rsidR="007C4598" w:rsidRDefault="00000000">
      <w:pPr>
        <w:jc w:val="both"/>
      </w:pPr>
      <w:r>
        <w:rPr>
          <w:b/>
          <w:bCs/>
        </w:rPr>
        <w:t>Tabella 1.3 — Le quattro cornici apicali del telaio</w:t>
      </w:r>
    </w:p>
    <w:p w14:paraId="0DF6F42F"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20CD1E2E"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602737C" w14:textId="77777777" w:rsidR="007C4598" w:rsidRDefault="00000000">
            <w:pPr>
              <w:spacing w:after="40"/>
            </w:pPr>
            <w:r>
              <w:rPr>
                <w:b/>
                <w:bCs/>
                <w:color w:val="FFFFFF"/>
                <w:sz w:val="18"/>
                <w:szCs w:val="18"/>
              </w:rPr>
              <w:t>Cornice apicale</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7152FAB" w14:textId="77777777" w:rsidR="007C4598" w:rsidRDefault="00000000">
            <w:pPr>
              <w:spacing w:after="40"/>
            </w:pPr>
            <w:r>
              <w:rPr>
                <w:b/>
                <w:bCs/>
                <w:color w:val="FFFFFF"/>
                <w:sz w:val="18"/>
                <w:szCs w:val="18"/>
              </w:rPr>
              <w:t>Funzione nell’opera</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2D281DF" w14:textId="77777777" w:rsidR="007C4598" w:rsidRDefault="00000000">
            <w:pPr>
              <w:spacing w:after="40"/>
            </w:pPr>
            <w:r>
              <w:rPr>
                <w:b/>
                <w:bCs/>
                <w:color w:val="FFFFFF"/>
                <w:sz w:val="18"/>
                <w:szCs w:val="18"/>
              </w:rPr>
              <w:t>Contributo specifico</w:t>
            </w:r>
          </w:p>
        </w:tc>
      </w:tr>
      <w:tr w:rsidR="007C4598" w14:paraId="43E26EAB"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80BA033" w14:textId="77777777" w:rsidR="007C4598" w:rsidRDefault="00000000">
            <w:pPr>
              <w:spacing w:after="40"/>
            </w:pPr>
            <w:r>
              <w:t>Valutazione delle tecnologie sanitarie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10DCE65" w14:textId="77777777" w:rsidR="007C4598" w:rsidRDefault="00000000">
            <w:pPr>
              <w:spacing w:after="40"/>
            </w:pPr>
            <w:r>
              <w:t>Telaio portante e ordine dei domini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9B3DAEC" w14:textId="77777777" w:rsidR="007C4598" w:rsidRDefault="00000000">
            <w:pPr>
              <w:spacing w:after="40"/>
            </w:pPr>
            <w:r>
              <w:t>Garantisce la completezza dell’analisi, dalla sicurezza ed efficacia clinica alla valutazione economica e ai profili etico-giuridici e organizzativi.</w:t>
            </w:r>
          </w:p>
        </w:tc>
      </w:tr>
      <w:tr w:rsidR="007C4598" w14:paraId="2B3FD9CE"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0BC7547" w14:textId="77777777" w:rsidR="007C4598" w:rsidRDefault="00000000">
            <w:pPr>
              <w:spacing w:after="40"/>
            </w:pPr>
            <w:r>
              <w:t>Modello dei cinque casi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8EC18DC" w14:textId="77777777" w:rsidR="007C4598" w:rsidRDefault="00000000">
            <w:pPr>
              <w:spacing w:after="40"/>
            </w:pPr>
            <w:r>
              <w:t>Forma della giustificazione dell’investimento pubblico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4827142" w14:textId="77777777" w:rsidR="007C4598" w:rsidRDefault="00000000">
            <w:pPr>
              <w:spacing w:after="40"/>
            </w:pPr>
            <w:r>
              <w:t>Organizza le evidenze nelle dimensioni strategica, economica, commerciale, finanziaria e gestionale richieste per la decisione amministrativa.</w:t>
            </w:r>
          </w:p>
        </w:tc>
      </w:tr>
      <w:tr w:rsidR="007C4598" w14:paraId="224B3C21"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B936BBB" w14:textId="77777777" w:rsidR="007C4598" w:rsidRDefault="00000000">
            <w:pPr>
              <w:spacing w:after="40"/>
            </w:pPr>
            <w:r>
              <w:t>Standard di rendicontazione delle valutazioni economiche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198D21A" w14:textId="77777777" w:rsidR="007C4598" w:rsidRDefault="00000000">
            <w:pPr>
              <w:spacing w:after="40"/>
            </w:pPr>
            <w:r>
              <w:t>Regole della trasparenza e della replicabilità</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EC1223D" w14:textId="77777777" w:rsidR="007C4598" w:rsidRDefault="00000000">
            <w:pPr>
              <w:spacing w:after="40"/>
            </w:pPr>
            <w:r>
              <w:t>Impone di dichiarare prospettiva, orizzonte, sconto, fonti e metodi dell’incertezza, rendendo ogni stima verificabile e contestabile.</w:t>
            </w:r>
          </w:p>
        </w:tc>
      </w:tr>
      <w:tr w:rsidR="007C4598" w14:paraId="4E86316E"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B4E79C8" w14:textId="77777777" w:rsidR="007C4598" w:rsidRDefault="00000000">
            <w:pPr>
              <w:spacing w:after="40"/>
            </w:pPr>
            <w:r>
              <w:t>Criteri di valutazione delle politiche pubbliche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CA2C58C" w14:textId="77777777" w:rsidR="007C4598" w:rsidRDefault="00000000">
            <w:pPr>
              <w:spacing w:after="40"/>
            </w:pPr>
            <w:r>
              <w:t>Parametri del giudizio complessivo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B81682C" w14:textId="77777777" w:rsidR="007C4598" w:rsidRDefault="00000000">
            <w:pPr>
              <w:spacing w:after="40"/>
            </w:pPr>
            <w:r>
              <w:t>Estende la valutazione a rilevanza, coerenza, efficacia, efficienza, impatto e sostenibilità della riforma.</w:t>
            </w:r>
          </w:p>
        </w:tc>
      </w:tr>
    </w:tbl>
    <w:p w14:paraId="0D2333D0" w14:textId="77777777" w:rsidR="007C4598" w:rsidRDefault="007C4598"/>
    <w:p w14:paraId="1A8766CA" w14:textId="77777777" w:rsidR="007C4598" w:rsidRDefault="00000000">
      <w:pPr>
        <w:jc w:val="both"/>
      </w:pPr>
      <w:r>
        <w:t>Le quattro cornici, così composte, costituiscono la parte invariante del telaio, comune allo studio pugliese e alla sua generalizzazione alle altre Regioni. Esse non mutano al mutare dei dati di ingresso, e proprio in ciò risiede la loro funzione: assicurare che venti studi regionali, alimentati da dati diversi, restino confrontabili perché generati dal medesimo procedimento. Su questo fondamento stabile si innestano le metodologie operative, alle quali è dedicata la voce seguente.</w:t>
      </w:r>
    </w:p>
    <w:p w14:paraId="577F1E03" w14:textId="77777777" w:rsidR="007C4598" w:rsidRDefault="007C4598"/>
    <w:p w14:paraId="42AF2FA2" w14:textId="77777777" w:rsidR="007C4598" w:rsidRDefault="00000000">
      <w:pPr>
        <w:pStyle w:val="Titolo3"/>
        <w:spacing w:before="200" w:after="100"/>
      </w:pPr>
      <w:r>
        <w:rPr>
          <w:color w:val="16264B"/>
          <w:sz w:val="22"/>
          <w:szCs w:val="22"/>
        </w:rPr>
        <w:t>1.4  Le metodologie innestate per la rinegoziazione</w:t>
      </w:r>
    </w:p>
    <w:p w14:paraId="55C32BD2" w14:textId="77777777" w:rsidR="007C4598" w:rsidRDefault="007C4598"/>
    <w:p w14:paraId="3B750C8D" w14:textId="77777777" w:rsidR="007C4598" w:rsidRDefault="00000000">
      <w:pPr>
        <w:jc w:val="both"/>
      </w:pPr>
      <w:r>
        <w:t>Le cornici apicali ordinano la valutazione; le metodologie innestate la eseguono. La rinegoziazione dei costi e dei benefici richiede infatti un insieme di strumenti di misura, ciascuno specializzato in una grandezza determinata, che operano entro i domini stabiliti dal telaio e i cui risultati confluiscono nel saldo finale. Tali metodologie non sono alternative tra cui scegliere, ma componenti che si integrano, a condizione che il loro impiego sia governato dalla regola di non duplicazione, alla quale è dedicata la voce successiva. Si espongono qui le metodologie adottate, raggruppate per funzione.</w:t>
      </w:r>
    </w:p>
    <w:p w14:paraId="146F6154" w14:textId="77777777" w:rsidR="007C4598" w:rsidRDefault="007C4598"/>
    <w:p w14:paraId="0FF5A0C5" w14:textId="77777777" w:rsidR="007C4598" w:rsidRDefault="00000000">
      <w:pPr>
        <w:jc w:val="both"/>
      </w:pPr>
      <w:r>
        <w:t>Il nucleo della valutazione economica è costituito da tre metodologie congiunte. L’analisi costo-beneficio esprime in termini monetari sia i costi sia i benefici, consentendo il confronto diretto tra grandezze eterogenee e il calcolo di un saldo e di un rapporto tra benefici e costi. L’analisi costo-efficacia rapporta i costi agli esiti clinici espressi in unità naturali, quali i casi evitati o i sintomi ridotti. L’analisi costo-utilità, infine, misura gli esiti in anni di vita ponderati per la qualità, l’indicatore che consente di confrontare interventi rivolti a condizioni diverse e di calcolare il rapporto incrementale costo-efficacia, ossia il costo per unità di salute guadagnata. Nell’opera, queste tre metodologie misurano rispettivamente il valore monetario complessivo, l’efficienza clinica e l’efficienza in salute della riforma.75</w:t>
      </w:r>
    </w:p>
    <w:p w14:paraId="5D256375" w14:textId="77777777" w:rsidR="007C4598" w:rsidRDefault="007C4598"/>
    <w:p w14:paraId="7E655AB0" w14:textId="77777777" w:rsidR="007C4598" w:rsidRDefault="00000000">
      <w:pPr>
        <w:jc w:val="both"/>
      </w:pPr>
      <w:r>
        <w:t>Alla valutazione dell’efficienza si affianca quella della sostenibilità, affidata all’analisi di impatto di bilancio. Mentre le metodologie precedenti stabiliscono se la riforma convenga, l’analisi di impatto di bilancio stabilisce se essa sia sostenibile per il bilancio sanitario regionale, anno per anno, alle diverse ipotesi di copertura. Essa misura la variazione netta della spesa a carico del sistema, distinguendo gli esborsi dai risparmi e collocandoli nel tempo, ed è perciò la metodologia che traduce il valore economico in compatibilità finanziaria.</w:t>
      </w:r>
    </w:p>
    <w:p w14:paraId="11551451" w14:textId="77777777" w:rsidR="007C4598" w:rsidRDefault="007C4598"/>
    <w:p w14:paraId="07F91D01" w14:textId="77777777" w:rsidR="007C4598" w:rsidRDefault="00000000">
      <w:pPr>
        <w:jc w:val="both"/>
      </w:pPr>
      <w:r>
        <w:t>Il valore che eccede il bilancio sanitario, ricadendo sulla collettività, è misurato dal rendimento sociale dell’investimento. Questa metodologia attribuisce un valore monetario agli esiti sociali della riforma — il ritorno al lavoro, la riduzione del carico sui familiari, il benessere recuperato — e li rapporta alle risorse impiegate, restituendo un rapporto tra valore sociale generato e investimento. Nell’opera, il rendimento sociale dell’investimento è lo strumento che dà misura alle grandezze indirette del perimetro integrale, e il suo impiego è tenuto rigorosamente separato da quello delle metodologie che misurano i risparmi fiscali diretti, per impedire ogni duplicazione.11</w:t>
      </w:r>
    </w:p>
    <w:p w14:paraId="7ADA5DF7" w14:textId="77777777" w:rsidR="007C4598" w:rsidRDefault="007C4598"/>
    <w:p w14:paraId="2653CC2F" w14:textId="77777777" w:rsidR="007C4598" w:rsidRDefault="00000000">
      <w:pPr>
        <w:jc w:val="both"/>
      </w:pPr>
      <w:r>
        <w:t xml:space="preserve">La proiezione nel tempo e il trattamento dell’incertezza sono affidati a due metodologie complementari. I modelli di </w:t>
      </w:r>
      <w:proofErr w:type="spellStart"/>
      <w:r>
        <w:t>Markov</w:t>
      </w:r>
      <w:proofErr w:type="spellEnd"/>
      <w:r>
        <w:t xml:space="preserve"> e la </w:t>
      </w:r>
      <w:proofErr w:type="spellStart"/>
      <w:r>
        <w:t>microsimulazione</w:t>
      </w:r>
      <w:proofErr w:type="spellEnd"/>
      <w:r>
        <w:t xml:space="preserve"> rappresentano il decorso delle condizioni cliniche come una successione di stati e di transizioni, consentendo di stimare gli esiti e i costi lungo l’intero orizzonte e non soltanto nel breve periodo. L’analisi di sensibilità probabilistica sottopone i risultati alla variazione simultanea dei parametri, restituendo non un valore puntuale ma una distribuzione di esiti possibili, con la probabilità che la riforma risulti costo-efficace. Queste metodologie sono ciò che consente all’opera di formulare previsioni in forma di bande, e non di valori secchi, e dunque falsificabili.14</w:t>
      </w:r>
    </w:p>
    <w:p w14:paraId="77CCFFDC" w14:textId="77777777" w:rsidR="007C4598" w:rsidRDefault="007C4598"/>
    <w:p w14:paraId="0E80A47E" w14:textId="77777777" w:rsidR="007C4598" w:rsidRDefault="00000000">
      <w:pPr>
        <w:jc w:val="both"/>
      </w:pPr>
      <w:r>
        <w:t>Due ulteriori metodologie governano la scelta tra alternative e l’allocazione delle risorse. L’analisi decisionale multi-criterio consente di valutare la riforma e i suoi scenari secondo una pluralità di criteri non riducibili al solo costo, attribuendo a ciascuno un peso esplicito, ed è particolarmente utile laddove il giudizio deve comporre dimensioni economiche, cliniche, etiche e organizzative. La programmazione di bilancio e l’analisi marginale forniscono il metodo per riallocare risorse all’interno di un budget dato, individuando gli impieghi a maggiore rendimento marginale. Entrambe servono, nell’opera, a tradurre la valutazione in indicazioni di dimensionamento e di priorità.</w:t>
      </w:r>
    </w:p>
    <w:p w14:paraId="78333C21" w14:textId="77777777" w:rsidR="007C4598" w:rsidRDefault="007C4598"/>
    <w:p w14:paraId="6096AD54" w14:textId="77777777" w:rsidR="007C4598" w:rsidRDefault="00000000">
      <w:pPr>
        <w:jc w:val="both"/>
      </w:pPr>
      <w:r>
        <w:t xml:space="preserve">La valutazione della formazione del personale, pilastro trasversale dell’opera, è affidata ai modelli del ritorno sull’investimento formativo. Il modello di </w:t>
      </w:r>
      <w:proofErr w:type="spellStart"/>
      <w:r>
        <w:t>Kirkpatrick</w:t>
      </w:r>
      <w:proofErr w:type="spellEnd"/>
      <w:r>
        <w:t xml:space="preserve"> articola la valutazione su quattro livelli — la reazione dei discenti, l’apprendimento, il trasferimento dei comportamenti nella pratica e i risultati organizzativi; il modello di Phillips vi aggiunge un quinto livello, che converte i risultati in un rendimento monetario dell’investimento formativo. Queste metodologie consentono di valutare le quattro modalità formative sia singolarmente sia nella loro combinazione, e di confrontarne il rapporto costo-efficacia, in coerenza con l’ordine ricevuto.1213</w:t>
      </w:r>
    </w:p>
    <w:p w14:paraId="0F846C93" w14:textId="77777777" w:rsidR="007C4598" w:rsidRDefault="007C4598"/>
    <w:p w14:paraId="6645FCF2" w14:textId="77777777" w:rsidR="007C4598" w:rsidRDefault="00000000">
      <w:pPr>
        <w:jc w:val="both"/>
      </w:pPr>
      <w:r>
        <w:t>Le grandezze indirette legate alla produttività sono misurate con due metodi distinti e non cumulabili: l’approccio del capitale umano, che valuta la perdita di produttività come reddito potenziale perduto per l’intera durata dell’inabilità, e il metodo del costo di attrito, più prudente, che la limita al periodo necessario a sostituire il lavoratore. La disponibilità a pagare consente di attribuire valore a esiti privi di prezzo di mercato, attraverso la preferenza espressa dagli individui. L’analisi delle opzioni reali, infine, valuta il valore della flessibilità — la possibilità di scalare, rinviare o modificare la riforma in funzione delle informazioni che emergono — particolarmente rilevante in un dimensionamento per fasi. Nell’opera, la scelta tra capitale umano e costo di attrito è dichiarata e motivata, e i due metodi non sono mai sommati.15</w:t>
      </w:r>
    </w:p>
    <w:p w14:paraId="2605BCF0" w14:textId="77777777" w:rsidR="007C4598" w:rsidRDefault="007C4598"/>
    <w:p w14:paraId="452E01AD" w14:textId="77777777" w:rsidR="007C4598" w:rsidRDefault="00000000">
      <w:pPr>
        <w:jc w:val="both"/>
      </w:pPr>
      <w:r>
        <w:t>L’insieme di queste metodologie non produce una somma di stime indipendenti, ma un sistema coordinato. Ciascuna misura una grandezza determinata entro un dominio determinato; la regola di non duplicazione, esposta nella voce seguente, assicura che le grandezze misurate da metodologie diverse non si sovrappongano e che il saldo finale componga senza duplicare. La tabella che segue riepiloga le metodologie innestate, ciò che ciascuna misura, la sua funzione nella rinegoziazione e i suoi indicatori principali.</w:t>
      </w:r>
    </w:p>
    <w:p w14:paraId="1103366C" w14:textId="77777777" w:rsidR="007C4598" w:rsidRDefault="007C4598"/>
    <w:p w14:paraId="434B8847" w14:textId="77777777" w:rsidR="007C4598" w:rsidRDefault="00000000">
      <w:pPr>
        <w:jc w:val="both"/>
      </w:pPr>
      <w:r>
        <w:rPr>
          <w:b/>
          <w:bCs/>
        </w:rPr>
        <w:t>Tabella 1.4 — Le metodologie innestate per la rinegoziazione dei costi e dei benefici</w:t>
      </w:r>
    </w:p>
    <w:p w14:paraId="43B7EABA"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0FF6C1EB"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1B4C0BC" w14:textId="77777777" w:rsidR="007C4598" w:rsidRDefault="00000000">
            <w:pPr>
              <w:spacing w:after="40"/>
            </w:pPr>
            <w:r>
              <w:rPr>
                <w:b/>
                <w:bCs/>
                <w:color w:val="FFFFFF"/>
                <w:sz w:val="18"/>
                <w:szCs w:val="18"/>
              </w:rPr>
              <w:t>Metodologia</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E5293A3" w14:textId="77777777" w:rsidR="007C4598" w:rsidRDefault="00000000">
            <w:pPr>
              <w:spacing w:after="40"/>
            </w:pPr>
            <w:r>
              <w:rPr>
                <w:b/>
                <w:bCs/>
                <w:color w:val="FFFFFF"/>
                <w:sz w:val="18"/>
                <w:szCs w:val="18"/>
              </w:rPr>
              <w:t>Che cosa misura</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0F6958F" w14:textId="77777777" w:rsidR="007C4598" w:rsidRDefault="00000000">
            <w:pPr>
              <w:spacing w:after="40"/>
            </w:pPr>
            <w:r>
              <w:rPr>
                <w:b/>
                <w:bCs/>
                <w:color w:val="FFFFFF"/>
                <w:sz w:val="18"/>
                <w:szCs w:val="18"/>
              </w:rPr>
              <w:t>Ruolo nella rinegoziazione</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ED4420C" w14:textId="77777777" w:rsidR="007C4598" w:rsidRDefault="00000000">
            <w:pPr>
              <w:spacing w:after="40"/>
            </w:pPr>
            <w:r>
              <w:rPr>
                <w:b/>
                <w:bCs/>
                <w:color w:val="FFFFFF"/>
                <w:sz w:val="18"/>
                <w:szCs w:val="18"/>
              </w:rPr>
              <w:t>Indicatori principali</w:t>
            </w:r>
          </w:p>
        </w:tc>
      </w:tr>
      <w:tr w:rsidR="007C4598" w14:paraId="5BBF541E"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87A1C02" w14:textId="77777777" w:rsidR="007C4598" w:rsidRDefault="00000000">
            <w:pPr>
              <w:spacing w:after="40"/>
            </w:pPr>
            <w:r>
              <w:t>Analisi costo-beneficio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F911EB7" w14:textId="77777777" w:rsidR="007C4598" w:rsidRDefault="00000000">
            <w:pPr>
              <w:spacing w:after="40"/>
            </w:pPr>
            <w:r>
              <w:t>Costi e benefici in termini monetari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D542FD8" w14:textId="77777777" w:rsidR="007C4598" w:rsidRDefault="00000000">
            <w:pPr>
              <w:spacing w:after="40"/>
            </w:pPr>
            <w:r>
              <w:t>Confronto diretto e saldo monetario complessivo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1BC3161" w14:textId="77777777" w:rsidR="007C4598" w:rsidRDefault="00000000">
            <w:pPr>
              <w:spacing w:after="40"/>
            </w:pPr>
            <w:r>
              <w:t>Saldo benefici-costi, rapporto benefici/costi</w:t>
            </w:r>
          </w:p>
        </w:tc>
      </w:tr>
      <w:tr w:rsidR="007C4598" w14:paraId="7E68BD63"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60AE2BB" w14:textId="77777777" w:rsidR="007C4598" w:rsidRDefault="00000000">
            <w:pPr>
              <w:spacing w:after="40"/>
            </w:pPr>
            <w:r>
              <w:t>Analisi costo-efficacia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AA905FC" w14:textId="77777777" w:rsidR="007C4598" w:rsidRDefault="00000000">
            <w:pPr>
              <w:spacing w:after="40"/>
            </w:pPr>
            <w:r>
              <w:t>Costi rapportati a esiti clinici naturali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1577D86" w14:textId="77777777" w:rsidR="007C4598" w:rsidRDefault="00000000">
            <w:pPr>
              <w:spacing w:after="40"/>
            </w:pPr>
            <w:r>
              <w:t>Efficienza clinica dell’intervento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4774396" w14:textId="77777777" w:rsidR="007C4598" w:rsidRDefault="00000000">
            <w:pPr>
              <w:spacing w:after="40"/>
            </w:pPr>
            <w:r>
              <w:t>Costo per caso evitato o per sintomo ridotto</w:t>
            </w:r>
          </w:p>
        </w:tc>
      </w:tr>
      <w:tr w:rsidR="007C4598" w14:paraId="766C4B59"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3366E63" w14:textId="77777777" w:rsidR="007C4598" w:rsidRDefault="00000000">
            <w:pPr>
              <w:spacing w:after="40"/>
            </w:pPr>
            <w:r>
              <w:t>Analisi costo-utilità</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A358357" w14:textId="77777777" w:rsidR="007C4598" w:rsidRDefault="00000000">
            <w:pPr>
              <w:spacing w:after="40"/>
            </w:pPr>
            <w:r>
              <w:t>Esiti in anni di vita ponderati per la qualità</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1FC5CFF" w14:textId="77777777" w:rsidR="007C4598" w:rsidRDefault="00000000">
            <w:pPr>
              <w:spacing w:after="40"/>
            </w:pPr>
            <w:r>
              <w:t>Efficienza in salute e confrontabilità tra condizioni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9888BEA" w14:textId="77777777" w:rsidR="007C4598" w:rsidRDefault="00000000">
            <w:pPr>
              <w:spacing w:after="40"/>
            </w:pPr>
            <w:r>
              <w:t>QALY guadagnati, rapporto incrementale costo-efficacia</w:t>
            </w:r>
          </w:p>
        </w:tc>
      </w:tr>
      <w:tr w:rsidR="007C4598" w14:paraId="10AB402F"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3939024" w14:textId="77777777" w:rsidR="007C4598" w:rsidRDefault="00000000">
            <w:pPr>
              <w:spacing w:after="40"/>
            </w:pPr>
            <w:r>
              <w:t>Analisi di impatto di bilancio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F0D83D4" w14:textId="77777777" w:rsidR="007C4598" w:rsidRDefault="00000000">
            <w:pPr>
              <w:spacing w:after="40"/>
            </w:pPr>
            <w:r>
              <w:t>Variazione netta della spesa sanitaria nel tempo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4873230" w14:textId="77777777" w:rsidR="007C4598" w:rsidRDefault="00000000">
            <w:pPr>
              <w:spacing w:after="40"/>
            </w:pPr>
            <w:r>
              <w:t>Sostenibilità finanziaria per il bilancio regionale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19D0A91" w14:textId="77777777" w:rsidR="007C4598" w:rsidRDefault="00000000">
            <w:pPr>
              <w:spacing w:after="40"/>
            </w:pPr>
            <w:r>
              <w:t>Impatto annuo netto per scenario di copertura</w:t>
            </w:r>
          </w:p>
        </w:tc>
      </w:tr>
      <w:tr w:rsidR="007C4598" w14:paraId="15261424"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4CA06F2" w14:textId="77777777" w:rsidR="007C4598" w:rsidRDefault="00000000">
            <w:pPr>
              <w:spacing w:after="40"/>
            </w:pPr>
            <w:r>
              <w:t>Rendimento sociale dell’investimento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5792A69" w14:textId="77777777" w:rsidR="007C4598" w:rsidRDefault="00000000">
            <w:pPr>
              <w:spacing w:after="40"/>
            </w:pPr>
            <w:r>
              <w:t>Valore monetario degli esiti sociali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45CD656" w14:textId="77777777" w:rsidR="007C4598" w:rsidRDefault="00000000">
            <w:pPr>
              <w:spacing w:after="40"/>
            </w:pPr>
            <w:r>
              <w:t>Misura delle grandezze indirette, separata dai risparmi diretti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8977310" w14:textId="77777777" w:rsidR="007C4598" w:rsidRDefault="00000000">
            <w:pPr>
              <w:spacing w:after="40"/>
            </w:pPr>
            <w:r>
              <w:t>Rapporto valore sociale/investimento</w:t>
            </w:r>
          </w:p>
        </w:tc>
      </w:tr>
      <w:tr w:rsidR="007C4598" w14:paraId="212236AA"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0DF6F0F" w14:textId="77777777" w:rsidR="007C4598" w:rsidRDefault="00000000">
            <w:pPr>
              <w:spacing w:after="40"/>
            </w:pPr>
            <w:r>
              <w:t xml:space="preserve">Modelli di </w:t>
            </w:r>
            <w:proofErr w:type="spellStart"/>
            <w:r>
              <w:t>Markov</w:t>
            </w:r>
            <w:proofErr w:type="spellEnd"/>
            <w:r>
              <w:t xml:space="preserve"> e </w:t>
            </w:r>
            <w:proofErr w:type="spellStart"/>
            <w:r>
              <w:t>microsimulazione</w:t>
            </w:r>
            <w:proofErr w:type="spellEnd"/>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6B48550" w14:textId="77777777" w:rsidR="007C4598" w:rsidRDefault="00000000">
            <w:pPr>
              <w:spacing w:after="40"/>
            </w:pPr>
            <w:r>
              <w:t>Decorso clinico come stati e transizioni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66B3970" w14:textId="77777777" w:rsidR="007C4598" w:rsidRDefault="00000000">
            <w:pPr>
              <w:spacing w:after="40"/>
            </w:pPr>
            <w:r>
              <w:t>Proiezione di esiti e costi sull’orizzonte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A873C54" w14:textId="77777777" w:rsidR="007C4598" w:rsidRDefault="00000000">
            <w:pPr>
              <w:spacing w:after="40"/>
            </w:pPr>
            <w:r>
              <w:t>Costo per paziente, QALY, esiti a lungo termine</w:t>
            </w:r>
          </w:p>
        </w:tc>
      </w:tr>
      <w:tr w:rsidR="007C4598" w14:paraId="50DECC5C"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897CA8F" w14:textId="77777777" w:rsidR="007C4598" w:rsidRDefault="00000000">
            <w:pPr>
              <w:spacing w:after="40"/>
            </w:pPr>
            <w:r>
              <w:t>Analisi di sensibilità probabilistica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242AFA2" w14:textId="77777777" w:rsidR="007C4598" w:rsidRDefault="00000000">
            <w:pPr>
              <w:spacing w:after="40"/>
            </w:pPr>
            <w:r>
              <w:t>Effetto della variazione simultanea dei parametri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358B1F8" w14:textId="77777777" w:rsidR="007C4598" w:rsidRDefault="00000000">
            <w:pPr>
              <w:spacing w:after="40"/>
            </w:pPr>
            <w:r>
              <w:t>Trattamento dell’incertezza e falsificabilità</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CB041F3" w14:textId="77777777" w:rsidR="007C4598" w:rsidRDefault="00000000">
            <w:pPr>
              <w:spacing w:after="40"/>
            </w:pPr>
            <w:r>
              <w:t>Probabilità di costo-efficacia, intervalli di confidenza</w:t>
            </w:r>
          </w:p>
        </w:tc>
      </w:tr>
      <w:tr w:rsidR="007C4598" w14:paraId="32C200B2"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E52D166" w14:textId="77777777" w:rsidR="007C4598" w:rsidRDefault="00000000">
            <w:pPr>
              <w:spacing w:after="40"/>
            </w:pPr>
            <w:r>
              <w:t>Analisi decisionale multi-criterio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A37DFB8" w14:textId="77777777" w:rsidR="007C4598" w:rsidRDefault="00000000">
            <w:pPr>
              <w:spacing w:after="40"/>
            </w:pPr>
            <w:r>
              <w:t>Valore secondo criteri molteplici e pesati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C8E4904" w14:textId="77777777" w:rsidR="007C4598" w:rsidRDefault="00000000">
            <w:pPr>
              <w:spacing w:after="40"/>
            </w:pPr>
            <w:r>
              <w:t>Scelta tra scenari e composizione dei criteri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99420FB" w14:textId="77777777" w:rsidR="007C4598" w:rsidRDefault="00000000">
            <w:pPr>
              <w:spacing w:after="40"/>
            </w:pPr>
            <w:r>
              <w:t>Punteggio multi-criterio ponderato</w:t>
            </w:r>
          </w:p>
        </w:tc>
      </w:tr>
      <w:tr w:rsidR="007C4598" w14:paraId="48FDCB71"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7A17964" w14:textId="77777777" w:rsidR="007C4598" w:rsidRDefault="00000000">
            <w:pPr>
              <w:spacing w:after="40"/>
            </w:pPr>
            <w:r>
              <w:t>Programmazione di bilancio e analisi marginale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8BACB2A" w14:textId="77777777" w:rsidR="007C4598" w:rsidRDefault="00000000">
            <w:pPr>
              <w:spacing w:after="40"/>
            </w:pPr>
            <w:r>
              <w:t>Rendimento marginale degli impieghi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111024B" w14:textId="77777777" w:rsidR="007C4598" w:rsidRDefault="00000000">
            <w:pPr>
              <w:spacing w:after="40"/>
            </w:pPr>
            <w:r>
              <w:t>Riallocazione entro un budget dato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491D0A2" w14:textId="77777777" w:rsidR="007C4598" w:rsidRDefault="00000000">
            <w:pPr>
              <w:spacing w:after="40"/>
            </w:pPr>
            <w:r>
              <w:t>Rendimento marginale per impiego</w:t>
            </w:r>
          </w:p>
        </w:tc>
      </w:tr>
      <w:tr w:rsidR="007C4598" w14:paraId="3DE3E965"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B7279CE" w14:textId="77777777" w:rsidR="007C4598" w:rsidRDefault="00000000">
            <w:pPr>
              <w:spacing w:after="40"/>
            </w:pPr>
            <w:r>
              <w:t>Ritorno sull’investimento formativo (</w:t>
            </w:r>
            <w:proofErr w:type="spellStart"/>
            <w:r>
              <w:t>Kirkpatrick</w:t>
            </w:r>
            <w:proofErr w:type="spellEnd"/>
            <w:r>
              <w:t>, Phillips)</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1B79FD1" w14:textId="77777777" w:rsidR="007C4598" w:rsidRDefault="00000000">
            <w:pPr>
              <w:spacing w:after="40"/>
            </w:pPr>
            <w:r>
              <w:t>Effetti della formazione su cinque livelli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C7ACF71" w14:textId="77777777" w:rsidR="007C4598" w:rsidRDefault="00000000">
            <w:pPr>
              <w:spacing w:after="40"/>
            </w:pPr>
            <w:r>
              <w:t>Valutazione delle quattro modalità, singole e combinate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E751CF0" w14:textId="77777777" w:rsidR="007C4598" w:rsidRDefault="00000000">
            <w:pPr>
              <w:spacing w:after="40"/>
            </w:pPr>
            <w:r>
              <w:t xml:space="preserve">Tasso di ritorno formativo, livelli di </w:t>
            </w:r>
            <w:proofErr w:type="spellStart"/>
            <w:r>
              <w:t>Kirkpatrick</w:t>
            </w:r>
            <w:proofErr w:type="spellEnd"/>
          </w:p>
        </w:tc>
      </w:tr>
      <w:tr w:rsidR="007C4598" w14:paraId="2E9E48E4"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B7DA919" w14:textId="77777777" w:rsidR="007C4598" w:rsidRDefault="00000000">
            <w:pPr>
              <w:spacing w:after="40"/>
            </w:pPr>
            <w:r>
              <w:t>Approccio del capitale umano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ECD0304" w14:textId="77777777" w:rsidR="007C4598" w:rsidRDefault="00000000">
            <w:pPr>
              <w:spacing w:after="40"/>
            </w:pPr>
            <w:r>
              <w:t>Produttività perduta come reddito potenziale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9F98FB0" w14:textId="77777777" w:rsidR="007C4598" w:rsidRDefault="00000000">
            <w:pPr>
              <w:spacing w:after="40"/>
            </w:pPr>
            <w:r>
              <w:t>Stima massimale delle perdite indirette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60A279B" w14:textId="77777777" w:rsidR="007C4598" w:rsidRDefault="00000000">
            <w:pPr>
              <w:spacing w:after="40"/>
            </w:pPr>
            <w:r>
              <w:t>Valore della produttività perduta</w:t>
            </w:r>
          </w:p>
        </w:tc>
      </w:tr>
      <w:tr w:rsidR="007C4598" w14:paraId="11FE4D06"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95F15AB" w14:textId="77777777" w:rsidR="007C4598" w:rsidRDefault="00000000">
            <w:pPr>
              <w:spacing w:after="40"/>
            </w:pPr>
            <w:r>
              <w:t>Metodo del costo di attrito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FCEF580" w14:textId="77777777" w:rsidR="007C4598" w:rsidRDefault="00000000">
            <w:pPr>
              <w:spacing w:after="40"/>
            </w:pPr>
            <w:r>
              <w:t>Produttività perduta fino alla sostituzione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1ACE1B3" w14:textId="77777777" w:rsidR="007C4598" w:rsidRDefault="00000000">
            <w:pPr>
              <w:spacing w:after="40"/>
            </w:pPr>
            <w:r>
              <w:t>Stima prudenziale delle perdite indirette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05B84B1" w14:textId="77777777" w:rsidR="007C4598" w:rsidRDefault="00000000">
            <w:pPr>
              <w:spacing w:after="40"/>
            </w:pPr>
            <w:r>
              <w:t>Costo del periodo di attrito</w:t>
            </w:r>
          </w:p>
        </w:tc>
      </w:tr>
      <w:tr w:rsidR="007C4598" w14:paraId="421F7639"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3DDA709" w14:textId="77777777" w:rsidR="007C4598" w:rsidRDefault="00000000">
            <w:pPr>
              <w:spacing w:after="40"/>
            </w:pPr>
            <w:r>
              <w:t>Disponibilità a pagare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95DE587" w14:textId="77777777" w:rsidR="007C4598" w:rsidRDefault="00000000">
            <w:pPr>
              <w:spacing w:after="40"/>
            </w:pPr>
            <w:r>
              <w:t>Valore di esiti privi di prezzo di mercato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23B3D0B" w14:textId="77777777" w:rsidR="007C4598" w:rsidRDefault="00000000">
            <w:pPr>
              <w:spacing w:after="40"/>
            </w:pPr>
            <w:r>
              <w:t>Valorizzazione di benefici non monetari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5A19009" w14:textId="77777777" w:rsidR="007C4598" w:rsidRDefault="00000000">
            <w:pPr>
              <w:spacing w:after="40"/>
            </w:pPr>
            <w:r>
              <w:t>Valore espresso dalla preferenza individuale</w:t>
            </w:r>
          </w:p>
        </w:tc>
      </w:tr>
      <w:tr w:rsidR="007C4598" w14:paraId="4D23F205"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C073116" w14:textId="77777777" w:rsidR="007C4598" w:rsidRDefault="00000000">
            <w:pPr>
              <w:spacing w:after="40"/>
            </w:pPr>
            <w:r>
              <w:t>Analisi delle opzioni reali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AF304AA" w14:textId="77777777" w:rsidR="007C4598" w:rsidRDefault="00000000">
            <w:pPr>
              <w:spacing w:after="40"/>
            </w:pPr>
            <w:r>
              <w:t>Valore della flessibilità decisionale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806C845" w14:textId="77777777" w:rsidR="007C4598" w:rsidRDefault="00000000">
            <w:pPr>
              <w:spacing w:after="40"/>
            </w:pPr>
            <w:r>
              <w:t>Valutazione del dimensionamento per fasi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73DE916" w14:textId="77777777" w:rsidR="007C4598" w:rsidRDefault="00000000">
            <w:pPr>
              <w:spacing w:after="40"/>
            </w:pPr>
            <w:r>
              <w:t>Valore dell’opzione di scalare, rinviare, modificare</w:t>
            </w:r>
          </w:p>
        </w:tc>
      </w:tr>
    </w:tbl>
    <w:p w14:paraId="77087B69" w14:textId="77777777" w:rsidR="007C4598" w:rsidRDefault="007C4598"/>
    <w:p w14:paraId="1B7363EE" w14:textId="77777777" w:rsidR="007C4598" w:rsidRDefault="00000000">
      <w:pPr>
        <w:jc w:val="both"/>
      </w:pPr>
      <w:r>
        <w:t xml:space="preserve">Le metodologie elencate non esauriscono il repertorio degli strumenti consultati nella costruzione del telaio, ma ne rappresentano il nucleo operativo, selezionato per la sua pertinenza al quesito e per la sua compatibilità con i vincoli invarianti dell’opera. Ciascuna di esse sarà richiamata, nelle parti seguenti, là dove la grandezza che misura entra in gioco: l’analisi di impatto di bilancio nei costi e nei risparmi diretti, il rendimento sociale dell’investimento e i metodi di produttività nei benefici indiretti, i modelli di </w:t>
      </w:r>
      <w:proofErr w:type="spellStart"/>
      <w:r>
        <w:t>Markov</w:t>
      </w:r>
      <w:proofErr w:type="spellEnd"/>
      <w:r>
        <w:t xml:space="preserve"> e l’analisi di sensibilità nella modellazione e nella previsione. La presente voce ne ha fissato la funzione e l’ordine; la voce seguente stabilisce la regola che ne disciplina la composizione.</w:t>
      </w:r>
    </w:p>
    <w:p w14:paraId="34CD73CF" w14:textId="77777777" w:rsidR="007C4598" w:rsidRDefault="007C4598"/>
    <w:p w14:paraId="48E09794" w14:textId="77777777" w:rsidR="007C4598" w:rsidRDefault="00000000">
      <w:pPr>
        <w:pStyle w:val="Titolo3"/>
        <w:spacing w:before="200" w:after="100"/>
      </w:pPr>
      <w:r>
        <w:rPr>
          <w:color w:val="16264B"/>
          <w:sz w:val="22"/>
          <w:szCs w:val="22"/>
        </w:rPr>
        <w:t>1.5  La rinegoziazione dei costi e dei benefici: tassonomia, confini, regola di non duplicazione</w:t>
      </w:r>
    </w:p>
    <w:p w14:paraId="6B23D843" w14:textId="77777777" w:rsidR="007C4598" w:rsidRDefault="007C4598"/>
    <w:p w14:paraId="592C77D4" w14:textId="77777777" w:rsidR="007C4598" w:rsidRDefault="00000000">
      <w:pPr>
        <w:jc w:val="both"/>
      </w:pPr>
      <w:r>
        <w:t>La rinegoziazione dei costi e dei benefici non è una semplice contabilizzazione, ma la ridefinizione sistematica del quadro economico della riforma alla luce del perimetro integrale e delle leve abilitanti. Essa muove dalla constatazione che il valore generato dallo Psicologo di Base non si esaurisce nel bilancio sanitario, ma si propaga lungo la cascata delle figure e la matrice dei domini; e si propone di stimare tale valore senza ometterne alcuna componente e senza contarne alcuna due volte. A questo duplice scopo — completezza e prudenza — sono ordinati la tassonomia delle grandezze, la distinzione dei loro confini e la regola di non duplicazione.</w:t>
      </w:r>
    </w:p>
    <w:p w14:paraId="19FDD2AA" w14:textId="77777777" w:rsidR="007C4598" w:rsidRDefault="007C4598"/>
    <w:p w14:paraId="398784A5" w14:textId="77777777" w:rsidR="007C4598" w:rsidRDefault="00000000">
      <w:pPr>
        <w:jc w:val="both"/>
      </w:pPr>
      <w:r>
        <w:t>La tassonomia dei costi distingue quattro categorie principali, tutte gravanti sul bilancio sanitario regionale e perciò di natura diretta. La prima è il costo del personale, che comprende le retribuzioni e gli oneri delle figure attivate lungo la cascata. La seconda è il costo di struttura, coordinamento e organizzazione, che comprende gli spazi, la strumentazione e le funzioni di governo del servizio. La terza è il costo incrementale della leva digitale e dell’Intelligenza Artificiale, isolato in quanto aggiuntivo rispetto all’assetto ordinario. La quarta è il costo della formazione, articolato secondo le quattro modalità. Queste categorie esauriscono gli esborsi che la riforma impone al sistema e costituiscono il lato dei costi del saldo.</w:t>
      </w:r>
    </w:p>
    <w:p w14:paraId="1EF89352" w14:textId="77777777" w:rsidR="007C4598" w:rsidRDefault="007C4598"/>
    <w:p w14:paraId="4138816A" w14:textId="77777777" w:rsidR="007C4598" w:rsidRDefault="00000000">
      <w:pPr>
        <w:jc w:val="both"/>
      </w:pPr>
      <w:r>
        <w:t>La tassonomia dei benefici distingue invece due nature radicalmente diverse, che l’opera non confonde mai. I benefici diretti sono i risparmi che si producono nel bilancio sanitario regionale — la minore spesa farmaceutica inappropriata, i minori accessi al pronto soccorso e i minori ricoveri, la riduzione della mobilità sanitaria passiva, il contenimento di esami, visite e invii impropri — e hanno natura fiscale, poiché liberano risorse pubbliche del medesimo bilancio che sostiene i costi. I benefici indiretti sono invece le ricadute economico-sociali che si manifestano negli altri ambiti del perimetro — il recupero di produttività, le minori prestazioni previdenziali, i minori costi della giustizia, il benessere recuperato — e hanno natura prevalentemente sociale, ricadendo sulla collettività e sulla finanza pubblica allargata.</w:t>
      </w:r>
    </w:p>
    <w:p w14:paraId="2FC98412" w14:textId="77777777" w:rsidR="007C4598" w:rsidRDefault="007C4598"/>
    <w:p w14:paraId="60DC61BB" w14:textId="77777777" w:rsidR="007C4598" w:rsidRDefault="00000000">
      <w:pPr>
        <w:jc w:val="both"/>
      </w:pPr>
      <w:r>
        <w:t>Il primo confine, tra grandezze dirette e indirette, separa dunque ciò che incide sul bilancio sanitario da ciò che incide sugli altri ambiti. Il secondo confine, tra grandezze fiscali e sociali, separa ciò che si traduce in minore spesa o maggiore entrata pubblica da ciò che si traduce in valore per gli individui e per la società non immediatamente contabilizzato in un bilancio. I due confini non coincidono perfettamente, poiché alcune ricadute indirette — le minori prestazioni previdenziali, i minori costi della giustizia — hanno al tempo stesso natura sociale e rilevanza fiscale per bilanci pubblici diversi da quello sanitario; e proprio per questo la loro collocazione è dichiarata con precisione, affinché non siano sommate due volte.</w:t>
      </w:r>
    </w:p>
    <w:p w14:paraId="019E2FCF" w14:textId="77777777" w:rsidR="007C4598" w:rsidRDefault="007C4598"/>
    <w:p w14:paraId="2C9CC8C1" w14:textId="77777777" w:rsidR="007C4598" w:rsidRDefault="00000000">
      <w:pPr>
        <w:jc w:val="both"/>
      </w:pPr>
      <w:r>
        <w:t>La regola di non duplicazione è il presidio che rende l’integralità del perimetro compatibile con la prudenza delle stime. Essa stabilisce tre divieti operativi. In primo luogo, un medesimo effetto non può essere attribuito a più di una categoria: il risparmio derivante dalla riduzione di un episodio di cura non può essere contato sia tra i minori accessi al pronto soccorso sia tra le minori prestazioni specialistiche, ma è imputato all’una o all’altra voce secondo la sua natura. In secondo luogo, le grandezze fiscali dirette e quelle sociali e indirette non possono essere aggregate prima del saldo finale, dove la loro composizione è esplicitata e tenuta su piani distinti. In terzo luogo, metodologie che misurano la medesima grandezza per vie diverse non possono essere sommate: l’approccio del capitale umano e il metodo del costo di attrito stimano entrambi la perdita di produttività e perciò non sono mai cumulati, ma adottati l’uno in alternativa all’altro, con scelta dichiarata.</w:t>
      </w:r>
    </w:p>
    <w:p w14:paraId="15CE6291" w14:textId="77777777" w:rsidR="007C4598" w:rsidRDefault="007C4598"/>
    <w:p w14:paraId="29A81A79" w14:textId="77777777" w:rsidR="007C4598" w:rsidRDefault="00000000">
      <w:pPr>
        <w:jc w:val="both"/>
      </w:pPr>
      <w:r>
        <w:rPr>
          <w:b/>
          <w:bCs/>
        </w:rPr>
        <w:t>Tabella 1.5 — Tassonomia dei costi e dei benefici e loro collocazione nel saldo</w:t>
      </w:r>
    </w:p>
    <w:p w14:paraId="310C6239"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58933EC3"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320E0C3" w14:textId="77777777" w:rsidR="007C4598" w:rsidRDefault="00000000">
            <w:pPr>
              <w:spacing w:after="40"/>
            </w:pPr>
            <w:r>
              <w:rPr>
                <w:b/>
                <w:bCs/>
                <w:color w:val="FFFFFF"/>
                <w:sz w:val="18"/>
                <w:szCs w:val="18"/>
              </w:rPr>
              <w:t>Voce</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F5B75F0" w14:textId="77777777" w:rsidR="007C4598" w:rsidRDefault="00000000">
            <w:pPr>
              <w:spacing w:after="40"/>
            </w:pPr>
            <w:r>
              <w:rPr>
                <w:b/>
                <w:bCs/>
                <w:color w:val="FFFFFF"/>
                <w:sz w:val="18"/>
                <w:szCs w:val="18"/>
              </w:rPr>
              <w:t>Natura</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2C8594B" w14:textId="77777777" w:rsidR="007C4598" w:rsidRDefault="00000000">
            <w:pPr>
              <w:spacing w:after="40"/>
            </w:pPr>
            <w:r>
              <w:rPr>
                <w:b/>
                <w:bCs/>
                <w:color w:val="FFFFFF"/>
                <w:sz w:val="18"/>
                <w:szCs w:val="18"/>
              </w:rPr>
              <w:t>Metodologia di misura</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B167BAB" w14:textId="77777777" w:rsidR="007C4598" w:rsidRDefault="00000000">
            <w:pPr>
              <w:spacing w:after="40"/>
            </w:pPr>
            <w:r>
              <w:rPr>
                <w:b/>
                <w:bCs/>
                <w:color w:val="FFFFFF"/>
                <w:sz w:val="18"/>
                <w:szCs w:val="18"/>
              </w:rPr>
              <w:t>Collocazione nel saldo</w:t>
            </w:r>
          </w:p>
        </w:tc>
      </w:tr>
      <w:tr w:rsidR="007C4598" w14:paraId="091F9686"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3DBB168" w14:textId="77777777" w:rsidR="007C4598" w:rsidRDefault="00000000">
            <w:pPr>
              <w:spacing w:after="40"/>
            </w:pPr>
            <w:r>
              <w:t>Costo del personale (cascata delle figure)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E31B235" w14:textId="77777777" w:rsidR="007C4598" w:rsidRDefault="00000000">
            <w:pPr>
              <w:spacing w:after="40"/>
            </w:pPr>
            <w:r>
              <w:t>Diretta · fiscale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38E636A" w14:textId="77777777" w:rsidR="007C4598" w:rsidRDefault="00000000">
            <w:pPr>
              <w:spacing w:after="40"/>
            </w:pPr>
            <w:r>
              <w:t>Costo diretto, analisi di impatto di bilancio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88889E9" w14:textId="77777777" w:rsidR="007C4598" w:rsidRDefault="00000000">
            <w:pPr>
              <w:spacing w:after="40"/>
            </w:pPr>
            <w:r>
              <w:t>Costi diretti</w:t>
            </w:r>
          </w:p>
        </w:tc>
      </w:tr>
      <w:tr w:rsidR="007C4598" w14:paraId="1C4EC686"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BDE5538" w14:textId="77777777" w:rsidR="007C4598" w:rsidRDefault="00000000">
            <w:pPr>
              <w:spacing w:after="40"/>
            </w:pPr>
            <w:r>
              <w:t>Costi di struttura, coordinamento, organizzazione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B780436" w14:textId="77777777" w:rsidR="007C4598" w:rsidRDefault="00000000">
            <w:pPr>
              <w:spacing w:after="40"/>
            </w:pPr>
            <w:r>
              <w:t>Diretta · fiscale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6464E4F" w14:textId="77777777" w:rsidR="007C4598" w:rsidRDefault="00000000">
            <w:pPr>
              <w:spacing w:after="40"/>
            </w:pPr>
            <w:r>
              <w:t>Costo diretto, analisi di impatto di bilancio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236D323" w14:textId="77777777" w:rsidR="007C4598" w:rsidRDefault="00000000">
            <w:pPr>
              <w:spacing w:after="40"/>
            </w:pPr>
            <w:r>
              <w:t>Costi diretti</w:t>
            </w:r>
          </w:p>
        </w:tc>
      </w:tr>
      <w:tr w:rsidR="007C4598" w14:paraId="749CC1A2"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522D03C" w14:textId="77777777" w:rsidR="007C4598" w:rsidRDefault="00000000">
            <w:pPr>
              <w:spacing w:after="40"/>
            </w:pPr>
            <w:r>
              <w:t>Costo incrementale della leva digitale e dell’IA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39B4132" w14:textId="77777777" w:rsidR="007C4598" w:rsidRDefault="00000000">
            <w:pPr>
              <w:spacing w:after="40"/>
            </w:pPr>
            <w:r>
              <w:t>Diretta · fiscale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6210C3C" w14:textId="77777777" w:rsidR="007C4598" w:rsidRDefault="00000000">
            <w:pPr>
              <w:spacing w:after="40"/>
            </w:pPr>
            <w:r>
              <w:t>Costo diretto incrementale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CDF1105" w14:textId="77777777" w:rsidR="007C4598" w:rsidRDefault="00000000">
            <w:pPr>
              <w:spacing w:after="40"/>
            </w:pPr>
            <w:r>
              <w:t>Costi diretti</w:t>
            </w:r>
          </w:p>
        </w:tc>
      </w:tr>
      <w:tr w:rsidR="007C4598" w14:paraId="331C0C02"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CBD555E" w14:textId="77777777" w:rsidR="007C4598" w:rsidRDefault="00000000">
            <w:pPr>
              <w:spacing w:after="40"/>
            </w:pPr>
            <w:r>
              <w:t>Costo della formazione (quattro modalità)</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680D82E" w14:textId="77777777" w:rsidR="007C4598" w:rsidRDefault="00000000">
            <w:pPr>
              <w:spacing w:after="40"/>
            </w:pPr>
            <w:r>
              <w:t>Diretta · fiscale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7F23F2A" w14:textId="77777777" w:rsidR="007C4598" w:rsidRDefault="00000000">
            <w:pPr>
              <w:spacing w:after="40"/>
            </w:pPr>
            <w:r>
              <w:t>Costo diretto, ritorno sull’investimento formativo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36E2207" w14:textId="77777777" w:rsidR="007C4598" w:rsidRDefault="00000000">
            <w:pPr>
              <w:spacing w:after="40"/>
            </w:pPr>
            <w:r>
              <w:t>Costi diretti</w:t>
            </w:r>
          </w:p>
        </w:tc>
      </w:tr>
      <w:tr w:rsidR="007C4598" w14:paraId="632ED821"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6057BAC" w14:textId="77777777" w:rsidR="007C4598" w:rsidRDefault="00000000">
            <w:pPr>
              <w:spacing w:after="40"/>
            </w:pPr>
            <w:r>
              <w:t>Minore spesa farmaceutica inappropriata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B66523F" w14:textId="77777777" w:rsidR="007C4598" w:rsidRDefault="00000000">
            <w:pPr>
              <w:spacing w:after="40"/>
            </w:pPr>
            <w:r>
              <w:t>Diretta · fiscale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F6E0FC9" w14:textId="77777777" w:rsidR="007C4598" w:rsidRDefault="00000000">
            <w:pPr>
              <w:spacing w:after="40"/>
            </w:pPr>
            <w:r>
              <w:t>Analisi di impatto di bilancio, costo-efficacia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C603DC8" w14:textId="77777777" w:rsidR="007C4598" w:rsidRDefault="00000000">
            <w:pPr>
              <w:spacing w:after="40"/>
            </w:pPr>
            <w:r>
              <w:t>Risparmi diretti</w:t>
            </w:r>
          </w:p>
        </w:tc>
      </w:tr>
      <w:tr w:rsidR="007C4598" w14:paraId="6352B1BD"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72645DA" w14:textId="77777777" w:rsidR="007C4598" w:rsidRDefault="00000000">
            <w:pPr>
              <w:spacing w:after="40"/>
            </w:pPr>
            <w:r>
              <w:t>Minori accessi al pronto soccorso e ricoveri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2528A32" w14:textId="77777777" w:rsidR="007C4598" w:rsidRDefault="00000000">
            <w:pPr>
              <w:spacing w:after="40"/>
            </w:pPr>
            <w:r>
              <w:t>Diretta · fiscale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38C7D60" w14:textId="77777777" w:rsidR="007C4598" w:rsidRDefault="00000000">
            <w:pPr>
              <w:spacing w:after="40"/>
            </w:pPr>
            <w:r>
              <w:t>Analisi di impatto di bilancio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FB2A437" w14:textId="77777777" w:rsidR="007C4598" w:rsidRDefault="00000000">
            <w:pPr>
              <w:spacing w:after="40"/>
            </w:pPr>
            <w:r>
              <w:t>Risparmi diretti</w:t>
            </w:r>
          </w:p>
        </w:tc>
      </w:tr>
      <w:tr w:rsidR="007C4598" w14:paraId="795DE406"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6797EBE" w14:textId="77777777" w:rsidR="007C4598" w:rsidRDefault="00000000">
            <w:pPr>
              <w:spacing w:after="40"/>
            </w:pPr>
            <w:r>
              <w:t>Riduzione della mobilità sanitaria passiva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E002C1F" w14:textId="77777777" w:rsidR="007C4598" w:rsidRDefault="00000000">
            <w:pPr>
              <w:spacing w:after="40"/>
            </w:pPr>
            <w:r>
              <w:t>Diretta · fiscale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7A966B8" w14:textId="77777777" w:rsidR="007C4598" w:rsidRDefault="00000000">
            <w:pPr>
              <w:spacing w:after="40"/>
            </w:pPr>
            <w:r>
              <w:t>Analisi di impatto di bilancio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8D6894C" w14:textId="77777777" w:rsidR="007C4598" w:rsidRDefault="00000000">
            <w:pPr>
              <w:spacing w:after="40"/>
            </w:pPr>
            <w:r>
              <w:t>Risparmi diretti</w:t>
            </w:r>
          </w:p>
        </w:tc>
      </w:tr>
      <w:tr w:rsidR="007C4598" w14:paraId="4E2C9174"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201BBF5" w14:textId="77777777" w:rsidR="007C4598" w:rsidRDefault="00000000">
            <w:pPr>
              <w:spacing w:after="40"/>
            </w:pPr>
            <w:r>
              <w:t>Recupero di produttività</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794708F" w14:textId="77777777" w:rsidR="007C4598" w:rsidRDefault="00000000">
            <w:pPr>
              <w:spacing w:after="40"/>
            </w:pPr>
            <w:r>
              <w:t>Indiretta · sociale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4AEED86" w14:textId="77777777" w:rsidR="007C4598" w:rsidRDefault="00000000">
            <w:pPr>
              <w:spacing w:after="40"/>
            </w:pPr>
            <w:r>
              <w:t>Capitale umano oppure costo di attrito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5DB03C5" w14:textId="77777777" w:rsidR="007C4598" w:rsidRDefault="00000000">
            <w:pPr>
              <w:spacing w:after="40"/>
            </w:pPr>
            <w:r>
              <w:t>Benefici indiretti</w:t>
            </w:r>
          </w:p>
        </w:tc>
      </w:tr>
      <w:tr w:rsidR="007C4598" w14:paraId="5E612C61"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ED4F6C5" w14:textId="77777777" w:rsidR="007C4598" w:rsidRDefault="00000000">
            <w:pPr>
              <w:spacing w:after="40"/>
            </w:pPr>
            <w:r>
              <w:t>Minori prestazioni previdenziali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B0B9F0F" w14:textId="77777777" w:rsidR="007C4598" w:rsidRDefault="00000000">
            <w:pPr>
              <w:spacing w:after="40"/>
            </w:pPr>
            <w:r>
              <w:t>Indiretta · sociale e fiscale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7E1E4D5" w14:textId="77777777" w:rsidR="007C4598" w:rsidRDefault="00000000">
            <w:pPr>
              <w:spacing w:after="40"/>
            </w:pPr>
            <w:r>
              <w:t>Analisi dedicata, rendimento sociale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01485E2" w14:textId="77777777" w:rsidR="007C4598" w:rsidRDefault="00000000">
            <w:pPr>
              <w:spacing w:after="40"/>
            </w:pPr>
            <w:r>
              <w:t>Benefici indiretti</w:t>
            </w:r>
          </w:p>
        </w:tc>
      </w:tr>
      <w:tr w:rsidR="007C4598" w14:paraId="0981D6DE"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0F07A0D" w14:textId="77777777" w:rsidR="007C4598" w:rsidRDefault="00000000">
            <w:pPr>
              <w:spacing w:after="40"/>
            </w:pPr>
            <w:r>
              <w:t>Minori costi della giustizia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4872562" w14:textId="77777777" w:rsidR="007C4598" w:rsidRDefault="00000000">
            <w:pPr>
              <w:spacing w:after="40"/>
            </w:pPr>
            <w:r>
              <w:t>Indiretta · sociale e fiscale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FB1E037" w14:textId="77777777" w:rsidR="007C4598" w:rsidRDefault="00000000">
            <w:pPr>
              <w:spacing w:after="40"/>
            </w:pPr>
            <w:r>
              <w:t>Analisi dedicata, rendimento sociale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5F37FFD" w14:textId="77777777" w:rsidR="007C4598" w:rsidRDefault="00000000">
            <w:pPr>
              <w:spacing w:after="40"/>
            </w:pPr>
            <w:r>
              <w:t>Benefici indiretti</w:t>
            </w:r>
          </w:p>
        </w:tc>
      </w:tr>
      <w:tr w:rsidR="007C4598" w14:paraId="31E42CAA"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51CC0D7" w14:textId="77777777" w:rsidR="007C4598" w:rsidRDefault="00000000">
            <w:pPr>
              <w:spacing w:after="40"/>
            </w:pPr>
            <w:r>
              <w:t>Benessere e qualità della vita recuperati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B1EC8CE" w14:textId="77777777" w:rsidR="007C4598" w:rsidRDefault="00000000">
            <w:pPr>
              <w:spacing w:after="40"/>
            </w:pPr>
            <w:r>
              <w:t>Indiretta · sociale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70A525C" w14:textId="77777777" w:rsidR="007C4598" w:rsidRDefault="00000000">
            <w:pPr>
              <w:spacing w:after="40"/>
            </w:pPr>
            <w:r>
              <w:t>Costo-utilità (QALY), rendimento sociale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2069738" w14:textId="77777777" w:rsidR="007C4598" w:rsidRDefault="00000000">
            <w:pPr>
              <w:spacing w:after="40"/>
            </w:pPr>
            <w:r>
              <w:t>Benefici indiretti ed esiti</w:t>
            </w:r>
          </w:p>
        </w:tc>
      </w:tr>
    </w:tbl>
    <w:p w14:paraId="19925020" w14:textId="77777777" w:rsidR="007C4598" w:rsidRDefault="007C4598"/>
    <w:p w14:paraId="1D18915A" w14:textId="77777777" w:rsidR="007C4598" w:rsidRDefault="00000000">
      <w:pPr>
        <w:jc w:val="both"/>
      </w:pPr>
      <w:r>
        <w:t>La rinegoziazione, così disciplinata, non gonfia il valore della riforma né lo comprime, ma lo rappresenta nella sua effettiva estensione, distinguendo ciò che ritorna al bilancio sanitario da ciò che ritorna alla collettività. Questa disciplina è la condizione della credibilità dell’opera dinanzi a un decisore, perché un saldo che sommasse grandezze sovrapposte sarebbe tanto più alto quanto meno affidabile. Le voci seguenti forniscono gli strumenti — la batteria di indicatori e la graduazione dell’evidenza — che consentono di applicare questa tassonomia a dati concreti.7</w:t>
      </w:r>
    </w:p>
    <w:p w14:paraId="528CE63D" w14:textId="77777777" w:rsidR="007C4598" w:rsidRDefault="007C4598"/>
    <w:p w14:paraId="02698303" w14:textId="77777777" w:rsidR="007C4598" w:rsidRDefault="00000000">
      <w:pPr>
        <w:pStyle w:val="Titolo3"/>
        <w:spacing w:before="200" w:after="100"/>
      </w:pPr>
      <w:r>
        <w:rPr>
          <w:color w:val="16264B"/>
          <w:sz w:val="22"/>
          <w:szCs w:val="22"/>
        </w:rPr>
        <w:t>1.6  La batteria integrale di indicatori, variabili e parametri</w:t>
      </w:r>
    </w:p>
    <w:p w14:paraId="24D3BD31" w14:textId="77777777" w:rsidR="007C4598" w:rsidRDefault="007C4598"/>
    <w:p w14:paraId="6A0DD5FF" w14:textId="77777777" w:rsidR="007C4598" w:rsidRDefault="00000000">
      <w:pPr>
        <w:jc w:val="both"/>
      </w:pPr>
      <w:r>
        <w:t>La valutazione di un perimetro integrale richiede una batteria di indicatori condivisa, che attraversi le figure e i domini e renda commensurabili contributi di natura diversa. Senza un sistema comune di misura, gli effetti clinici, economici, organizzativi e sociali resterebbero incomparabili e la loro composizione nel saldo sarebbe arbitraria. La batteria adottata dall’opera è organizzata per dimensioni, e a ciascuna dimensione corrispondono indicatori definiti, con le rispettive unità di misura e fonti, così che ogni stima sia tracciabile e verificabile.</w:t>
      </w:r>
    </w:p>
    <w:p w14:paraId="2FD77646" w14:textId="77777777" w:rsidR="007C4598" w:rsidRDefault="007C4598"/>
    <w:p w14:paraId="77E11EB6" w14:textId="77777777" w:rsidR="007C4598" w:rsidRDefault="00000000">
      <w:pPr>
        <w:jc w:val="both"/>
      </w:pPr>
      <w:r>
        <w:t>La dimensione clinica misura il bisogno e l’esito attraverso strumenti validati e ampiamente impiegati nelle cure primarie, quali le scale per la valutazione dei sintomi depressivi e ansiosi, e attraverso i tassi di miglioramento e di remissione rilevati seduta per seduta. La dimensione della salute traduce gli esiti clinici in anni di vita ponderati per la qualità, l’indicatore che consente di confrontare interventi rivolti a condizioni diverse e di alimentare la valutazione costo-utilità e la modellazione. Queste due dimensioni costituiscono il fondamento su cui poggiano tutte le stime economiche successive, poiché senza una misura dell’efficacia clinica non vi è alcuna base per stimare il valore economico.</w:t>
      </w:r>
    </w:p>
    <w:p w14:paraId="126430AB" w14:textId="77777777" w:rsidR="007C4598" w:rsidRDefault="007C4598"/>
    <w:p w14:paraId="28ABD009" w14:textId="77777777" w:rsidR="007C4598" w:rsidRDefault="00000000">
      <w:pPr>
        <w:jc w:val="both"/>
      </w:pPr>
      <w:r>
        <w:t>La dimensione economica si articola in indicatori diretti e di sintesi. Gli indicatori diretti comprendono il costo per paziente e l’impatto annuo netto sul bilancio per ciascuno scenario di copertura; gli indicatori di sintesi comprendono il rapporto incrementale costo-efficacia, ossia il costo per anno di vita ponderato per la qualità guadagnato, e il rapporto tra benefici e costi. La dimensione organizzativa misura il funzionamento del servizio attraverso i tempi di attesa, i tassi di invio ai servizi specialistici e la copertura del fabbisogno, indicatori che collegano la valutazione economica alle scelte di dimensionamento.</w:t>
      </w:r>
    </w:p>
    <w:p w14:paraId="6258C0C9" w14:textId="77777777" w:rsidR="007C4598" w:rsidRDefault="007C4598"/>
    <w:p w14:paraId="01E8BEDB" w14:textId="77777777" w:rsidR="007C4598" w:rsidRDefault="00000000">
      <w:pPr>
        <w:jc w:val="both"/>
      </w:pPr>
      <w:r>
        <w:t xml:space="preserve">Le dimensioni dei domini extra-sanitari completano la batteria e ne costituiscono la parte propriamente integrale. La dimensione lavorativa misura l’assenteismo, il </w:t>
      </w:r>
      <w:proofErr w:type="spellStart"/>
      <w:r>
        <w:t>presenteismo</w:t>
      </w:r>
      <w:proofErr w:type="spellEnd"/>
      <w:r>
        <w:t xml:space="preserve"> e le giornate di lavoro perdute; la dimensione previdenziale misura le domande di inabilità e di invalidità per cause psichiche; la dimensione scolastica misura la dispersione e il rendimento; la dimensione criminologica misura la recidiva e i costi della giustizia; la dimensione sociale misura il capitale sociale e il carico assistenziale sui familiari. A queste si aggiunge la dimensione dell’incertezza, che misura la probabilità di costo-efficacia e l’ampiezza degli intervalli, e che governa la formulazione delle previsioni.</w:t>
      </w:r>
    </w:p>
    <w:p w14:paraId="58EE973F" w14:textId="77777777" w:rsidR="007C4598" w:rsidRDefault="007C4598"/>
    <w:p w14:paraId="542D34DD" w14:textId="77777777" w:rsidR="007C4598" w:rsidRDefault="00000000">
      <w:pPr>
        <w:jc w:val="both"/>
      </w:pPr>
      <w:r>
        <w:t>Accanto agli indicatori, la batteria comprende un nucleo di parametri invarianti, comuni a tutte le applicazioni regionali del telaio, derivati dalla modellazione di riferimento del progetto. Tali parametri quantificano, per il paziente tipo, un risparmio dell’ordine di 1.304 euro, un guadagno di 0,236 anni di vita ponderati per la qualità, una costo-efficacia nell’88,9 per cento delle simulazioni e una dominanza, ossia un esito al tempo stesso più efficace e meno costoso, nell’84,6 per cento dei casi, con un beneficio netto medio dell’ordine di 7.815 euro e un intervallo di confidenza al 95 per cento compreso, prudenzialmente, tra un valore negativo di circa 5.736 euro e un valore positivo di circa 21.501 euro. Questi parametri non mutano da Regione a Regione e costituiscono l’ancoraggio quantitativo della parte invariante del telaio; i dati epidemiologici, demografici e finanziari regionali ne costituiscono invece la parte variabile.</w:t>
      </w:r>
    </w:p>
    <w:p w14:paraId="6551DF1F" w14:textId="77777777" w:rsidR="007C4598" w:rsidRDefault="007C4598"/>
    <w:p w14:paraId="10E98421" w14:textId="77777777" w:rsidR="007C4598" w:rsidRDefault="00000000">
      <w:pPr>
        <w:jc w:val="both"/>
      </w:pPr>
      <w:r>
        <w:rPr>
          <w:b/>
          <w:bCs/>
        </w:rPr>
        <w:t>Tabella 1.6 — La batteria integrale di indicatori per dimensione</w:t>
      </w:r>
    </w:p>
    <w:p w14:paraId="697E8DA0"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570820F4"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70C1056" w14:textId="77777777" w:rsidR="007C4598" w:rsidRDefault="00000000">
            <w:pPr>
              <w:spacing w:after="40"/>
            </w:pPr>
            <w:r>
              <w:rPr>
                <w:b/>
                <w:bCs/>
                <w:color w:val="FFFFFF"/>
                <w:sz w:val="18"/>
                <w:szCs w:val="18"/>
              </w:rPr>
              <w:t>Dimensione</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4DB8B95" w14:textId="77777777" w:rsidR="007C4598" w:rsidRDefault="00000000">
            <w:pPr>
              <w:spacing w:after="40"/>
            </w:pPr>
            <w:r>
              <w:rPr>
                <w:b/>
                <w:bCs/>
                <w:color w:val="FFFFFF"/>
                <w:sz w:val="18"/>
                <w:szCs w:val="18"/>
              </w:rPr>
              <w:t>Indicatori principali</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586B2E3" w14:textId="77777777" w:rsidR="007C4598" w:rsidRDefault="00000000">
            <w:pPr>
              <w:spacing w:after="40"/>
            </w:pPr>
            <w:r>
              <w:rPr>
                <w:b/>
                <w:bCs/>
                <w:color w:val="FFFFFF"/>
                <w:sz w:val="18"/>
                <w:szCs w:val="18"/>
              </w:rPr>
              <w:t>Unità di misura</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B898D8D" w14:textId="77777777" w:rsidR="007C4598" w:rsidRDefault="00000000">
            <w:pPr>
              <w:spacing w:after="40"/>
            </w:pPr>
            <w:r>
              <w:rPr>
                <w:b/>
                <w:bCs/>
                <w:color w:val="FFFFFF"/>
                <w:sz w:val="18"/>
                <w:szCs w:val="18"/>
              </w:rPr>
              <w:t>Uso nell’opera</w:t>
            </w:r>
          </w:p>
        </w:tc>
      </w:tr>
      <w:tr w:rsidR="007C4598" w14:paraId="4B3342AD"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DE51C76" w14:textId="77777777" w:rsidR="007C4598" w:rsidRDefault="00000000">
            <w:pPr>
              <w:spacing w:after="40"/>
            </w:pPr>
            <w:r>
              <w:t>Clinica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981C352" w14:textId="77777777" w:rsidR="007C4598" w:rsidRDefault="00000000">
            <w:pPr>
              <w:spacing w:after="40"/>
            </w:pPr>
            <w:r>
              <w:t>Scale dei sintomi ansiosi e depressivi; tasso di remissione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22EDC35" w14:textId="77777777" w:rsidR="007C4598" w:rsidRDefault="00000000">
            <w:pPr>
              <w:spacing w:after="40"/>
            </w:pPr>
            <w:r>
              <w:t>Punteggio; percentuale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AC2B8AA" w14:textId="77777777" w:rsidR="007C4598" w:rsidRDefault="00000000">
            <w:pPr>
              <w:spacing w:after="40"/>
            </w:pPr>
            <w:r>
              <w:t>Misura del bisogno e dell’esito</w:t>
            </w:r>
          </w:p>
        </w:tc>
      </w:tr>
      <w:tr w:rsidR="007C4598" w14:paraId="25C62CD6"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891B66D" w14:textId="77777777" w:rsidR="007C4598" w:rsidRDefault="00000000">
            <w:pPr>
              <w:spacing w:after="40"/>
            </w:pPr>
            <w:r>
              <w:t>Salute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9102353" w14:textId="77777777" w:rsidR="007C4598" w:rsidRDefault="00000000">
            <w:pPr>
              <w:spacing w:after="40"/>
            </w:pPr>
            <w:r>
              <w:t>Anni di vita ponderati per la qualità</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B281C0A" w14:textId="77777777" w:rsidR="007C4598" w:rsidRDefault="00000000">
            <w:pPr>
              <w:spacing w:after="40"/>
            </w:pPr>
            <w:r>
              <w:t>QALY</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CC89343" w14:textId="77777777" w:rsidR="007C4598" w:rsidRDefault="00000000">
            <w:pPr>
              <w:spacing w:after="40"/>
            </w:pPr>
            <w:r>
              <w:t>Costo-utilità e modellazione</w:t>
            </w:r>
          </w:p>
        </w:tc>
      </w:tr>
      <w:tr w:rsidR="007C4598" w14:paraId="32A45D5B"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EB2C9C3" w14:textId="77777777" w:rsidR="007C4598" w:rsidRDefault="00000000">
            <w:pPr>
              <w:spacing w:after="40"/>
            </w:pPr>
            <w:r>
              <w:t>Economica diretta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BF30445" w14:textId="77777777" w:rsidR="007C4598" w:rsidRDefault="00000000">
            <w:pPr>
              <w:spacing w:after="40"/>
            </w:pPr>
            <w:r>
              <w:t>Costo per paziente; impatto annuo netto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4F7C160" w14:textId="77777777" w:rsidR="007C4598" w:rsidRDefault="00000000">
            <w:pPr>
              <w:spacing w:after="40"/>
            </w:pPr>
            <w:r>
              <w:t>Euro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FC278E3" w14:textId="77777777" w:rsidR="007C4598" w:rsidRDefault="00000000">
            <w:pPr>
              <w:spacing w:after="40"/>
            </w:pPr>
            <w:r>
              <w:t>Costo-efficacia e impatto di bilancio</w:t>
            </w:r>
          </w:p>
        </w:tc>
      </w:tr>
      <w:tr w:rsidR="007C4598" w14:paraId="107DBB60"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69E2B12" w14:textId="77777777" w:rsidR="007C4598" w:rsidRDefault="00000000">
            <w:pPr>
              <w:spacing w:after="40"/>
            </w:pPr>
            <w:r>
              <w:t>Economica di sintesi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CE74886" w14:textId="77777777" w:rsidR="007C4598" w:rsidRDefault="00000000">
            <w:pPr>
              <w:spacing w:after="40"/>
            </w:pPr>
            <w:r>
              <w:t>Rapporto incrementale costo-efficacia; rapporto benefici/costi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FD6279B" w14:textId="77777777" w:rsidR="007C4598" w:rsidRDefault="00000000">
            <w:pPr>
              <w:spacing w:after="40"/>
            </w:pPr>
            <w:r>
              <w:t>Euro per QALY; numero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5BA2080" w14:textId="77777777" w:rsidR="007C4598" w:rsidRDefault="00000000">
            <w:pPr>
              <w:spacing w:after="40"/>
            </w:pPr>
            <w:r>
              <w:t>Efficienza e saldo</w:t>
            </w:r>
          </w:p>
        </w:tc>
      </w:tr>
      <w:tr w:rsidR="007C4598" w14:paraId="40E913DC"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28A026E" w14:textId="77777777" w:rsidR="007C4598" w:rsidRDefault="00000000">
            <w:pPr>
              <w:spacing w:after="40"/>
            </w:pPr>
            <w:r>
              <w:t>Organizzativa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38C0469" w14:textId="77777777" w:rsidR="007C4598" w:rsidRDefault="00000000">
            <w:pPr>
              <w:spacing w:after="40"/>
            </w:pPr>
            <w:r>
              <w:t>Tempi di attesa; tasso di invio; copertura del fabbisogno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D9210CD" w14:textId="77777777" w:rsidR="007C4598" w:rsidRDefault="00000000">
            <w:pPr>
              <w:spacing w:after="40"/>
            </w:pPr>
            <w:r>
              <w:t>Giorni; percentuale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79B6E74" w14:textId="77777777" w:rsidR="007C4598" w:rsidRDefault="00000000">
            <w:pPr>
              <w:spacing w:after="40"/>
            </w:pPr>
            <w:r>
              <w:t>Modello organizzativo e scenari</w:t>
            </w:r>
          </w:p>
        </w:tc>
      </w:tr>
      <w:tr w:rsidR="007C4598" w14:paraId="38F87DFD"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8ABAFD8" w14:textId="77777777" w:rsidR="007C4598" w:rsidRDefault="00000000">
            <w:pPr>
              <w:spacing w:after="40"/>
            </w:pPr>
            <w:r>
              <w:t>Lavorativa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D85D1E6" w14:textId="77777777" w:rsidR="007C4598" w:rsidRDefault="00000000">
            <w:pPr>
              <w:spacing w:after="40"/>
            </w:pPr>
            <w:r>
              <w:t xml:space="preserve">Assenteismo; </w:t>
            </w:r>
            <w:proofErr w:type="spellStart"/>
            <w:r>
              <w:t>presenteismo</w:t>
            </w:r>
            <w:proofErr w:type="spellEnd"/>
            <w:r>
              <w:t>; giornate perse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1D25BFE" w14:textId="77777777" w:rsidR="007C4598" w:rsidRDefault="00000000">
            <w:pPr>
              <w:spacing w:after="40"/>
            </w:pPr>
            <w:r>
              <w:t>Giorni; percentuale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E1FE747" w14:textId="77777777" w:rsidR="007C4598" w:rsidRDefault="00000000">
            <w:pPr>
              <w:spacing w:after="40"/>
            </w:pPr>
            <w:r>
              <w:t>Dominio lavorativo</w:t>
            </w:r>
          </w:p>
        </w:tc>
      </w:tr>
      <w:tr w:rsidR="007C4598" w14:paraId="62232730"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0061BAB" w14:textId="77777777" w:rsidR="007C4598" w:rsidRDefault="00000000">
            <w:pPr>
              <w:spacing w:after="40"/>
            </w:pPr>
            <w:r>
              <w:t>Previdenziale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56030E8" w14:textId="77777777" w:rsidR="007C4598" w:rsidRDefault="00000000">
            <w:pPr>
              <w:spacing w:after="40"/>
            </w:pPr>
            <w:r>
              <w:t>Domande di inabilità e invalidità</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641208E" w14:textId="77777777" w:rsidR="007C4598" w:rsidRDefault="00000000">
            <w:pPr>
              <w:spacing w:after="40"/>
            </w:pPr>
            <w:r>
              <w:t>Numero; euro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B8AAD33" w14:textId="77777777" w:rsidR="007C4598" w:rsidRDefault="00000000">
            <w:pPr>
              <w:spacing w:after="40"/>
            </w:pPr>
            <w:r>
              <w:t>Dominio pensionistico</w:t>
            </w:r>
          </w:p>
        </w:tc>
      </w:tr>
      <w:tr w:rsidR="007C4598" w14:paraId="1346D231"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9A335F9" w14:textId="77777777" w:rsidR="007C4598" w:rsidRDefault="00000000">
            <w:pPr>
              <w:spacing w:after="40"/>
            </w:pPr>
            <w:r>
              <w:t>Scolastica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55A93FC" w14:textId="77777777" w:rsidR="007C4598" w:rsidRDefault="00000000">
            <w:pPr>
              <w:spacing w:after="40"/>
            </w:pPr>
            <w:r>
              <w:t>Dispersione; rendimento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EEBEE0E" w14:textId="77777777" w:rsidR="007C4598" w:rsidRDefault="00000000">
            <w:pPr>
              <w:spacing w:after="40"/>
            </w:pPr>
            <w:r>
              <w:t>Percentuale; indicatori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C18822D" w14:textId="77777777" w:rsidR="007C4598" w:rsidRDefault="00000000">
            <w:pPr>
              <w:spacing w:after="40"/>
            </w:pPr>
            <w:r>
              <w:t>Dominio pedagogico e scolastico</w:t>
            </w:r>
          </w:p>
        </w:tc>
      </w:tr>
      <w:tr w:rsidR="007C4598" w14:paraId="44E7CB71"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EFA4D1D" w14:textId="77777777" w:rsidR="007C4598" w:rsidRDefault="00000000">
            <w:pPr>
              <w:spacing w:after="40"/>
            </w:pPr>
            <w:r>
              <w:t>Criminologica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36D0491" w14:textId="77777777" w:rsidR="007C4598" w:rsidRDefault="00000000">
            <w:pPr>
              <w:spacing w:after="40"/>
            </w:pPr>
            <w:r>
              <w:t>Recidiva; costi della giustizia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854D68B" w14:textId="77777777" w:rsidR="007C4598" w:rsidRDefault="00000000">
            <w:pPr>
              <w:spacing w:after="40"/>
            </w:pPr>
            <w:r>
              <w:t>Percentuale; euro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9B737E3" w14:textId="77777777" w:rsidR="007C4598" w:rsidRDefault="00000000">
            <w:pPr>
              <w:spacing w:after="40"/>
            </w:pPr>
            <w:r>
              <w:t>Dominio criminologico</w:t>
            </w:r>
          </w:p>
        </w:tc>
      </w:tr>
      <w:tr w:rsidR="007C4598" w14:paraId="1AB31087"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B748EF0" w14:textId="77777777" w:rsidR="007C4598" w:rsidRDefault="00000000">
            <w:pPr>
              <w:spacing w:after="40"/>
            </w:pPr>
            <w:r>
              <w:t>Sociale e assistenziale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19C3B59" w14:textId="77777777" w:rsidR="007C4598" w:rsidRDefault="00000000">
            <w:pPr>
              <w:spacing w:after="40"/>
            </w:pPr>
            <w:r>
              <w:t xml:space="preserve">Capitale sociale; carico dei </w:t>
            </w:r>
            <w:proofErr w:type="spellStart"/>
            <w:r>
              <w:t>caregiver</w:t>
            </w:r>
            <w:proofErr w:type="spellEnd"/>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19D749D" w14:textId="77777777" w:rsidR="007C4598" w:rsidRDefault="00000000">
            <w:pPr>
              <w:spacing w:after="40"/>
            </w:pPr>
            <w:r>
              <w:t>Indici; ore ed euro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08F761E" w14:textId="77777777" w:rsidR="007C4598" w:rsidRDefault="00000000">
            <w:pPr>
              <w:spacing w:after="40"/>
            </w:pPr>
            <w:r>
              <w:t>Domini sociale e assistenzialistico</w:t>
            </w:r>
          </w:p>
        </w:tc>
      </w:tr>
      <w:tr w:rsidR="007C4598" w14:paraId="189A6FC4"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28DC44A" w14:textId="77777777" w:rsidR="007C4598" w:rsidRDefault="00000000">
            <w:pPr>
              <w:spacing w:after="40"/>
            </w:pPr>
            <w:r>
              <w:t>Incertezza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3B02787" w14:textId="77777777" w:rsidR="007C4598" w:rsidRDefault="00000000">
            <w:pPr>
              <w:spacing w:after="40"/>
            </w:pPr>
            <w:r>
              <w:t>Probabilità di costo-efficacia; intervalli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7E96A11" w14:textId="77777777" w:rsidR="007C4598" w:rsidRDefault="00000000">
            <w:pPr>
              <w:spacing w:after="40"/>
            </w:pPr>
            <w:r>
              <w:t>Percentuale; euro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096E9F6" w14:textId="77777777" w:rsidR="007C4598" w:rsidRDefault="00000000">
            <w:pPr>
              <w:spacing w:after="40"/>
            </w:pPr>
            <w:r>
              <w:t>Modellazione e previsione</w:t>
            </w:r>
          </w:p>
        </w:tc>
      </w:tr>
    </w:tbl>
    <w:p w14:paraId="77BE6D2B" w14:textId="77777777" w:rsidR="007C4598" w:rsidRDefault="007C4598"/>
    <w:p w14:paraId="5F6F08F3" w14:textId="77777777" w:rsidR="007C4598" w:rsidRDefault="00000000">
      <w:pPr>
        <w:jc w:val="both"/>
      </w:pPr>
      <w:r>
        <w:t>La batteria così composta non è un semplice elenco di misure, ma il sistema nervoso dell’intera opera: essa collega il bisogno all’esito, l’esito al valore economico e il valore economico alla previsione, e consente di applicare la tassonomia della voce precedente a ciascuna figura e a ciascun dominio. Gli indicatori e i parametri qui definiti saranno richiamati, nelle parti seguenti, ovunque una grandezza debba essere misurata; e la loro qualità, come quella di ogni evidenza dell’opera, sarà graduata secondo i criteri esposti nella voce che segue.</w:t>
      </w:r>
    </w:p>
    <w:p w14:paraId="41B7358F" w14:textId="77777777" w:rsidR="007C4598" w:rsidRDefault="007C4598"/>
    <w:p w14:paraId="2C8E7C47" w14:textId="77777777" w:rsidR="007C4598" w:rsidRDefault="00000000">
      <w:pPr>
        <w:pStyle w:val="Titolo3"/>
        <w:spacing w:before="200" w:after="100"/>
      </w:pPr>
      <w:r>
        <w:rPr>
          <w:color w:val="16264B"/>
          <w:sz w:val="22"/>
          <w:szCs w:val="22"/>
        </w:rPr>
        <w:t>1.7  La graduazione simmetrica dell’evidenza e i vincoli invarianti</w:t>
      </w:r>
    </w:p>
    <w:p w14:paraId="714274A6" w14:textId="77777777" w:rsidR="007C4598" w:rsidRDefault="007C4598"/>
    <w:p w14:paraId="1D8201BD" w14:textId="77777777" w:rsidR="007C4598" w:rsidRDefault="00000000">
      <w:pPr>
        <w:jc w:val="both"/>
      </w:pPr>
      <w:r>
        <w:t>L’opera non si limita a raccogliere evidenze, ma ne dichiara la qualità, applicando un metodo riconosciuto di graduazione della certezza. Tale metodo distingue quattro livelli — alta, moderata, bassa e molto bassa certezza — e li determina valutando, per ciascun corpo di prove, il disegno degli studi, la coerenza dei risultati, la loro applicabilità al contesto e la precisione delle stime. La graduazione non è un ornamento, ma una garanzia di onestà: essa consente di distinguere ciò che è solidamente dimostrato da ciò che è soltanto plausibile, e di calibrare di conseguenza la forza delle conclusioni.4</w:t>
      </w:r>
    </w:p>
    <w:p w14:paraId="1F8965B0" w14:textId="77777777" w:rsidR="007C4598" w:rsidRDefault="007C4598"/>
    <w:p w14:paraId="750EC2FD" w14:textId="77777777" w:rsidR="007C4598" w:rsidRDefault="00000000">
      <w:pPr>
        <w:jc w:val="both"/>
      </w:pPr>
      <w:r>
        <w:t>Il principio cardine, in questa materia, è la simmetria. La graduazione è applicata con il medesimo rigore alle evidenze cliniche e a quelle relative all’Intelligenza Artificiale, senza che a queste ultime sia riservato alcun trattamento di favore. Un risultato favorevole all’Intelligenza Artificiale derivante da uno studio di qualità limitata riceve la medesima qualificazione prudente che si riserverebbe a un risultato clinico di pari qualità; e una raccomandazione non può fondarsi su un’evidenza di bassa certezza, qualunque ne sia l’oggetto. Questa simmetria è la condizione perché la collocazione dell’Intelligenza Artificiale come leva abilitante, e non come oggetto centrale, si rifletta anche nel trattamento delle sue prove.</w:t>
      </w:r>
    </w:p>
    <w:p w14:paraId="525B4AA3" w14:textId="77777777" w:rsidR="007C4598" w:rsidRDefault="007C4598"/>
    <w:p w14:paraId="134B2A41" w14:textId="77777777" w:rsidR="007C4598" w:rsidRDefault="00000000">
      <w:pPr>
        <w:jc w:val="both"/>
      </w:pPr>
      <w:r>
        <w:t>Alla graduazione dell’evidenza si affiancano i vincoli invarianti, che fissano i limiti quantitativi entro cui ogni stima deve mantenersi. Il primo e più rilevante riguarda il ritorno economico degli investimenti in salute mentale, che è espresso nei soli intervalli sostenuti dalla letteratura di riferimento: da 2,3 a 3,0 a 1 per i soli benefici economici, e da 3,3 a 5,7 a 1 con l’inclusione dei ritorni in salute. Sono esclusi, in quanto privi di fondamento, i valori gonfiati talora reperibili nella pubblicistica, quali i rapporti compresi tra 12 e 18 a 1, la nozione indistinta di saldo netto e il generico rapporto di 4 a 1, che costituisce una semplificazione comunicativa e non un risultato scientifico.5</w:t>
      </w:r>
    </w:p>
    <w:p w14:paraId="45A0CDB0" w14:textId="77777777" w:rsidR="007C4598" w:rsidRDefault="007C4598"/>
    <w:p w14:paraId="44FFBD1E" w14:textId="77777777" w:rsidR="007C4598" w:rsidRDefault="00000000">
      <w:pPr>
        <w:jc w:val="both"/>
      </w:pPr>
      <w:r>
        <w:t xml:space="preserve">Gli ulteriori vincoli completano il presidio. Il </w:t>
      </w:r>
      <w:proofErr w:type="spellStart"/>
      <w:r>
        <w:t>caveat</w:t>
      </w:r>
      <w:proofErr w:type="spellEnd"/>
      <w:r>
        <w:t xml:space="preserve"> dell’IMPACT trial impone di ricordare che, in quello studio, i risparmi sui costi sanitari non hanno raggiunto la significatività statistica, poiché l’intervallo di confidenza al 95 per cento attraversa lo zero: i risparmi diretti, pertanto, sono presentati con la dovuta cautela. La separazione tra grandezze fiscali dirette e ricadute sociali è mantenuta in ogni parte, a impedire ogni duplicazione. Le previsioni sono espresse in bande prudenziali e in forma falsificabile, corredate di soglie il cui superamento modifica la raccomandazione. I dati dei progetti pilota italiani, quali quelli di Solano e di Orvieto, derivando da campioni limitati e da letteratura grigia, sono citati con esplicita riserva. Questi vincoli, presi insieme, definiscono la disciplina epistemologica dell’opera.16</w:t>
      </w:r>
    </w:p>
    <w:p w14:paraId="2206FC1F" w14:textId="77777777" w:rsidR="007C4598" w:rsidRDefault="007C4598"/>
    <w:p w14:paraId="0102EB09" w14:textId="77777777" w:rsidR="007C4598" w:rsidRDefault="00000000">
      <w:pPr>
        <w:jc w:val="both"/>
      </w:pPr>
      <w:r>
        <w:rPr>
          <w:b/>
          <w:bCs/>
        </w:rPr>
        <w:t>Tabella 1.7 — I vincoli metodologici invarianti</w:t>
      </w:r>
    </w:p>
    <w:p w14:paraId="67FF6D77"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0C1DC165"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D176D16" w14:textId="77777777" w:rsidR="007C4598" w:rsidRDefault="00000000">
            <w:pPr>
              <w:spacing w:after="40"/>
            </w:pPr>
            <w:r>
              <w:rPr>
                <w:b/>
                <w:bCs/>
                <w:color w:val="FFFFFF"/>
                <w:sz w:val="18"/>
                <w:szCs w:val="18"/>
              </w:rPr>
              <w:t>Vincolo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6C0B7CA" w14:textId="77777777" w:rsidR="007C4598" w:rsidRDefault="00000000">
            <w:pPr>
              <w:spacing w:after="40"/>
            </w:pPr>
            <w:r>
              <w:rPr>
                <w:b/>
                <w:bCs/>
                <w:color w:val="FFFFFF"/>
                <w:sz w:val="18"/>
                <w:szCs w:val="18"/>
              </w:rPr>
              <w:t>Contenuto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A578F34" w14:textId="77777777" w:rsidR="007C4598" w:rsidRDefault="00000000">
            <w:pPr>
              <w:spacing w:after="40"/>
            </w:pPr>
            <w:r>
              <w:rPr>
                <w:b/>
                <w:bCs/>
                <w:color w:val="FFFFFF"/>
                <w:sz w:val="18"/>
                <w:szCs w:val="18"/>
              </w:rPr>
              <w:t>Ragione</w:t>
            </w:r>
          </w:p>
        </w:tc>
      </w:tr>
      <w:tr w:rsidR="007C4598" w14:paraId="32097CBB"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C90EAC6" w14:textId="77777777" w:rsidR="007C4598" w:rsidRDefault="00000000">
            <w:pPr>
              <w:spacing w:after="40"/>
            </w:pPr>
            <w:r>
              <w:t>Intervalli di ritorno corretti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E8B98C8" w14:textId="77777777" w:rsidR="007C4598" w:rsidRDefault="00000000">
            <w:pPr>
              <w:spacing w:after="40"/>
            </w:pPr>
            <w:r>
              <w:t>2,3–3,0:1 (soli benefici economici); 3,3–5,7:1 (con i ritorni in salute)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C70E4E2" w14:textId="77777777" w:rsidR="007C4598" w:rsidRDefault="00000000">
            <w:pPr>
              <w:spacing w:after="40"/>
            </w:pPr>
            <w:r>
              <w:t>Aderenza alla letteratura ed esclusione dei valori gonfiati (12–18:1; saldo netto; 4:1 generico)</w:t>
            </w:r>
          </w:p>
        </w:tc>
      </w:tr>
      <w:tr w:rsidR="007C4598" w14:paraId="1E82BD8C"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102E87A" w14:textId="77777777" w:rsidR="007C4598" w:rsidRDefault="00000000">
            <w:pPr>
              <w:spacing w:after="40"/>
            </w:pPr>
            <w:proofErr w:type="spellStart"/>
            <w:r>
              <w:t>Caveat</w:t>
            </w:r>
            <w:proofErr w:type="spellEnd"/>
            <w:r>
              <w:t xml:space="preserve"> dell’IMPACT trial</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79D624A" w14:textId="77777777" w:rsidR="007C4598" w:rsidRDefault="00000000">
            <w:pPr>
              <w:spacing w:after="40"/>
            </w:pPr>
            <w:r>
              <w:t>I risparmi sui costi sanitari non sono statisticamente significativi (intervallo di confidenza che attraversa lo zero)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BD0A625" w14:textId="77777777" w:rsidR="007C4598" w:rsidRDefault="00000000">
            <w:pPr>
              <w:spacing w:after="40"/>
            </w:pPr>
            <w:r>
              <w:t>Onestà sull’incertezza dei risparmi diretti</w:t>
            </w:r>
          </w:p>
        </w:tc>
      </w:tr>
      <w:tr w:rsidR="007C4598" w14:paraId="783DE61A"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8AE711D" w14:textId="77777777" w:rsidR="007C4598" w:rsidRDefault="00000000">
            <w:pPr>
              <w:spacing w:after="40"/>
            </w:pPr>
            <w:r>
              <w:t>Separazione fiscale e sociale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736236C" w14:textId="77777777" w:rsidR="007C4598" w:rsidRDefault="00000000">
            <w:pPr>
              <w:spacing w:after="40"/>
            </w:pPr>
            <w:r>
              <w:t>Grandezze fiscali dirette e ricadute sociali tenute distinte fino al saldo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2F9E7C8" w14:textId="77777777" w:rsidR="007C4598" w:rsidRDefault="00000000">
            <w:pPr>
              <w:spacing w:after="40"/>
            </w:pPr>
            <w:r>
              <w:t>Impedire la duplicazione tra categorie</w:t>
            </w:r>
          </w:p>
        </w:tc>
      </w:tr>
      <w:tr w:rsidR="007C4598" w14:paraId="7377B057"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9B17CC9" w14:textId="77777777" w:rsidR="007C4598" w:rsidRDefault="00000000">
            <w:pPr>
              <w:spacing w:after="40"/>
            </w:pPr>
            <w:r>
              <w:t>Bande prudenziali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90D2947" w14:textId="77777777" w:rsidR="007C4598" w:rsidRDefault="00000000">
            <w:pPr>
              <w:spacing w:after="40"/>
            </w:pPr>
            <w:r>
              <w:t>Stime espresse in intervalli, non in valori puntuali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8F53ED0" w14:textId="77777777" w:rsidR="007C4598" w:rsidRDefault="00000000">
            <w:pPr>
              <w:spacing w:after="40"/>
            </w:pPr>
            <w:r>
              <w:t>Prudenza e robustezza delle conclusioni</w:t>
            </w:r>
          </w:p>
        </w:tc>
      </w:tr>
      <w:tr w:rsidR="007C4598" w14:paraId="7868B997"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1B4E055" w14:textId="77777777" w:rsidR="007C4598" w:rsidRDefault="00000000">
            <w:pPr>
              <w:spacing w:after="40"/>
            </w:pPr>
            <w:r>
              <w:t>Falsificabilità</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30EF7EB" w14:textId="77777777" w:rsidR="007C4598" w:rsidRDefault="00000000">
            <w:pPr>
              <w:spacing w:after="40"/>
            </w:pPr>
            <w:r>
              <w:t>Previsioni corredate di benchmark e di soglie confutabili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049C073" w14:textId="77777777" w:rsidR="007C4598" w:rsidRDefault="00000000">
            <w:pPr>
              <w:spacing w:after="40"/>
            </w:pPr>
            <w:r>
              <w:t>Verificabilità ex-post della previsione</w:t>
            </w:r>
          </w:p>
        </w:tc>
      </w:tr>
      <w:tr w:rsidR="007C4598" w14:paraId="3FA2A2B0"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4A4D070" w14:textId="77777777" w:rsidR="007C4598" w:rsidRDefault="00000000">
            <w:pPr>
              <w:spacing w:after="40"/>
            </w:pPr>
            <w:r>
              <w:t>Cautela sui dati pilota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1DD38D3" w14:textId="77777777" w:rsidR="007C4598" w:rsidRDefault="00000000">
            <w:pPr>
              <w:spacing w:after="40"/>
            </w:pPr>
            <w:r>
              <w:t>Dati di Solano e Orvieto da campioni limitati e letteratura grigia, citati con riserva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ED9ABDA" w14:textId="77777777" w:rsidR="007C4598" w:rsidRDefault="00000000">
            <w:pPr>
              <w:spacing w:after="40"/>
            </w:pPr>
            <w:r>
              <w:t>Onestà sulla qualità delle fonti</w:t>
            </w:r>
          </w:p>
        </w:tc>
      </w:tr>
      <w:tr w:rsidR="007C4598" w14:paraId="6A6CB467"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D480145" w14:textId="77777777" w:rsidR="007C4598" w:rsidRDefault="00000000">
            <w:pPr>
              <w:spacing w:after="40"/>
            </w:pPr>
            <w:r>
              <w:t>Graduazione simmetrica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E658AE9" w14:textId="77777777" w:rsidR="007C4598" w:rsidRDefault="00000000">
            <w:pPr>
              <w:spacing w:after="40"/>
            </w:pPr>
            <w:r>
              <w:t>Metodo applicato con eguale rigore a evidenze cliniche e a evidenze sull’Intelligenza Artificiale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88ED421" w14:textId="77777777" w:rsidR="007C4598" w:rsidRDefault="00000000">
            <w:pPr>
              <w:spacing w:after="40"/>
            </w:pPr>
            <w:r>
              <w:t>Evitare ogni trattamento di favore per la tecnologia</w:t>
            </w:r>
          </w:p>
        </w:tc>
      </w:tr>
    </w:tbl>
    <w:p w14:paraId="6751B905" w14:textId="77777777" w:rsidR="007C4598" w:rsidRDefault="007C4598"/>
    <w:p w14:paraId="4533DA58" w14:textId="77777777" w:rsidR="007C4598" w:rsidRDefault="00000000">
      <w:pPr>
        <w:jc w:val="both"/>
      </w:pPr>
      <w:r>
        <w:t>La graduazione dell’evidenza e i vincoli invarianti, congiunti, costituiscono la coscienza critica dell’opera. Essi non ne limitano l’ambizione, ma ne assicurano la credibilità, poiché un’analisi integrale che non dichiarasse la qualità delle proprie prove e non si imponesse limiti quantitativi sarebbe tanto più vasta quanto meno persuasiva. Le voci conclusive della parte collocano, entro questa disciplina, l’Intelligenza Artificiale e la formazione, e dichiarano le fonti, i limiti e l’agenda di verifica documentale dell’opera.</w:t>
      </w:r>
    </w:p>
    <w:p w14:paraId="714C4087" w14:textId="77777777" w:rsidR="007C4598" w:rsidRDefault="007C4598"/>
    <w:p w14:paraId="15545DBA" w14:textId="77777777" w:rsidR="007C4598" w:rsidRDefault="00000000">
      <w:pPr>
        <w:pStyle w:val="Titolo2"/>
        <w:spacing w:before="200" w:after="100"/>
      </w:pPr>
      <w:r>
        <w:rPr>
          <w:sz w:val="22"/>
          <w:szCs w:val="22"/>
        </w:rPr>
        <w:t>Note Bibliografiche Integrali — Parte I (sezione in corso)</w:t>
      </w:r>
    </w:p>
    <w:p w14:paraId="609C6496" w14:textId="77777777" w:rsidR="007C4598" w:rsidRDefault="007C4598"/>
    <w:p w14:paraId="6ACBBB49" w14:textId="77777777" w:rsidR="007C4598" w:rsidRDefault="00000000">
      <w:pPr>
        <w:jc w:val="both"/>
      </w:pPr>
      <w:r>
        <w:t>Le note che seguono accompagnano la presente tranche della Parte I. Ciascuna nota reca il nome della fonte, il collegamento e un mini-riassunto del suo contenuto e del suo uso nell’opera. L’apparato sarà completato con lo sviluppo delle voci successive e consolidato nella sezione finale della parte.</w:t>
      </w:r>
    </w:p>
    <w:p w14:paraId="24DCD5D5" w14:textId="77777777" w:rsidR="007C4598" w:rsidRDefault="007C4598"/>
    <w:p w14:paraId="47041F06" w14:textId="77777777" w:rsidR="007C4598" w:rsidRDefault="00000000">
      <w:pPr>
        <w:jc w:val="both"/>
      </w:pPr>
      <w:r>
        <w:rPr>
          <w:b/>
          <w:bCs/>
        </w:rPr>
        <w:t xml:space="preserve">1. </w:t>
      </w:r>
      <w:proofErr w:type="spellStart"/>
      <w:r>
        <w:rPr>
          <w:b/>
          <w:bCs/>
        </w:rPr>
        <w:t>Husereau</w:t>
      </w:r>
      <w:proofErr w:type="spellEnd"/>
      <w:r>
        <w:rPr>
          <w:b/>
          <w:bCs/>
        </w:rPr>
        <w:t xml:space="preserve"> D. et al., </w:t>
      </w:r>
      <w:proofErr w:type="spellStart"/>
      <w:r>
        <w:rPr>
          <w:b/>
          <w:bCs/>
        </w:rPr>
        <w:t>Consolidated</w:t>
      </w:r>
      <w:proofErr w:type="spellEnd"/>
      <w:r>
        <w:rPr>
          <w:b/>
          <w:bCs/>
        </w:rPr>
        <w:t xml:space="preserve"> </w:t>
      </w:r>
      <w:proofErr w:type="spellStart"/>
      <w:r>
        <w:rPr>
          <w:b/>
          <w:bCs/>
        </w:rPr>
        <w:t>Health</w:t>
      </w:r>
      <w:proofErr w:type="spellEnd"/>
      <w:r>
        <w:rPr>
          <w:b/>
          <w:bCs/>
        </w:rPr>
        <w:t xml:space="preserve"> </w:t>
      </w:r>
      <w:proofErr w:type="spellStart"/>
      <w:r>
        <w:rPr>
          <w:b/>
          <w:bCs/>
        </w:rPr>
        <w:t>Economic</w:t>
      </w:r>
      <w:proofErr w:type="spellEnd"/>
      <w:r>
        <w:rPr>
          <w:b/>
          <w:bCs/>
        </w:rPr>
        <w:t xml:space="preserve"> Evaluation Reporting </w:t>
      </w:r>
      <w:proofErr w:type="spellStart"/>
      <w:r>
        <w:rPr>
          <w:b/>
          <w:bCs/>
        </w:rPr>
        <w:t>Standards</w:t>
      </w:r>
      <w:proofErr w:type="spellEnd"/>
      <w:r>
        <w:rPr>
          <w:b/>
          <w:bCs/>
        </w:rPr>
        <w:t xml:space="preserve"> 2022 (CHEERS 2022)</w:t>
      </w:r>
      <w:r>
        <w:t xml:space="preserve">  —  https://doi.org/10.1016/j.jval.2021.11.1351  —  </w:t>
      </w:r>
      <w:r>
        <w:rPr>
          <w:i/>
          <w:iCs/>
        </w:rPr>
        <w:t>Standard internazionale di rendicontazione delle valutazioni economiche in sanità; fornisce la grammatica con cui l’opera dichiara popolazione, intervento, confronto, esiti, prospettiva e orizzonte, garantendo trasparenza e replicabilità delle stime.</w:t>
      </w:r>
    </w:p>
    <w:p w14:paraId="0427106F" w14:textId="77777777" w:rsidR="007C4598" w:rsidRDefault="007C4598"/>
    <w:p w14:paraId="69AE3156" w14:textId="77777777" w:rsidR="007C4598" w:rsidRDefault="00000000">
      <w:pPr>
        <w:jc w:val="both"/>
      </w:pPr>
      <w:r>
        <w:rPr>
          <w:b/>
          <w:bCs/>
        </w:rPr>
        <w:t>2. OECD/DAC, Criteri di valutazione delle politiche e dei programmi (rilevanza, coerenza, efficacia, efficienza, impatto, sostenibilità)</w:t>
      </w:r>
      <w:r>
        <w:t xml:space="preserve">  —  https://www.oecd.org/dac/evaluation/daccriteriaforevaluatingdevelopmentassistance.htm  —  </w:t>
      </w:r>
      <w:r>
        <w:rPr>
          <w:i/>
          <w:iCs/>
        </w:rPr>
        <w:t>Insieme di criteri internazionali per la valutazione delle politiche pubbliche; nell’opera ordina la lettura degli effetti della riforma e ne struttura la valutazione complessiva oltre il solo piano economico.</w:t>
      </w:r>
    </w:p>
    <w:p w14:paraId="5AA7A73A" w14:textId="77777777" w:rsidR="007C4598" w:rsidRDefault="007C4598"/>
    <w:p w14:paraId="6CC746FE" w14:textId="77777777" w:rsidR="007C4598" w:rsidRDefault="00000000">
      <w:pPr>
        <w:jc w:val="both"/>
      </w:pPr>
      <w:r>
        <w:rPr>
          <w:b/>
          <w:bCs/>
        </w:rPr>
        <w:t>3. Regione Puglia, Legge regionale 21 marzo 2023, n. 11 (istituzione del Servizio di Psicologia di Base)</w:t>
      </w:r>
      <w:r>
        <w:t xml:space="preserve">  —  https://www.consiglio.puglia.it/documentazione/leggi-regionali  —  </w:t>
      </w:r>
      <w:r>
        <w:rPr>
          <w:i/>
          <w:iCs/>
        </w:rPr>
        <w:t>Fonte normativa primaria che istituisce il servizio e ne fissa i principi; definisce il mandato istituzionale dell’opera e la natura del quesito di valutazione, centrato sul dimensionamento e non sull’opportunità della riforma.</w:t>
      </w:r>
    </w:p>
    <w:p w14:paraId="33FB5FD5" w14:textId="77777777" w:rsidR="007C4598" w:rsidRDefault="007C4598"/>
    <w:p w14:paraId="4D9834E3" w14:textId="77777777" w:rsidR="007C4598" w:rsidRDefault="00000000">
      <w:pPr>
        <w:jc w:val="both"/>
      </w:pPr>
      <w:r>
        <w:rPr>
          <w:b/>
          <w:bCs/>
        </w:rPr>
        <w:t xml:space="preserve">4. </w:t>
      </w:r>
      <w:proofErr w:type="spellStart"/>
      <w:r>
        <w:rPr>
          <w:b/>
          <w:bCs/>
        </w:rPr>
        <w:t>Guyatt</w:t>
      </w:r>
      <w:proofErr w:type="spellEnd"/>
      <w:r>
        <w:rPr>
          <w:b/>
          <w:bCs/>
        </w:rPr>
        <w:t xml:space="preserve"> G.H. et al., GRADE: an </w:t>
      </w:r>
      <w:proofErr w:type="spellStart"/>
      <w:r>
        <w:rPr>
          <w:b/>
          <w:bCs/>
        </w:rPr>
        <w:t>emerging</w:t>
      </w:r>
      <w:proofErr w:type="spellEnd"/>
      <w:r>
        <w:rPr>
          <w:b/>
          <w:bCs/>
        </w:rPr>
        <w:t xml:space="preserve"> </w:t>
      </w:r>
      <w:proofErr w:type="spellStart"/>
      <w:r>
        <w:rPr>
          <w:b/>
          <w:bCs/>
        </w:rPr>
        <w:t>consensus</w:t>
      </w:r>
      <w:proofErr w:type="spellEnd"/>
      <w:r>
        <w:rPr>
          <w:b/>
          <w:bCs/>
        </w:rPr>
        <w:t xml:space="preserve"> on rating </w:t>
      </w:r>
      <w:proofErr w:type="spellStart"/>
      <w:r>
        <w:rPr>
          <w:b/>
          <w:bCs/>
        </w:rPr>
        <w:t>quality</w:t>
      </w:r>
      <w:proofErr w:type="spellEnd"/>
      <w:r>
        <w:rPr>
          <w:b/>
          <w:bCs/>
        </w:rPr>
        <w:t xml:space="preserve"> of </w:t>
      </w:r>
      <w:proofErr w:type="spellStart"/>
      <w:r>
        <w:rPr>
          <w:b/>
          <w:bCs/>
        </w:rPr>
        <w:t>evidence</w:t>
      </w:r>
      <w:proofErr w:type="spellEnd"/>
      <w:r>
        <w:rPr>
          <w:b/>
          <w:bCs/>
        </w:rPr>
        <w:t xml:space="preserve"> and </w:t>
      </w:r>
      <w:proofErr w:type="spellStart"/>
      <w:r>
        <w:rPr>
          <w:b/>
          <w:bCs/>
        </w:rPr>
        <w:t>strength</w:t>
      </w:r>
      <w:proofErr w:type="spellEnd"/>
      <w:r>
        <w:rPr>
          <w:b/>
          <w:bCs/>
        </w:rPr>
        <w:t xml:space="preserve"> of </w:t>
      </w:r>
      <w:proofErr w:type="spellStart"/>
      <w:r>
        <w:rPr>
          <w:b/>
          <w:bCs/>
        </w:rPr>
        <w:t>recommendations</w:t>
      </w:r>
      <w:proofErr w:type="spellEnd"/>
      <w:r>
        <w:rPr>
          <w:b/>
          <w:bCs/>
        </w:rPr>
        <w:t>, BMJ 2008</w:t>
      </w:r>
      <w:r>
        <w:t xml:space="preserve">  —  https://doi.org/10.1136/bmj.39489.470347.AD  —  </w:t>
      </w:r>
      <w:r>
        <w:rPr>
          <w:i/>
          <w:iCs/>
        </w:rPr>
        <w:t>Metodo apicale di graduazione della certezza dell’evidenza e della forza delle raccomandazioni; nell’opera è applicato in modo simmetrico alle affermazioni cliniche e a quelle relative all’Intelligenza Artificiale.</w:t>
      </w:r>
    </w:p>
    <w:p w14:paraId="6331BF61" w14:textId="77777777" w:rsidR="007C4598" w:rsidRDefault="007C4598"/>
    <w:p w14:paraId="0687E10E" w14:textId="77777777" w:rsidR="007C4598" w:rsidRDefault="00000000">
      <w:pPr>
        <w:jc w:val="both"/>
      </w:pPr>
      <w:r>
        <w:rPr>
          <w:b/>
          <w:bCs/>
        </w:rPr>
        <w:t xml:space="preserve">5. </w:t>
      </w:r>
      <w:proofErr w:type="spellStart"/>
      <w:r>
        <w:rPr>
          <w:b/>
          <w:bCs/>
        </w:rPr>
        <w:t>Chisholm</w:t>
      </w:r>
      <w:proofErr w:type="spellEnd"/>
      <w:r>
        <w:rPr>
          <w:b/>
          <w:bCs/>
        </w:rPr>
        <w:t xml:space="preserve"> D. et al., </w:t>
      </w:r>
      <w:proofErr w:type="spellStart"/>
      <w:r>
        <w:rPr>
          <w:b/>
          <w:bCs/>
        </w:rPr>
        <w:t>Scaling</w:t>
      </w:r>
      <w:proofErr w:type="spellEnd"/>
      <w:r>
        <w:rPr>
          <w:b/>
          <w:bCs/>
        </w:rPr>
        <w:t xml:space="preserve">-up treatment of </w:t>
      </w:r>
      <w:proofErr w:type="spellStart"/>
      <w:r>
        <w:rPr>
          <w:b/>
          <w:bCs/>
        </w:rPr>
        <w:t>depression</w:t>
      </w:r>
      <w:proofErr w:type="spellEnd"/>
      <w:r>
        <w:rPr>
          <w:b/>
          <w:bCs/>
        </w:rPr>
        <w:t xml:space="preserve"> and </w:t>
      </w:r>
      <w:proofErr w:type="spellStart"/>
      <w:r>
        <w:rPr>
          <w:b/>
          <w:bCs/>
        </w:rPr>
        <w:t>anxiety</w:t>
      </w:r>
      <w:proofErr w:type="spellEnd"/>
      <w:r>
        <w:rPr>
          <w:b/>
          <w:bCs/>
        </w:rPr>
        <w:t xml:space="preserve">: a global </w:t>
      </w:r>
      <w:proofErr w:type="spellStart"/>
      <w:r>
        <w:rPr>
          <w:b/>
          <w:bCs/>
        </w:rPr>
        <w:t>return</w:t>
      </w:r>
      <w:proofErr w:type="spellEnd"/>
      <w:r>
        <w:rPr>
          <w:b/>
          <w:bCs/>
        </w:rPr>
        <w:t xml:space="preserve"> on </w:t>
      </w:r>
      <w:proofErr w:type="spellStart"/>
      <w:r>
        <w:rPr>
          <w:b/>
          <w:bCs/>
        </w:rPr>
        <w:t>investment</w:t>
      </w:r>
      <w:proofErr w:type="spellEnd"/>
      <w:r>
        <w:rPr>
          <w:b/>
          <w:bCs/>
        </w:rPr>
        <w:t xml:space="preserve"> </w:t>
      </w:r>
      <w:proofErr w:type="spellStart"/>
      <w:r>
        <w:rPr>
          <w:b/>
          <w:bCs/>
        </w:rPr>
        <w:t>analysis</w:t>
      </w:r>
      <w:proofErr w:type="spellEnd"/>
      <w:r>
        <w:rPr>
          <w:b/>
          <w:bCs/>
        </w:rPr>
        <w:t xml:space="preserve">, Lancet </w:t>
      </w:r>
      <w:proofErr w:type="spellStart"/>
      <w:r>
        <w:rPr>
          <w:b/>
          <w:bCs/>
        </w:rPr>
        <w:t>Psychiatry</w:t>
      </w:r>
      <w:proofErr w:type="spellEnd"/>
      <w:r>
        <w:rPr>
          <w:b/>
          <w:bCs/>
        </w:rPr>
        <w:t xml:space="preserve"> 2016</w:t>
      </w:r>
      <w:r>
        <w:t xml:space="preserve">  —  https://doi.org/10.1016/S2215-0366(16)30024-4  —  </w:t>
      </w:r>
      <w:r>
        <w:rPr>
          <w:i/>
          <w:iCs/>
        </w:rPr>
        <w:t>Analisi di riferimento sul ritorno economico degli investimenti in salute mentale; fissa gli intervalli corretti (2,3–3,0:1 per i soli benefici economici; 3,3–5,7:1 con i ritorni in salute) adottati come vincolo invariante dell’opera.</w:t>
      </w:r>
    </w:p>
    <w:p w14:paraId="25D19062" w14:textId="77777777" w:rsidR="007C4598" w:rsidRDefault="007C4598"/>
    <w:p w14:paraId="739CBF36" w14:textId="77777777" w:rsidR="007C4598" w:rsidRDefault="00000000">
      <w:pPr>
        <w:jc w:val="both"/>
      </w:pPr>
      <w:r>
        <w:rPr>
          <w:b/>
          <w:bCs/>
        </w:rPr>
        <w:t xml:space="preserve">6. HM </w:t>
      </w:r>
      <w:proofErr w:type="spellStart"/>
      <w:r>
        <w:rPr>
          <w:b/>
          <w:bCs/>
        </w:rPr>
        <w:t>Treasury</w:t>
      </w:r>
      <w:proofErr w:type="spellEnd"/>
      <w:r>
        <w:rPr>
          <w:b/>
          <w:bCs/>
        </w:rPr>
        <w:t>, The Green Book e modello dei cinque casi per la valutazione degli investimenti pubblici</w:t>
      </w:r>
      <w:r>
        <w:t xml:space="preserve">  —  https://www.gov.uk/government/publications/the-green-book-appraisal-and-evaluation-in-central-government  —  </w:t>
      </w:r>
      <w:r>
        <w:rPr>
          <w:i/>
          <w:iCs/>
        </w:rPr>
        <w:t>Struttura britannica di giustificazione degli investimenti pubblici; impone di argomentare congiuntamente le dimensioni strategica, economica, commerciale, finanziaria e gestionale della riforma.</w:t>
      </w:r>
    </w:p>
    <w:p w14:paraId="5F6082FC" w14:textId="77777777" w:rsidR="007C4598" w:rsidRDefault="007C4598"/>
    <w:p w14:paraId="148DEDDE" w14:textId="77777777" w:rsidR="007C4598" w:rsidRDefault="00000000">
      <w:pPr>
        <w:jc w:val="both"/>
      </w:pPr>
      <w:r>
        <w:rPr>
          <w:b/>
          <w:bCs/>
        </w:rPr>
        <w:t xml:space="preserve">7. </w:t>
      </w:r>
      <w:proofErr w:type="spellStart"/>
      <w:r>
        <w:rPr>
          <w:b/>
          <w:bCs/>
        </w:rPr>
        <w:t>Drummond</w:t>
      </w:r>
      <w:proofErr w:type="spellEnd"/>
      <w:r>
        <w:rPr>
          <w:b/>
          <w:bCs/>
        </w:rPr>
        <w:t xml:space="preserve"> M.F. et al., </w:t>
      </w:r>
      <w:proofErr w:type="spellStart"/>
      <w:r>
        <w:rPr>
          <w:b/>
          <w:bCs/>
        </w:rPr>
        <w:t>Methods</w:t>
      </w:r>
      <w:proofErr w:type="spellEnd"/>
      <w:r>
        <w:rPr>
          <w:b/>
          <w:bCs/>
        </w:rPr>
        <w:t xml:space="preserve"> for the </w:t>
      </w:r>
      <w:proofErr w:type="spellStart"/>
      <w:r>
        <w:rPr>
          <w:b/>
          <w:bCs/>
        </w:rPr>
        <w:t>Economic</w:t>
      </w:r>
      <w:proofErr w:type="spellEnd"/>
      <w:r>
        <w:rPr>
          <w:b/>
          <w:bCs/>
        </w:rPr>
        <w:t xml:space="preserve"> Evaluation of </w:t>
      </w:r>
      <w:proofErr w:type="spellStart"/>
      <w:r>
        <w:rPr>
          <w:b/>
          <w:bCs/>
        </w:rPr>
        <w:t>Health</w:t>
      </w:r>
      <w:proofErr w:type="spellEnd"/>
      <w:r>
        <w:rPr>
          <w:b/>
          <w:bCs/>
        </w:rPr>
        <w:t xml:space="preserve"> Care </w:t>
      </w:r>
      <w:proofErr w:type="spellStart"/>
      <w:r>
        <w:rPr>
          <w:b/>
          <w:bCs/>
        </w:rPr>
        <w:t>Programmes</w:t>
      </w:r>
      <w:proofErr w:type="spellEnd"/>
      <w:r>
        <w:rPr>
          <w:b/>
          <w:bCs/>
        </w:rPr>
        <w:t xml:space="preserve">, 4ª ed., Oxford </w:t>
      </w:r>
      <w:proofErr w:type="spellStart"/>
      <w:r>
        <w:rPr>
          <w:b/>
          <w:bCs/>
        </w:rPr>
        <w:t>University</w:t>
      </w:r>
      <w:proofErr w:type="spellEnd"/>
      <w:r>
        <w:rPr>
          <w:b/>
          <w:bCs/>
        </w:rPr>
        <w:t xml:space="preserve"> Press, 2015</w:t>
      </w:r>
      <w:r>
        <w:t xml:space="preserve">  —  https://global.oup.com/academic/product/methods-for-the-economic-evaluation-of-health-care-programmes-9780199665877  —  </w:t>
      </w:r>
      <w:r>
        <w:rPr>
          <w:i/>
          <w:iCs/>
        </w:rPr>
        <w:t>Trattato di riferimento sui metodi della valutazione economica in sanità; fonda le distinzioni tra costi diretti e indiretti e tra prospettive di analisi su cui l’opera costruisce la regola di non duplicazione.</w:t>
      </w:r>
    </w:p>
    <w:p w14:paraId="23EB1BD7" w14:textId="77777777" w:rsidR="007C4598" w:rsidRDefault="007C4598"/>
    <w:p w14:paraId="0D97D7CF" w14:textId="77777777" w:rsidR="007C4598" w:rsidRDefault="00000000">
      <w:pPr>
        <w:jc w:val="both"/>
      </w:pPr>
      <w:r>
        <w:rPr>
          <w:b/>
          <w:bCs/>
        </w:rPr>
        <w:t xml:space="preserve">8. OECD, A New Benchmark for </w:t>
      </w:r>
      <w:proofErr w:type="spellStart"/>
      <w:r>
        <w:rPr>
          <w:b/>
          <w:bCs/>
        </w:rPr>
        <w:t>Mental</w:t>
      </w:r>
      <w:proofErr w:type="spellEnd"/>
      <w:r>
        <w:rPr>
          <w:b/>
          <w:bCs/>
        </w:rPr>
        <w:t xml:space="preserve"> </w:t>
      </w:r>
      <w:proofErr w:type="spellStart"/>
      <w:r>
        <w:rPr>
          <w:b/>
          <w:bCs/>
        </w:rPr>
        <w:t>Health</w:t>
      </w:r>
      <w:proofErr w:type="spellEnd"/>
      <w:r>
        <w:rPr>
          <w:b/>
          <w:bCs/>
        </w:rPr>
        <w:t xml:space="preserve"> Systems, OECD </w:t>
      </w:r>
      <w:proofErr w:type="spellStart"/>
      <w:r>
        <w:rPr>
          <w:b/>
          <w:bCs/>
        </w:rPr>
        <w:t>Health</w:t>
      </w:r>
      <w:proofErr w:type="spellEnd"/>
      <w:r>
        <w:rPr>
          <w:b/>
          <w:bCs/>
        </w:rPr>
        <w:t xml:space="preserve"> Policy </w:t>
      </w:r>
      <w:proofErr w:type="spellStart"/>
      <w:r>
        <w:rPr>
          <w:b/>
          <w:bCs/>
        </w:rPr>
        <w:t>Studies</w:t>
      </w:r>
      <w:proofErr w:type="spellEnd"/>
      <w:r>
        <w:rPr>
          <w:b/>
          <w:bCs/>
        </w:rPr>
        <w:t>, 2021</w:t>
      </w:r>
      <w:r>
        <w:t xml:space="preserve">  —  https://doi.org/10.1787/4ed890f6-en  —  </w:t>
      </w:r>
      <w:r>
        <w:rPr>
          <w:i/>
          <w:iCs/>
        </w:rPr>
        <w:t>Quantificazione comparata del carico economico della cattiva salute mentale e della performance dei sistemi; fornisce la cornice macroeconomica entro cui collocare le stime di risparmio regionale.</w:t>
      </w:r>
    </w:p>
    <w:p w14:paraId="153EC55E" w14:textId="77777777" w:rsidR="007C4598" w:rsidRDefault="007C4598"/>
    <w:p w14:paraId="24265E39" w14:textId="77777777" w:rsidR="007C4598" w:rsidRDefault="00000000">
      <w:pPr>
        <w:jc w:val="both"/>
      </w:pPr>
      <w:r>
        <w:rPr>
          <w:b/>
          <w:bCs/>
        </w:rPr>
        <w:t xml:space="preserve">9. World </w:t>
      </w:r>
      <w:proofErr w:type="spellStart"/>
      <w:r>
        <w:rPr>
          <w:b/>
          <w:bCs/>
        </w:rPr>
        <w:t>Health</w:t>
      </w:r>
      <w:proofErr w:type="spellEnd"/>
      <w:r>
        <w:rPr>
          <w:b/>
          <w:bCs/>
        </w:rPr>
        <w:t xml:space="preserve"> Organization, Comprehensive </w:t>
      </w:r>
      <w:proofErr w:type="spellStart"/>
      <w:r>
        <w:rPr>
          <w:b/>
          <w:bCs/>
        </w:rPr>
        <w:t>Mental</w:t>
      </w:r>
      <w:proofErr w:type="spellEnd"/>
      <w:r>
        <w:rPr>
          <w:b/>
          <w:bCs/>
        </w:rPr>
        <w:t xml:space="preserve"> </w:t>
      </w:r>
      <w:proofErr w:type="spellStart"/>
      <w:r>
        <w:rPr>
          <w:b/>
          <w:bCs/>
        </w:rPr>
        <w:t>Health</w:t>
      </w:r>
      <w:proofErr w:type="spellEnd"/>
      <w:r>
        <w:rPr>
          <w:b/>
          <w:bCs/>
        </w:rPr>
        <w:t xml:space="preserve"> Action Plan 2013–2030</w:t>
      </w:r>
      <w:r>
        <w:t xml:space="preserve">  —  https://www.who.int/publications/i/item/9789240031029  —  </w:t>
      </w:r>
      <w:r>
        <w:rPr>
          <w:i/>
          <w:iCs/>
        </w:rPr>
        <w:t>Quadro programmatico internazionale che raccomanda l’integrazione della salute mentale nelle cure primarie; sostiene, sul piano delle politiche, la logica organizzativa della riforma pugliese.</w:t>
      </w:r>
    </w:p>
    <w:p w14:paraId="6EF97796" w14:textId="77777777" w:rsidR="007C4598" w:rsidRDefault="007C4598"/>
    <w:p w14:paraId="736DAF3F" w14:textId="77777777" w:rsidR="007C4598" w:rsidRDefault="00000000">
      <w:pPr>
        <w:jc w:val="both"/>
      </w:pPr>
      <w:r>
        <w:rPr>
          <w:b/>
          <w:bCs/>
        </w:rPr>
        <w:t xml:space="preserve">10. </w:t>
      </w:r>
      <w:proofErr w:type="spellStart"/>
      <w:r>
        <w:rPr>
          <w:b/>
          <w:bCs/>
        </w:rPr>
        <w:t>EUnetHTA</w:t>
      </w:r>
      <w:proofErr w:type="spellEnd"/>
      <w:r>
        <w:rPr>
          <w:b/>
          <w:bCs/>
        </w:rPr>
        <w:t>, HTA Core Model — quadro metodologico della valutazione delle tecnologie sanitarie</w:t>
      </w:r>
      <w:r>
        <w:t xml:space="preserve">  —  https://www.eunethta.eu/hta-core-model/  —  </w:t>
      </w:r>
      <w:r>
        <w:rPr>
          <w:i/>
          <w:iCs/>
        </w:rPr>
        <w:t>Definisce i domini della valutazione delle tecnologie sanitarie adottati come telaio portante dell’opera, dalla sicurezza ed efficacia clinica ai profili economici, etici e organizzativi.</w:t>
      </w:r>
    </w:p>
    <w:p w14:paraId="51E90A88" w14:textId="77777777" w:rsidR="007C4598" w:rsidRDefault="007C4598"/>
    <w:p w14:paraId="7445ECFA" w14:textId="77777777" w:rsidR="007C4598" w:rsidRDefault="00000000">
      <w:pPr>
        <w:jc w:val="both"/>
      </w:pPr>
      <w:r>
        <w:rPr>
          <w:b/>
          <w:bCs/>
        </w:rPr>
        <w:t xml:space="preserve">11. Cabinet Office / Social Value UK, A Guide to Social Return on </w:t>
      </w:r>
      <w:proofErr w:type="spellStart"/>
      <w:r>
        <w:rPr>
          <w:b/>
          <w:bCs/>
        </w:rPr>
        <w:t>Investment</w:t>
      </w:r>
      <w:proofErr w:type="spellEnd"/>
      <w:r>
        <w:t xml:space="preserve">  —  https://www.socialvalueuk.org/resources/a-guide-to-social-return-on-investment/  —  </w:t>
      </w:r>
      <w:r>
        <w:rPr>
          <w:i/>
          <w:iCs/>
        </w:rPr>
        <w:t>Guida di riferimento per il rendimento sociale dell’investimento; fonda il metodo con cui l’opera attribuisce valore monetario agli esiti sociali, tenuti separati dai risparmi fiscali diretti.</w:t>
      </w:r>
    </w:p>
    <w:p w14:paraId="39A13067" w14:textId="77777777" w:rsidR="007C4598" w:rsidRDefault="007C4598"/>
    <w:p w14:paraId="77CAA360" w14:textId="77777777" w:rsidR="007C4598" w:rsidRDefault="00000000">
      <w:pPr>
        <w:jc w:val="both"/>
      </w:pPr>
      <w:r>
        <w:rPr>
          <w:b/>
          <w:bCs/>
        </w:rPr>
        <w:t xml:space="preserve">12. </w:t>
      </w:r>
      <w:proofErr w:type="spellStart"/>
      <w:r>
        <w:rPr>
          <w:b/>
          <w:bCs/>
        </w:rPr>
        <w:t>Kirkpatrick</w:t>
      </w:r>
      <w:proofErr w:type="spellEnd"/>
      <w:r>
        <w:rPr>
          <w:b/>
          <w:bCs/>
        </w:rPr>
        <w:t xml:space="preserve"> D.L., </w:t>
      </w:r>
      <w:proofErr w:type="spellStart"/>
      <w:r>
        <w:rPr>
          <w:b/>
          <w:bCs/>
        </w:rPr>
        <w:t>Kirkpatrick</w:t>
      </w:r>
      <w:proofErr w:type="spellEnd"/>
      <w:r>
        <w:rPr>
          <w:b/>
          <w:bCs/>
        </w:rPr>
        <w:t xml:space="preserve"> J.D., </w:t>
      </w:r>
      <w:proofErr w:type="spellStart"/>
      <w:r>
        <w:rPr>
          <w:b/>
          <w:bCs/>
        </w:rPr>
        <w:t>Evaluating</w:t>
      </w:r>
      <w:proofErr w:type="spellEnd"/>
      <w:r>
        <w:rPr>
          <w:b/>
          <w:bCs/>
        </w:rPr>
        <w:t xml:space="preserve"> Training Programs: The </w:t>
      </w:r>
      <w:proofErr w:type="spellStart"/>
      <w:r>
        <w:rPr>
          <w:b/>
          <w:bCs/>
        </w:rPr>
        <w:t>Four</w:t>
      </w:r>
      <w:proofErr w:type="spellEnd"/>
      <w:r>
        <w:rPr>
          <w:b/>
          <w:bCs/>
        </w:rPr>
        <w:t xml:space="preserve"> </w:t>
      </w:r>
      <w:proofErr w:type="spellStart"/>
      <w:r>
        <w:rPr>
          <w:b/>
          <w:bCs/>
        </w:rPr>
        <w:t>Levels</w:t>
      </w:r>
      <w:proofErr w:type="spellEnd"/>
      <w:r>
        <w:t xml:space="preserve">  —  https://www.kirkpatrickpartners.com/the-kirkpatrick-model/  —  </w:t>
      </w:r>
      <w:r>
        <w:rPr>
          <w:i/>
          <w:iCs/>
        </w:rPr>
        <w:t>Modello classico di valutazione della formazione su quattro livelli (reazione, apprendimento, comportamento, risultati); base della valutazione delle modalità formative dell’opera.</w:t>
      </w:r>
    </w:p>
    <w:p w14:paraId="33EA906A" w14:textId="77777777" w:rsidR="007C4598" w:rsidRDefault="007C4598"/>
    <w:p w14:paraId="48B2F39F" w14:textId="77777777" w:rsidR="007C4598" w:rsidRDefault="00000000">
      <w:pPr>
        <w:jc w:val="both"/>
      </w:pPr>
      <w:r>
        <w:rPr>
          <w:b/>
          <w:bCs/>
        </w:rPr>
        <w:t xml:space="preserve">13. Phillips J.J., Return on </w:t>
      </w:r>
      <w:proofErr w:type="spellStart"/>
      <w:r>
        <w:rPr>
          <w:b/>
          <w:bCs/>
        </w:rPr>
        <w:t>Investment</w:t>
      </w:r>
      <w:proofErr w:type="spellEnd"/>
      <w:r>
        <w:rPr>
          <w:b/>
          <w:bCs/>
        </w:rPr>
        <w:t xml:space="preserve"> in Training and Performance </w:t>
      </w:r>
      <w:proofErr w:type="spellStart"/>
      <w:r>
        <w:rPr>
          <w:b/>
          <w:bCs/>
        </w:rPr>
        <w:t>Improvement</w:t>
      </w:r>
      <w:proofErr w:type="spellEnd"/>
      <w:r>
        <w:rPr>
          <w:b/>
          <w:bCs/>
        </w:rPr>
        <w:t xml:space="preserve"> Programs</w:t>
      </w:r>
      <w:r>
        <w:t xml:space="preserve">  —  https://www.roiinstitute.net/  —  </w:t>
      </w:r>
      <w:r>
        <w:rPr>
          <w:i/>
          <w:iCs/>
        </w:rPr>
        <w:t xml:space="preserve">Estende il modello di </w:t>
      </w:r>
      <w:proofErr w:type="spellStart"/>
      <w:r>
        <w:rPr>
          <w:i/>
          <w:iCs/>
        </w:rPr>
        <w:t>Kirkpatrick</w:t>
      </w:r>
      <w:proofErr w:type="spellEnd"/>
      <w:r>
        <w:rPr>
          <w:i/>
          <w:iCs/>
        </w:rPr>
        <w:t xml:space="preserve"> con un quinto livello che converte i risultati formativi in rendimento monetario; consente il confronto costo-efficacia tra le modalità formative.</w:t>
      </w:r>
    </w:p>
    <w:p w14:paraId="1438EEAF" w14:textId="77777777" w:rsidR="007C4598" w:rsidRDefault="007C4598"/>
    <w:p w14:paraId="672973D5" w14:textId="77777777" w:rsidR="007C4598" w:rsidRDefault="00000000">
      <w:pPr>
        <w:jc w:val="both"/>
      </w:pPr>
      <w:r>
        <w:rPr>
          <w:b/>
          <w:bCs/>
        </w:rPr>
        <w:t xml:space="preserve">14. </w:t>
      </w:r>
      <w:proofErr w:type="spellStart"/>
      <w:r>
        <w:rPr>
          <w:b/>
          <w:bCs/>
        </w:rPr>
        <w:t>Briggs</w:t>
      </w:r>
      <w:proofErr w:type="spellEnd"/>
      <w:r>
        <w:rPr>
          <w:b/>
          <w:bCs/>
        </w:rPr>
        <w:t xml:space="preserve"> A., </w:t>
      </w:r>
      <w:proofErr w:type="spellStart"/>
      <w:r>
        <w:rPr>
          <w:b/>
          <w:bCs/>
        </w:rPr>
        <w:t>Claxton</w:t>
      </w:r>
      <w:proofErr w:type="spellEnd"/>
      <w:r>
        <w:rPr>
          <w:b/>
          <w:bCs/>
        </w:rPr>
        <w:t xml:space="preserve"> K., </w:t>
      </w:r>
      <w:proofErr w:type="spellStart"/>
      <w:r>
        <w:rPr>
          <w:b/>
          <w:bCs/>
        </w:rPr>
        <w:t>Sculpher</w:t>
      </w:r>
      <w:proofErr w:type="spellEnd"/>
      <w:r>
        <w:rPr>
          <w:b/>
          <w:bCs/>
        </w:rPr>
        <w:t xml:space="preserve"> M., </w:t>
      </w:r>
      <w:proofErr w:type="spellStart"/>
      <w:r>
        <w:rPr>
          <w:b/>
          <w:bCs/>
        </w:rPr>
        <w:t>Decision</w:t>
      </w:r>
      <w:proofErr w:type="spellEnd"/>
      <w:r>
        <w:rPr>
          <w:b/>
          <w:bCs/>
        </w:rPr>
        <w:t xml:space="preserve"> </w:t>
      </w:r>
      <w:proofErr w:type="spellStart"/>
      <w:r>
        <w:rPr>
          <w:b/>
          <w:bCs/>
        </w:rPr>
        <w:t>Modelling</w:t>
      </w:r>
      <w:proofErr w:type="spellEnd"/>
      <w:r>
        <w:rPr>
          <w:b/>
          <w:bCs/>
        </w:rPr>
        <w:t xml:space="preserve"> for </w:t>
      </w:r>
      <w:proofErr w:type="spellStart"/>
      <w:r>
        <w:rPr>
          <w:b/>
          <w:bCs/>
        </w:rPr>
        <w:t>Health</w:t>
      </w:r>
      <w:proofErr w:type="spellEnd"/>
      <w:r>
        <w:rPr>
          <w:b/>
          <w:bCs/>
        </w:rPr>
        <w:t xml:space="preserve"> </w:t>
      </w:r>
      <w:proofErr w:type="spellStart"/>
      <w:r>
        <w:rPr>
          <w:b/>
          <w:bCs/>
        </w:rPr>
        <w:t>Economic</w:t>
      </w:r>
      <w:proofErr w:type="spellEnd"/>
      <w:r>
        <w:rPr>
          <w:b/>
          <w:bCs/>
        </w:rPr>
        <w:t xml:space="preserve"> Evaluation, Oxford </w:t>
      </w:r>
      <w:proofErr w:type="spellStart"/>
      <w:r>
        <w:rPr>
          <w:b/>
          <w:bCs/>
        </w:rPr>
        <w:t>University</w:t>
      </w:r>
      <w:proofErr w:type="spellEnd"/>
      <w:r>
        <w:rPr>
          <w:b/>
          <w:bCs/>
        </w:rPr>
        <w:t xml:space="preserve"> Press, 2006</w:t>
      </w:r>
      <w:r>
        <w:t xml:space="preserve">  —  https://global.oup.com/academic/product/decision-modelling-for-health-economic-evaluation-9780198526629  —  </w:t>
      </w:r>
      <w:r>
        <w:rPr>
          <w:i/>
          <w:iCs/>
        </w:rPr>
        <w:t>Testo di riferimento sui modelli decisionali (</w:t>
      </w:r>
      <w:proofErr w:type="spellStart"/>
      <w:r>
        <w:rPr>
          <w:i/>
          <w:iCs/>
        </w:rPr>
        <w:t>Markov</w:t>
      </w:r>
      <w:proofErr w:type="spellEnd"/>
      <w:r>
        <w:rPr>
          <w:i/>
          <w:iCs/>
        </w:rPr>
        <w:t xml:space="preserve">, </w:t>
      </w:r>
      <w:proofErr w:type="spellStart"/>
      <w:r>
        <w:rPr>
          <w:i/>
          <w:iCs/>
        </w:rPr>
        <w:t>microsimulazione</w:t>
      </w:r>
      <w:proofErr w:type="spellEnd"/>
      <w:r>
        <w:rPr>
          <w:i/>
          <w:iCs/>
        </w:rPr>
        <w:t>) e sull’analisi di sensibilità probabilistica; fonda la modellazione e il trattamento dell’incertezza dell’opera.</w:t>
      </w:r>
    </w:p>
    <w:p w14:paraId="3C4D9E6D" w14:textId="77777777" w:rsidR="007C4598" w:rsidRDefault="007C4598"/>
    <w:p w14:paraId="08C39298" w14:textId="77777777" w:rsidR="007C4598" w:rsidRDefault="00000000">
      <w:pPr>
        <w:jc w:val="both"/>
      </w:pPr>
      <w:r>
        <w:rPr>
          <w:b/>
          <w:bCs/>
        </w:rPr>
        <w:t xml:space="preserve">15. </w:t>
      </w:r>
      <w:proofErr w:type="spellStart"/>
      <w:r>
        <w:rPr>
          <w:b/>
          <w:bCs/>
        </w:rPr>
        <w:t>Koopmanschap</w:t>
      </w:r>
      <w:proofErr w:type="spellEnd"/>
      <w:r>
        <w:rPr>
          <w:b/>
          <w:bCs/>
        </w:rPr>
        <w:t xml:space="preserve"> M.A. et al., The </w:t>
      </w:r>
      <w:proofErr w:type="spellStart"/>
      <w:r>
        <w:rPr>
          <w:b/>
          <w:bCs/>
        </w:rPr>
        <w:t>friction</w:t>
      </w:r>
      <w:proofErr w:type="spellEnd"/>
      <w:r>
        <w:rPr>
          <w:b/>
          <w:bCs/>
        </w:rPr>
        <w:t xml:space="preserve"> </w:t>
      </w:r>
      <w:proofErr w:type="spellStart"/>
      <w:r>
        <w:rPr>
          <w:b/>
          <w:bCs/>
        </w:rPr>
        <w:t>cost</w:t>
      </w:r>
      <w:proofErr w:type="spellEnd"/>
      <w:r>
        <w:rPr>
          <w:b/>
          <w:bCs/>
        </w:rPr>
        <w:t xml:space="preserve"> </w:t>
      </w:r>
      <w:proofErr w:type="spellStart"/>
      <w:r>
        <w:rPr>
          <w:b/>
          <w:bCs/>
        </w:rPr>
        <w:t>method</w:t>
      </w:r>
      <w:proofErr w:type="spellEnd"/>
      <w:r>
        <w:rPr>
          <w:b/>
          <w:bCs/>
        </w:rPr>
        <w:t xml:space="preserve"> for </w:t>
      </w:r>
      <w:proofErr w:type="spellStart"/>
      <w:r>
        <w:rPr>
          <w:b/>
          <w:bCs/>
        </w:rPr>
        <w:t>measuring</w:t>
      </w:r>
      <w:proofErr w:type="spellEnd"/>
      <w:r>
        <w:rPr>
          <w:b/>
          <w:bCs/>
        </w:rPr>
        <w:t xml:space="preserve"> </w:t>
      </w:r>
      <w:proofErr w:type="spellStart"/>
      <w:r>
        <w:rPr>
          <w:b/>
          <w:bCs/>
        </w:rPr>
        <w:t>indirect</w:t>
      </w:r>
      <w:proofErr w:type="spellEnd"/>
      <w:r>
        <w:rPr>
          <w:b/>
          <w:bCs/>
        </w:rPr>
        <w:t xml:space="preserve"> </w:t>
      </w:r>
      <w:proofErr w:type="spellStart"/>
      <w:r>
        <w:rPr>
          <w:b/>
          <w:bCs/>
        </w:rPr>
        <w:t>costs</w:t>
      </w:r>
      <w:proofErr w:type="spellEnd"/>
      <w:r>
        <w:rPr>
          <w:b/>
          <w:bCs/>
        </w:rPr>
        <w:t xml:space="preserve"> of </w:t>
      </w:r>
      <w:proofErr w:type="spellStart"/>
      <w:r>
        <w:rPr>
          <w:b/>
          <w:bCs/>
        </w:rPr>
        <w:t>disease</w:t>
      </w:r>
      <w:proofErr w:type="spellEnd"/>
      <w:r>
        <w:rPr>
          <w:b/>
          <w:bCs/>
        </w:rPr>
        <w:t xml:space="preserve">, Journal of </w:t>
      </w:r>
      <w:proofErr w:type="spellStart"/>
      <w:r>
        <w:rPr>
          <w:b/>
          <w:bCs/>
        </w:rPr>
        <w:t>Health</w:t>
      </w:r>
      <w:proofErr w:type="spellEnd"/>
      <w:r>
        <w:rPr>
          <w:b/>
          <w:bCs/>
        </w:rPr>
        <w:t xml:space="preserve"> </w:t>
      </w:r>
      <w:proofErr w:type="spellStart"/>
      <w:r>
        <w:rPr>
          <w:b/>
          <w:bCs/>
        </w:rPr>
        <w:t>Economics</w:t>
      </w:r>
      <w:proofErr w:type="spellEnd"/>
      <w:r>
        <w:rPr>
          <w:b/>
          <w:bCs/>
        </w:rPr>
        <w:t>, 1995</w:t>
      </w:r>
      <w:r>
        <w:t xml:space="preserve">  —  https://doi.org/10.1016/0167-6296(94)00044-5  —  </w:t>
      </w:r>
      <w:r>
        <w:rPr>
          <w:i/>
          <w:iCs/>
        </w:rPr>
        <w:t>Introduce il metodo del costo di attrito come stima prudenziale delle perdite di produttività, alternativa all’approccio del capitale umano; i due metodi non sono mai sommati nell’opera.</w:t>
      </w:r>
    </w:p>
    <w:p w14:paraId="51DB8046" w14:textId="77777777" w:rsidR="007C4598" w:rsidRDefault="007C4598"/>
    <w:p w14:paraId="6CD4D9F7" w14:textId="77777777" w:rsidR="007C4598" w:rsidRDefault="00000000">
      <w:pPr>
        <w:jc w:val="both"/>
      </w:pPr>
      <w:r>
        <w:rPr>
          <w:b/>
          <w:bCs/>
        </w:rPr>
        <w:t xml:space="preserve">16. </w:t>
      </w:r>
      <w:proofErr w:type="spellStart"/>
      <w:r>
        <w:rPr>
          <w:b/>
          <w:bCs/>
        </w:rPr>
        <w:t>Unützer</w:t>
      </w:r>
      <w:proofErr w:type="spellEnd"/>
      <w:r>
        <w:rPr>
          <w:b/>
          <w:bCs/>
        </w:rPr>
        <w:t xml:space="preserve"> J. et al., Collaborative Care Management of Late-Life </w:t>
      </w:r>
      <w:proofErr w:type="spellStart"/>
      <w:r>
        <w:rPr>
          <w:b/>
          <w:bCs/>
        </w:rPr>
        <w:t>Depression</w:t>
      </w:r>
      <w:proofErr w:type="spellEnd"/>
      <w:r>
        <w:rPr>
          <w:b/>
          <w:bCs/>
        </w:rPr>
        <w:t xml:space="preserve"> in the </w:t>
      </w:r>
      <w:proofErr w:type="spellStart"/>
      <w:r>
        <w:rPr>
          <w:b/>
          <w:bCs/>
        </w:rPr>
        <w:t>Primary</w:t>
      </w:r>
      <w:proofErr w:type="spellEnd"/>
      <w:r>
        <w:rPr>
          <w:b/>
          <w:bCs/>
        </w:rPr>
        <w:t xml:space="preserve"> Care </w:t>
      </w:r>
      <w:proofErr w:type="spellStart"/>
      <w:r>
        <w:rPr>
          <w:b/>
          <w:bCs/>
        </w:rPr>
        <w:t>Setting</w:t>
      </w:r>
      <w:proofErr w:type="spellEnd"/>
      <w:r>
        <w:rPr>
          <w:b/>
          <w:bCs/>
        </w:rPr>
        <w:t xml:space="preserve"> (IMPACT trial), JAMA, 2002</w:t>
      </w:r>
      <w:r>
        <w:t xml:space="preserve">  —  https://doi.org/10.1001/jama.288.22.2836  —  </w:t>
      </w:r>
      <w:r>
        <w:rPr>
          <w:i/>
          <w:iCs/>
        </w:rPr>
        <w:t xml:space="preserve">Studio clinico controllato di riferimento sull’assistenza collaborativa; fonte del </w:t>
      </w:r>
      <w:proofErr w:type="spellStart"/>
      <w:r>
        <w:rPr>
          <w:i/>
          <w:iCs/>
        </w:rPr>
        <w:t>caveat</w:t>
      </w:r>
      <w:proofErr w:type="spellEnd"/>
      <w:r>
        <w:rPr>
          <w:i/>
          <w:iCs/>
        </w:rPr>
        <w:t xml:space="preserve"> invariante secondo cui i risparmi sui costi sanitari non raggiungono la significatività statistica.</w:t>
      </w:r>
    </w:p>
    <w:p w14:paraId="3CBABF15" w14:textId="77777777" w:rsidR="007C4598" w:rsidRDefault="007C4598"/>
    <w:p w14:paraId="6341671D" w14:textId="77777777" w:rsidR="007C4598" w:rsidRDefault="00000000">
      <w:pPr>
        <w:jc w:val="both"/>
      </w:pPr>
      <w:r>
        <w:rPr>
          <w:b/>
          <w:bCs/>
        </w:rPr>
        <w:t xml:space="preserve">17. GRADE </w:t>
      </w:r>
      <w:proofErr w:type="spellStart"/>
      <w:r>
        <w:rPr>
          <w:b/>
          <w:bCs/>
        </w:rPr>
        <w:t>Working</w:t>
      </w:r>
      <w:proofErr w:type="spellEnd"/>
      <w:r>
        <w:rPr>
          <w:b/>
          <w:bCs/>
        </w:rPr>
        <w:t xml:space="preserve"> Group / </w:t>
      </w:r>
      <w:proofErr w:type="spellStart"/>
      <w:r>
        <w:rPr>
          <w:b/>
          <w:bCs/>
        </w:rPr>
        <w:t>Schünemann</w:t>
      </w:r>
      <w:proofErr w:type="spellEnd"/>
      <w:r>
        <w:rPr>
          <w:b/>
          <w:bCs/>
        </w:rPr>
        <w:t xml:space="preserve"> H. et al., GRADE </w:t>
      </w:r>
      <w:proofErr w:type="spellStart"/>
      <w:r>
        <w:rPr>
          <w:b/>
          <w:bCs/>
        </w:rPr>
        <w:t>Handbook</w:t>
      </w:r>
      <w:proofErr w:type="spellEnd"/>
      <w:r>
        <w:t xml:space="preserve">  —  https://gdt.gradepro.org/app/handbook/handbook.html  —  </w:t>
      </w:r>
      <w:r>
        <w:rPr>
          <w:i/>
          <w:iCs/>
        </w:rPr>
        <w:t>Manuale operativo del metodo di graduazione della certezza dell’evidenza e della forza delle raccomandazioni, applicato in modo simmetrico alle evidenze cliniche e a quelle sull’Intelligenza Artificiale.</w:t>
      </w:r>
    </w:p>
    <w:p w14:paraId="5F1D9F3F" w14:textId="77777777" w:rsidR="007C4598" w:rsidRDefault="007C4598"/>
    <w:p w14:paraId="0E731A51" w14:textId="77777777" w:rsidR="007C4598" w:rsidRDefault="007C4598"/>
    <w:p w14:paraId="70C55483" w14:textId="77777777" w:rsidR="007C4598" w:rsidRDefault="00000000">
      <w:pPr>
        <w:jc w:val="both"/>
      </w:pPr>
      <w:r>
        <w:t>—  —</w:t>
      </w:r>
    </w:p>
    <w:p w14:paraId="5D48238B" w14:textId="77777777" w:rsidR="007C4598" w:rsidRDefault="00000000">
      <w:r>
        <w:br w:type="page"/>
      </w:r>
    </w:p>
    <w:p w14:paraId="33887260" w14:textId="77777777" w:rsidR="007C4598" w:rsidRDefault="00000000">
      <w:pPr>
        <w:spacing w:before="1200" w:after="200"/>
        <w:jc w:val="center"/>
      </w:pPr>
      <w:r>
        <w:rPr>
          <w:b/>
          <w:bCs/>
          <w:color w:val="C49A48"/>
          <w:sz w:val="64"/>
          <w:szCs w:val="64"/>
        </w:rPr>
        <w:t>PARTE II</w:t>
      </w:r>
    </w:p>
    <w:p w14:paraId="14988F6A" w14:textId="77777777" w:rsidR="007C4598" w:rsidRDefault="00000000">
      <w:pPr>
        <w:spacing w:after="600"/>
        <w:jc w:val="center"/>
      </w:pPr>
      <w:r>
        <w:rPr>
          <w:b/>
          <w:bCs/>
          <w:color w:val="16264B"/>
          <w:sz w:val="32"/>
          <w:szCs w:val="32"/>
        </w:rPr>
        <w:t>Il bisogno e il contesto multidimensionale in Puglia</w:t>
      </w:r>
    </w:p>
    <w:p w14:paraId="3BC29460" w14:textId="77777777" w:rsidR="007C4598" w:rsidRDefault="007C4598">
      <w:pPr>
        <w:pBdr>
          <w:bottom w:val="single" w:sz="6" w:space="1" w:color="C49A48"/>
        </w:pBdr>
        <w:spacing w:after="200"/>
      </w:pPr>
    </w:p>
    <w:p w14:paraId="32C2E990" w14:textId="77777777" w:rsidR="007C4598" w:rsidRDefault="00000000">
      <w:pPr>
        <w:jc w:val="both"/>
      </w:pPr>
      <w:r>
        <w:t>Studio Integrale · Psicologo di Base in Puglia · Parte II — Il bisogno e il contesto multidimensionale</w:t>
      </w:r>
    </w:p>
    <w:p w14:paraId="7A87061C" w14:textId="77777777" w:rsidR="007C4598" w:rsidRDefault="007C4598"/>
    <w:p w14:paraId="29026758" w14:textId="77777777" w:rsidR="007C4598" w:rsidRDefault="00000000">
      <w:pPr>
        <w:jc w:val="both"/>
      </w:pPr>
      <w:r>
        <w:rPr>
          <w:b/>
          <w:bCs/>
        </w:rPr>
        <w:t>Studio Integrale, Finale e Definitivo · Psicologo di Base · Regione Puglia</w:t>
      </w:r>
    </w:p>
    <w:p w14:paraId="5C436885" w14:textId="77777777" w:rsidR="007C4598" w:rsidRDefault="007C4598"/>
    <w:p w14:paraId="210D9015" w14:textId="77777777" w:rsidR="007C4598" w:rsidRDefault="00000000">
      <w:pPr>
        <w:jc w:val="both"/>
      </w:pPr>
      <w:r>
        <w:rPr>
          <w:b/>
          <w:bCs/>
        </w:rPr>
        <w:t>Parte II</w:t>
      </w:r>
    </w:p>
    <w:p w14:paraId="205D4056" w14:textId="77777777" w:rsidR="007C4598" w:rsidRDefault="007C4598"/>
    <w:p w14:paraId="3479DA64" w14:textId="77777777" w:rsidR="007C4598" w:rsidRDefault="00000000">
      <w:pPr>
        <w:jc w:val="both"/>
      </w:pPr>
      <w:r>
        <w:rPr>
          <w:b/>
          <w:bCs/>
        </w:rPr>
        <w:t>Il bisogno e il contesto multidimensionale in Puglia</w:t>
      </w:r>
    </w:p>
    <w:p w14:paraId="41BBFC2E" w14:textId="77777777" w:rsidR="007C4598" w:rsidRDefault="007C4598"/>
    <w:p w14:paraId="63C63FFC" w14:textId="77777777" w:rsidR="007C4598" w:rsidRDefault="00000000">
      <w:pPr>
        <w:jc w:val="both"/>
      </w:pPr>
      <w:r>
        <w:rPr>
          <w:i/>
          <w:iCs/>
        </w:rPr>
        <w:t>La misura del problema di salute, l’adeguatezza dell’offerta, i divari territoriali e la cornice normativa: la base fattuale su cui poggia la valutazione dell’intervento</w:t>
      </w:r>
    </w:p>
    <w:p w14:paraId="47918721" w14:textId="77777777" w:rsidR="007C4598" w:rsidRDefault="007C4598"/>
    <w:p w14:paraId="34F9DC00" w14:textId="77777777" w:rsidR="007C4598" w:rsidRDefault="00000000">
      <w:pPr>
        <w:jc w:val="both"/>
      </w:pPr>
      <w:r>
        <w:t xml:space="preserve">Epidemiologia e divario di trattamento · profilo demografico e socioeconomico · sistema sanitario e flussi · vincoli di bilancio · carico </w:t>
      </w:r>
      <w:proofErr w:type="spellStart"/>
      <w:r>
        <w:t>multidominio</w:t>
      </w:r>
      <w:proofErr w:type="spellEnd"/>
      <w:r>
        <w:t xml:space="preserve"> · cornice normativa</w:t>
      </w:r>
    </w:p>
    <w:p w14:paraId="7079ABC3" w14:textId="77777777" w:rsidR="007C4598" w:rsidRDefault="007C4598"/>
    <w:p w14:paraId="06BF47C9" w14:textId="77777777" w:rsidR="007C4598" w:rsidRDefault="00000000">
      <w:pPr>
        <w:pStyle w:val="Titolo2"/>
        <w:spacing w:before="200" w:after="100"/>
      </w:pPr>
      <w:r>
        <w:rPr>
          <w:sz w:val="22"/>
          <w:szCs w:val="22"/>
        </w:rPr>
        <w:t>Premessa</w:t>
      </w:r>
    </w:p>
    <w:p w14:paraId="7331ABBB" w14:textId="77777777" w:rsidR="007C4598" w:rsidRDefault="007C4598"/>
    <w:p w14:paraId="53960A3C" w14:textId="77777777" w:rsidR="007C4598" w:rsidRDefault="00000000">
      <w:pPr>
        <w:jc w:val="both"/>
      </w:pPr>
      <w:r>
        <w:t>La presente parte stabilisce la base fattuale dell’intera opera. Mentre la Parte I ha fissato il fondamento metodologico — lo scopo, il quesito di valutazione, il telaio ibrido, le regole della rinegoziazione dei costi e dei benefici e il principio ordinatore della cascata gerarchica piramidale — la Parte II misura il problema di salute cui la riforma intende rispondere e ricostruisce il contesto entro cui essa opera. Nella corrispondenza con il telaio validato, questa parte occupa il primo dominio della valutazione di tecnologia sanitaria, quello del problema di salute e dell’uso corrente, e fonda il caso strategico della decisione, rispondendo ai criteri di rilevanza e di coerenza. Essa stabilisce l’entità e la natura del bisogno, l’adeguatezza dell’offerta attuale, i divari territoriali, la pressione sui servizi, i vincoli finanziari e la cornice normativa in cui l’intervento si colloca.</w:t>
      </w:r>
    </w:p>
    <w:p w14:paraId="3E138FD1" w14:textId="77777777" w:rsidR="007C4598" w:rsidRDefault="007C4598"/>
    <w:p w14:paraId="0F810D9C" w14:textId="77777777" w:rsidR="007C4598" w:rsidRDefault="00000000">
      <w:pPr>
        <w:jc w:val="both"/>
      </w:pPr>
      <w:r>
        <w:t>La funzione di questa parte è propedeutica e insostituibile. Senza una misura rigorosa del problema, la valutazione dell’intervento resterebbe priva di termine di confronto, e le stime economiche delle parti successive si reggerebbero su un fondamento incerto. La rinegoziazione integrale dei costi e dei benefici, che la cascata gerarchica governa, presuppone infatti che siano note con precisione la dimensione del bisogno, la sua distribuzione tra le popolazioni e i territori, e l’entità della risposta che il sistema oggi fornisce. È su questa base che ciascun dominio della cascata — da quello sanitario a quelli lavorativo, pensionistico, sociale e finanziario — potrà essere valutato nelle parti seguenti, e che le previsioni sulla qualità della vita, sui bilanci regionali, sulla burocrazia e sui sistemi sanitari potranno essere formulate in forma falsificabile.</w:t>
      </w:r>
    </w:p>
    <w:p w14:paraId="64F3D47D" w14:textId="77777777" w:rsidR="007C4598" w:rsidRDefault="007C4598"/>
    <w:p w14:paraId="792BAFCD" w14:textId="77777777" w:rsidR="007C4598" w:rsidRDefault="00000000">
      <w:pPr>
        <w:jc w:val="both"/>
      </w:pPr>
      <w:r>
        <w:t>In coerenza con i vincoli metodologici invarianti, questa parte espone i dati con la massima cautela e ne dichiara i limiti. Le grandezze sono distinte secondo la loro natura e la loro fonte; le stime epidemiologiche derivate dall’applicazione di coefficienti internazionali alla popolazione regionale sono presentate come tali, con i relativi intervalli; e le grandezze finanziarie sono riportate senza che da esse si traggano, in questa sede, conclusioni sul ritorno economico della riforma, riservate alle parti dedicate alla valutazione economica. La parte non anticipa il saldo né i risparmi, ma fornisce le quantità di partenza su cui essi saranno in seguito calcolati, mantenendo ferma la separazione tra gli effetti sul bilancio e le ricadute sociali.</w:t>
      </w:r>
    </w:p>
    <w:p w14:paraId="1C0436FF" w14:textId="77777777" w:rsidR="007C4598" w:rsidRDefault="007C4598"/>
    <w:p w14:paraId="68BEA149" w14:textId="77777777" w:rsidR="007C4598" w:rsidRDefault="00000000">
      <w:pPr>
        <w:pStyle w:val="Titolo2"/>
        <w:spacing w:before="200" w:after="100"/>
      </w:pPr>
      <w:r>
        <w:rPr>
          <w:sz w:val="22"/>
          <w:szCs w:val="22"/>
        </w:rPr>
        <w:t>Introduzione</w:t>
      </w:r>
    </w:p>
    <w:p w14:paraId="743E66C0" w14:textId="77777777" w:rsidR="007C4598" w:rsidRDefault="007C4598"/>
    <w:p w14:paraId="18F8CFE9" w14:textId="77777777" w:rsidR="007C4598" w:rsidRDefault="00000000">
      <w:pPr>
        <w:jc w:val="both"/>
      </w:pPr>
      <w:r>
        <w:t xml:space="preserve">Il bisogno di salute mentale in Puglia si presenta su due piani che la trattazione tiene costantemente distinti. Il primo è il piano del sommerso: un bisogno ampio, diffuso e in larga parte non intercettato dai servizi, costituito dal disagio psichico comune e </w:t>
      </w:r>
      <w:proofErr w:type="spellStart"/>
      <w:r>
        <w:t>sottosoglia</w:t>
      </w:r>
      <w:proofErr w:type="spellEnd"/>
      <w:r>
        <w:t xml:space="preserve"> che attraversa la popolazione e che, in assenza di un primo livello territoriale accessibile, rimane privo di risposta. Il secondo è il piano dell’emergente: la quota di bisogno che, non trovando accoglienza nel territorio, si manifesta nei servizi specialistici e di emergenza, premendo sui Dipartimenti di Salute Mentale e sul pronto soccorso. La distanza tra l’ampiezza del primo piano e l’esiguità della risposta sul secondo definisce il divario di trattamento, che costituisce il problema centrale cui la riforma si rivolge e il filo conduttore di questa parte.</w:t>
      </w:r>
    </w:p>
    <w:p w14:paraId="1C4CD060" w14:textId="77777777" w:rsidR="007C4598" w:rsidRDefault="007C4598"/>
    <w:p w14:paraId="49E2A53A" w14:textId="77777777" w:rsidR="007C4598" w:rsidRDefault="00000000">
      <w:pPr>
        <w:jc w:val="both"/>
      </w:pPr>
      <w:r>
        <w:t xml:space="preserve">A questi due piani del bisogno si sovrappone un contesto demografico, sociale ed economico che ne amplifica la portata e ne complica la risposta. La Puglia attraversa una transizione demografica accelerata, segnata da un invecchiamento che muta il profilo epidemiologico regionale, e presenta al tempo stesso una vulnerabilità socioeconomica tra le più marcate del Paese. L’invecchiamento e la deprivazione non agiscono in modo indipendente, ma convergono: l’età avanzata accresce la prevalenza dei disturbi mentali, soprattutto in presenza di </w:t>
      </w:r>
      <w:proofErr w:type="spellStart"/>
      <w:r>
        <w:t>multimorbidità</w:t>
      </w:r>
      <w:proofErr w:type="spellEnd"/>
      <w:r>
        <w:t>, mentre la deprivazione si associa a prevalenze sistematicamente più elevate di disturbi mentali comuni. La combinazione delle due dinamiche configura, per la salute mentale pugliese, una pressione duplice e convergente, che la valutazione del bisogno deve assumere come dato strutturale e non come variabile accessoria.</w:t>
      </w:r>
    </w:p>
    <w:p w14:paraId="16E97E4F" w14:textId="77777777" w:rsidR="007C4598" w:rsidRDefault="007C4598"/>
    <w:p w14:paraId="169F672E" w14:textId="77777777" w:rsidR="007C4598" w:rsidRDefault="00000000">
      <w:pPr>
        <w:jc w:val="both"/>
      </w:pPr>
      <w:r>
        <w:t>Il contesto entro cui la riforma opera è inoltre segnato da vincoli di bilancio stringenti e da inefficienze nei flussi assistenziali che rappresentano, al tempo stesso, un costo per il sistema e un margine di intervento per il servizio. La mobilità sanitaria passiva, il ricorso improprio al pronto soccorso e i margini di appropriatezza nel consumo farmaceutico definiscono uno spazio d’azione in cui una riforma del primo livello territoriale può produrre effetti misurabili. È in questo quadro che si colloca la cornice normativa della riforma, coerente su tre livelli — regionale, nazionale ed europeo — che ne fonda la rilevanza e ne predispone le sedi, le risorse e i criteri di valutazione.</w:t>
      </w:r>
    </w:p>
    <w:p w14:paraId="7C461850" w14:textId="77777777" w:rsidR="007C4598" w:rsidRDefault="007C4598"/>
    <w:p w14:paraId="281FB5A4" w14:textId="77777777" w:rsidR="007C4598" w:rsidRDefault="00000000">
      <w:pPr>
        <w:jc w:val="both"/>
      </w:pPr>
      <w:r>
        <w:t xml:space="preserve">La parte si articola in sei voci, ordinate secondo una progressione che muove dal bisogno al contesto e dal contesto alla cornice istituzionale. La prima voce misura l’epidemiologia del disagio psichico e il divario di trattamento, congiungendo il piano del sommerso e quello dell’emergente. La seconda ricostruisce il profilo demografico, sociale ed economico regionale, mettendo a fuoco la doppia pressione dell’invecchiamento e della deprivazione. La terza analizza il sistema sanitario regionale, con le sue cure primarie, i suoi servizi specialistici, la carenza della medicina generale, le liste d’attesa e la mobilità passiva. La quarta espone il quadro finanziario e i vincoli di bilancio. La quinta traccia la mappa del carico </w:t>
      </w:r>
      <w:proofErr w:type="spellStart"/>
      <w:r>
        <w:t>multidominio</w:t>
      </w:r>
      <w:proofErr w:type="spellEnd"/>
      <w:r>
        <w:t xml:space="preserve"> della cattiva salute mentale, base su cui la cascata delle figure e dei domini sarà valutata. La sesta colloca la riforma nella sua cornice normativa e programmatica. Le prime due voci sono sviluppate in questa tranche; le successive seguono, fino al Quadro Conclusivo economico-sociale e multidisciplinare integrale e alle Note Bibliografiche Integrali in forma consolidata.</w:t>
      </w:r>
    </w:p>
    <w:p w14:paraId="638822BA" w14:textId="77777777" w:rsidR="007C4598" w:rsidRDefault="007C4598"/>
    <w:p w14:paraId="78A924B7" w14:textId="77777777" w:rsidR="007C4598" w:rsidRDefault="00000000">
      <w:pPr>
        <w:pStyle w:val="Titolo2"/>
        <w:spacing w:before="200" w:after="100"/>
      </w:pPr>
      <w:r>
        <w:rPr>
          <w:sz w:val="22"/>
          <w:szCs w:val="22"/>
        </w:rPr>
        <w:t>2.1  Epidemiologia del disagio psichico e divario di trattamento in Puglia</w:t>
      </w:r>
    </w:p>
    <w:p w14:paraId="0BF276F2" w14:textId="77777777" w:rsidR="007C4598" w:rsidRDefault="007C4598"/>
    <w:p w14:paraId="6FC9DC21" w14:textId="77777777" w:rsidR="007C4598" w:rsidRDefault="00000000">
      <w:pPr>
        <w:jc w:val="both"/>
      </w:pPr>
      <w:r>
        <w:rPr>
          <w:i/>
          <w:iCs/>
        </w:rPr>
        <w:t>Questa voce misura l’entità e la natura del bisogno di salute mentale in Puglia sui suoi due piani — il sommerso non intercettato e l’emergente che preme sui servizi — e quantifica il divario di trattamento che li separa, ossia la distanza tra la prevalenza reale del disagio e l’accesso effettivo alle cure.</w:t>
      </w:r>
    </w:p>
    <w:p w14:paraId="2E0EE35D" w14:textId="77777777" w:rsidR="007C4598" w:rsidRDefault="007C4598"/>
    <w:p w14:paraId="0C35268D" w14:textId="77777777" w:rsidR="007C4598" w:rsidRDefault="00000000">
      <w:pPr>
        <w:jc w:val="both"/>
      </w:pPr>
      <w:r>
        <w:t xml:space="preserve">Il bisogno di salute mentale in Puglia si articola, come si è anticipato, su due piani. Sul piano del sommerso, le stime epidemiologiche collocano nell’ordine di 780.000 le persone che presentano disagio psichico comune o </w:t>
      </w:r>
      <w:proofErr w:type="spellStart"/>
      <w:r>
        <w:t>sottosoglia</w:t>
      </w:r>
      <w:proofErr w:type="spellEnd"/>
      <w:r>
        <w:t>, una quota compresa tra il 20 e il 30 per cento della popolazione regionale.</w:t>
      </w:r>
      <w:r>
        <w:rPr>
          <w:color w:val="555555"/>
          <w:sz w:val="16"/>
          <w:szCs w:val="16"/>
          <w:vertAlign w:val="superscript"/>
        </w:rPr>
        <w:t>[1]</w:t>
      </w:r>
      <w:r>
        <w:t xml:space="preserve"> Su questa massa di bisogno la risposta attuale è minima, e il divario tra la sua ampiezza e l’esiguità dell’offerta costituisce la posta in gioco della decisione. Si tratta, per la maggior parte, di disturbi mentali comuni — depressione, ansia, disturbi correlati allo stress e all’uso di sostanze — che non richiedono il contesto specialistico, ma un primo livello di ascolto, valutazione e trattamento di prossimità, oggi in larga misura assente.</w:t>
      </w:r>
    </w:p>
    <w:p w14:paraId="6E14B8CD" w14:textId="77777777" w:rsidR="007C4598" w:rsidRDefault="007C4598"/>
    <w:p w14:paraId="2C02788D" w14:textId="77777777" w:rsidR="007C4598" w:rsidRDefault="00000000">
      <w:pPr>
        <w:jc w:val="both"/>
      </w:pPr>
      <w:r>
        <w:t xml:space="preserve">La componente anziana di questo bisogno è quantificabile con coefficienti epidemiologici validati. Le meta-analisi internazionali documentano che l’invecchiamento accresce la prevalenza dei disturbi mentali, con stime che giungono fino al 28 per cento per la depressione negli ultrasettantacinquenni con </w:t>
      </w:r>
      <w:proofErr w:type="spellStart"/>
      <w:r>
        <w:t>multimorbidità</w:t>
      </w:r>
      <w:proofErr w:type="spellEnd"/>
      <w:r>
        <w:t xml:space="preserve"> e oltre il 15 per cento per l’ansia nella popolazione anziana. Applicando tali coefficienti alla struttura per età della popolazione pugliese si ottiene una stima compresa tra 50.649 e 74.640 anziani con disturbi depressivi clinicamente significativi e tra 69.150 e 92.200 con disturbi d’ansia.</w:t>
      </w:r>
      <w:r>
        <w:rPr>
          <w:color w:val="555555"/>
          <w:sz w:val="16"/>
          <w:szCs w:val="16"/>
          <w:vertAlign w:val="superscript"/>
        </w:rPr>
        <w:t>[2]</w:t>
      </w:r>
      <w:r>
        <w:t xml:space="preserve"> Queste cifre, presentate nel loro intervallo per dichiararne il margine di incertezza, individuano una porzione cospicua del bisogno sommerso che la dinamica demografica regionale è destinata ad accrescere nei prossimi decenni.</w:t>
      </w:r>
    </w:p>
    <w:p w14:paraId="75D7783C" w14:textId="77777777" w:rsidR="007C4598" w:rsidRDefault="007C4598"/>
    <w:p w14:paraId="662C8CC8" w14:textId="77777777" w:rsidR="007C4598" w:rsidRDefault="00000000">
      <w:pPr>
        <w:jc w:val="both"/>
      </w:pPr>
      <w:r>
        <w:t>La misura del sommerso è resa difficile da un fenomeno specifico della regione, che assume la forma di un paradosso apparente. La sorveglianza PASSI dell’Istituto Superiore di Sanità, condotta con lo strumento breve di rilevazione dei sintomi depressivi, registra per la Puglia il 3,6 per cento degli adulti tra i 18 e i 64 anni con sintomi clinicamente rilevanti — circa 80.000 persone — un valore inferiore alla media nazionale del 6,7 per cento.</w:t>
      </w:r>
      <w:r>
        <w:rPr>
          <w:color w:val="555555"/>
          <w:sz w:val="16"/>
          <w:szCs w:val="16"/>
          <w:vertAlign w:val="superscript"/>
        </w:rPr>
        <w:t>[3]</w:t>
      </w:r>
      <w:r>
        <w:t xml:space="preserve"> Questa apparente minore prevalenza non indica una minore sofferenza, ma una sotto-rilevazione legata a fattori culturali che riducono la propensione a riferire i sintomi. Il dato si accompagna a uno dei consumi di antidepressivi più bassi d’Italia, e i due segni convergono nel medesimo significato: non un bisogno minore, ma una sua sotto-intercettazione.</w:t>
      </w:r>
      <w:r>
        <w:rPr>
          <w:color w:val="555555"/>
          <w:sz w:val="16"/>
          <w:szCs w:val="16"/>
          <w:vertAlign w:val="superscript"/>
        </w:rPr>
        <w:t>[4]</w:t>
      </w:r>
      <w:r>
        <w:t xml:space="preserve"> La distanza tra la sofferenza effettivamente presente nella popolazione e quella rilevata dai sistemi di sorveglianza e intercettata dai servizi è essa stessa una misura del problema cui la riforma si rivolge.</w:t>
      </w:r>
    </w:p>
    <w:p w14:paraId="5621BF94" w14:textId="77777777" w:rsidR="007C4598" w:rsidRDefault="007C4598"/>
    <w:p w14:paraId="67BF7252" w14:textId="77777777" w:rsidR="007C4598" w:rsidRDefault="00000000">
      <w:pPr>
        <w:jc w:val="both"/>
      </w:pPr>
      <w:r>
        <w:t>Il divario tra prevalenza reale e accesso ai servizi — il divario di trattamento — è del resto un fenomeno strutturale, riconosciuto anche in sede europea. La Commissione europea, nel suo rapporto sulla salute mentale del 2024, ha rilevato come soltanto la metà delle persone con ansia o depressione chieda aiuto e come quasi un giovane su due resti privo di un supporto adeguato. Le barriere che alimentano il divario sono di natura diversa e concorrente: strutturali, legate alla carenza e alla distribuzione dell’offerta; economiche, connesse al costo dell’accesso; culturali, riconducibili allo stigma e alla scarsa propensione a riconoscere il disagio; di conoscenza, relative all’ignoranza dei percorsi disponibili; e sistemiche, derivanti dalla frammentazione dei servizi.</w:t>
      </w:r>
      <w:r>
        <w:rPr>
          <w:color w:val="555555"/>
          <w:sz w:val="16"/>
          <w:szCs w:val="16"/>
          <w:vertAlign w:val="superscript"/>
        </w:rPr>
        <w:t>[5]</w:t>
      </w:r>
      <w:r>
        <w:t xml:space="preserve"> È precisamente su queste barriere che un servizio di primo livello, accessibile, gratuito e privo di stigma, ha la funzione di intervenire, riducendo simultaneamente le distanze fisiche, economiche e culturali che separano il bisogno dalla cura.</w:t>
      </w:r>
    </w:p>
    <w:p w14:paraId="3691A0A9" w14:textId="77777777" w:rsidR="007C4598" w:rsidRDefault="007C4598"/>
    <w:p w14:paraId="0BCD4A51" w14:textId="77777777" w:rsidR="007C4598" w:rsidRDefault="00000000">
      <w:pPr>
        <w:jc w:val="both"/>
      </w:pPr>
      <w:r>
        <w:t>Il divario di trattamento non è una condizione statica, ma un processo che si aggrava nel tempo. Il disagio comune che non trova risposta tende a consolidarsi, a complicarsi con altre patologie e a trascorrere verso forme più gravi e meno reversibili, così che il ritardo dell’intercettazione non rinvia soltanto la cura, ma ne accresce il costo e ne riduce l’efficacia. La persona che non incontra un primo livello accessibile percorre, in assenza di esso, vie più onerose e meno appropriate: il consumo somatico di farmaci, il ricorso ripetuto al medico di medicina generale, l’accesso al pronto soccorso e, nei casi che si cronicizzano, l’ingresso nei servizi specialistici in condizioni già aggravate. Ciascuno di questi passaggi sottrae risorse al sistema e benessere alla persona, e la loro somma, nel tempo, eccede largamente il costo che una presa in carico tempestiva avrebbe comportato. È in questa dinamica temporale che risiede la ragione economica, oltre che clinica, di un primo livello territoriale: non nell’aggiungere una prestazione, ma nell’anticipare l’intercettazione del disagio al momento in cui esso è ancora lieve, reversibile e meno costoso da trattare.</w:t>
      </w:r>
    </w:p>
    <w:p w14:paraId="5DA8AD83" w14:textId="77777777" w:rsidR="007C4598" w:rsidRDefault="007C4598"/>
    <w:p w14:paraId="2B155B40" w14:textId="77777777" w:rsidR="007C4598" w:rsidRDefault="00000000">
      <w:pPr>
        <w:jc w:val="both"/>
      </w:pPr>
      <w:r>
        <w:t>Sul piano dell’emergente, la domanda che non trova risposta nel territorio si riversa sui servizi specialistici e di emergenza, dove diviene misurabile attraverso i flussi amministrativi. I Dipartimenti di Salute Mentale pugliesi hanno avuto in carico, nel 2023, 54.946 utenti, pari a circa 106 ogni 10.000 abitanti adulti, dei quali 18.939 nuovi, corrispondenti a circa 35 nuovi casi ogni 10.000 abitanti adulti: un flusso di incidenza annuale consistente, che segnala la continua emersione di bisogno non precedentemente intercettato.</w:t>
      </w:r>
      <w:r>
        <w:rPr>
          <w:color w:val="555555"/>
          <w:sz w:val="16"/>
          <w:szCs w:val="16"/>
          <w:vertAlign w:val="superscript"/>
        </w:rPr>
        <w:t>[6]</w:t>
      </w:r>
      <w:r>
        <w:t xml:space="preserve"> Questi numeri descrivono la parte del bisogno che, superata la soglia della sopportabilità o della compatibilità con la vita quotidiana, raggiunge i servizi di secondo livello, spesso in condizioni già aggravate dal ritardo dell’intercettazione.</w:t>
      </w:r>
    </w:p>
    <w:p w14:paraId="6D5A65DD" w14:textId="77777777" w:rsidR="007C4598" w:rsidRDefault="007C4598"/>
    <w:p w14:paraId="4002B14B" w14:textId="77777777" w:rsidR="007C4598" w:rsidRDefault="00000000">
      <w:pPr>
        <w:jc w:val="both"/>
      </w:pPr>
      <w:r>
        <w:t xml:space="preserve">Un indicatore particolarmente eloquente della pressione è il ricorso al pronto soccorso per cause psichiatriche, che nel 2023 ha registrato 18.753 accessi, oltre 50 al giorno, in crescita del 30 per cento rispetto al periodo </w:t>
      </w:r>
      <w:proofErr w:type="spellStart"/>
      <w:r>
        <w:t>pre</w:t>
      </w:r>
      <w:proofErr w:type="spellEnd"/>
      <w:r>
        <w:t xml:space="preserve">-pandemico e con un andamento accentuato tra i minori e i giovani adulti. La distribuzione diagnostica di questi accessi è rivelatrice: le sindromi nevrotiche e </w:t>
      </w:r>
      <w:proofErr w:type="spellStart"/>
      <w:r>
        <w:t>somatoformi</w:t>
      </w:r>
      <w:proofErr w:type="spellEnd"/>
      <w:r>
        <w:t xml:space="preserve"> ne costituiscono la causa più frequente, con oltre 10.000 casi, seguite a distanza dai disturbi organici, dalla depressione e dalla schizofrenia.</w:t>
      </w:r>
      <w:r>
        <w:rPr>
          <w:color w:val="555555"/>
          <w:sz w:val="16"/>
          <w:szCs w:val="16"/>
          <w:vertAlign w:val="superscript"/>
        </w:rPr>
        <w:t>[7]</w:t>
      </w:r>
      <w:r>
        <w:t xml:space="preserve"> Che la causa più frequente di accesso urgente sia rappresentata da disturbi comuni di tipo ansioso e </w:t>
      </w:r>
      <w:proofErr w:type="spellStart"/>
      <w:r>
        <w:t>somatoforme</w:t>
      </w:r>
      <w:proofErr w:type="spellEnd"/>
      <w:r>
        <w:t xml:space="preserve"> — quadri che non richiederebbero il contesto dell’emergenza — costituisce la prova più diretta di una distorsione del sistema: in assenza di un primo livello territoriale, il pronto soccorso è divenuto, per una parte della popolazione, l’unico punto di accesso disponibile, con un impiego improprio della risorsa più costosa e meno appropriata.</w:t>
      </w:r>
    </w:p>
    <w:p w14:paraId="42585433"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7B50846E"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1A30D15" w14:textId="77777777" w:rsidR="007C4598" w:rsidRDefault="00000000">
            <w:pPr>
              <w:spacing w:after="40"/>
            </w:pPr>
            <w:r>
              <w:rPr>
                <w:b/>
                <w:bCs/>
                <w:color w:val="FFFFFF"/>
                <w:sz w:val="18"/>
                <w:szCs w:val="18"/>
              </w:rPr>
              <w:t xml:space="preserve">◆  SEGNALIBRO — INFOGRAFICA 2.1 · DA INSERIRE A POSTERIORI Titolo previsto: L’imbuto del bisogno e il divario di trattamento — Puglia Contenuto da rappresentare: Imbuto verticale che digrada dalla popolazione residente al bisogno potenziale, alla rilevazione, alla presa in carico specialistica e all’accesso urgente, fino alla capacità del servizio attuale; graffa laterale che evidenzia il divario di trattamento tra bisogno potenziale e presa in carico. Codice </w:t>
            </w:r>
            <w:proofErr w:type="spellStart"/>
            <w:r>
              <w:rPr>
                <w:b/>
                <w:bCs/>
                <w:color w:val="FFFFFF"/>
                <w:sz w:val="18"/>
                <w:szCs w:val="18"/>
              </w:rPr>
              <w:t>Canva-Friendly</w:t>
            </w:r>
            <w:proofErr w:type="spellEnd"/>
            <w:r>
              <w:rPr>
                <w:b/>
                <w:bCs/>
                <w:color w:val="FFFFFF"/>
                <w:sz w:val="18"/>
                <w:szCs w:val="18"/>
              </w:rPr>
              <w:t xml:space="preserve"> (scheda di generazione) TIPO: </w:t>
            </w:r>
            <w:proofErr w:type="spellStart"/>
            <w:r>
              <w:rPr>
                <w:b/>
                <w:bCs/>
                <w:color w:val="FFFFFF"/>
                <w:sz w:val="18"/>
                <w:szCs w:val="18"/>
              </w:rPr>
              <w:t>infografica</w:t>
            </w:r>
            <w:proofErr w:type="spellEnd"/>
            <w:r>
              <w:rPr>
                <w:b/>
                <w:bCs/>
                <w:color w:val="FFFFFF"/>
                <w:sz w:val="18"/>
                <w:szCs w:val="18"/>
              </w:rPr>
              <w:t xml:space="preserve"> a imbuto (</w:t>
            </w:r>
            <w:proofErr w:type="spellStart"/>
            <w:r>
              <w:rPr>
                <w:b/>
                <w:bCs/>
                <w:color w:val="FFFFFF"/>
                <w:sz w:val="18"/>
                <w:szCs w:val="18"/>
              </w:rPr>
              <w:t>funnel</w:t>
            </w:r>
            <w:proofErr w:type="spellEnd"/>
            <w:r>
              <w:rPr>
                <w:b/>
                <w:bCs/>
                <w:color w:val="FFFFFF"/>
                <w:sz w:val="18"/>
                <w:szCs w:val="18"/>
              </w:rPr>
              <w:t xml:space="preserve">) verticale — 5 livelli digradanti + base FORMATO: 1280 × 960 </w:t>
            </w:r>
            <w:proofErr w:type="spellStart"/>
            <w:r>
              <w:rPr>
                <w:b/>
                <w:bCs/>
                <w:color w:val="FFFFFF"/>
                <w:sz w:val="18"/>
                <w:szCs w:val="18"/>
              </w:rPr>
              <w:t>px</w:t>
            </w:r>
            <w:proofErr w:type="spellEnd"/>
            <w:r>
              <w:rPr>
                <w:b/>
                <w:bCs/>
                <w:color w:val="FFFFFF"/>
                <w:sz w:val="18"/>
                <w:szCs w:val="18"/>
              </w:rPr>
              <w:t xml:space="preserve"> (4:3); adatta a slide e ad A4 SFONDO: gradiente verticale bianco #FFFFFF 85% → crema #F3EAD6 15% PALETTE livelli (dall’alto): #101F3C, #16264B, #244272, #2E5AA0, #5B7BB0 ACCENTO: oro #C49A48 (base dell’imbuto e graffa del divario)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valori </w:t>
            </w:r>
            <w:proofErr w:type="spellStart"/>
            <w:r>
              <w:rPr>
                <w:b/>
                <w:bCs/>
                <w:color w:val="FFFFFF"/>
                <w:sz w:val="18"/>
                <w:szCs w:val="18"/>
              </w:rPr>
              <w:t>Bold</w:t>
            </w:r>
            <w:proofErr w:type="spellEnd"/>
            <w:r>
              <w:rPr>
                <w:b/>
                <w:bCs/>
                <w:color w:val="FFFFFF"/>
                <w:sz w:val="18"/>
                <w:szCs w:val="18"/>
              </w:rPr>
              <w:t xml:space="preserve">, etichette Regular TITOLO: «L’imbuto del bisogno e il divario di trattamento — Puglia» DATI (dall’alto in basso, etichetta — valore): • Popolazione residente — 3.877.395 • Disagio psichico comune o </w:t>
            </w:r>
            <w:proofErr w:type="spellStart"/>
            <w:r>
              <w:rPr>
                <w:b/>
                <w:bCs/>
                <w:color w:val="FFFFFF"/>
                <w:sz w:val="18"/>
                <w:szCs w:val="18"/>
              </w:rPr>
              <w:t>sottosoglia</w:t>
            </w:r>
            <w:proofErr w:type="spellEnd"/>
            <w:r>
              <w:rPr>
                <w:b/>
                <w:bCs/>
                <w:color w:val="FFFFFF"/>
                <w:sz w:val="18"/>
                <w:szCs w:val="18"/>
              </w:rPr>
              <w:t xml:space="preserve"> — ~ 780.000 • Sintomi depressivi rilevati (PASSI) — ~ 80.000 • Utenti in carico ai Dipartimenti di Salute Mentale — 54.946 • Accessi al pronto soccorso per cause psichiatriche — 18.753 • BASE (oro): servizio attuale ~ 45 psicologi (~ 5% del fabbisogno) ELEMENTO: graffa oro a destra, da ~ 780.000 ai DSM, con etichetta «Divario di trattamento» FONTE (piè di figura): ISTAT 2024; ISS, sorveglianza PASSI; SISM 2023</w:t>
            </w:r>
          </w:p>
          <w:p w14:paraId="7739AF53" w14:textId="77777777" w:rsidR="007C4598" w:rsidRDefault="00000000">
            <w:pPr>
              <w:spacing w:before="120" w:after="60"/>
              <w:jc w:val="center"/>
            </w:pPr>
            <w:r>
              <w:rPr>
                <w:noProof/>
              </w:rPr>
              <w:drawing>
                <wp:inline distT="0" distB="0" distL="0" distR="0" wp14:anchorId="23ACA9EF" wp14:editId="31FFEBD9">
                  <wp:extent cx="8229600" cy="4629150"/>
                  <wp:effectExtent l="0" t="0" r="0" b="0"/>
                  <wp:docPr id="108" name="Infografica8" descr="L'imbuto del bisogno e il divario di tratt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nfografica8"/>
                          <pic:cNvPicPr>
                            <a:picLocks noChangeAspect="1" noChangeArrowheads="1"/>
                          </pic:cNvPicPr>
                        </pic:nvPicPr>
                        <pic:blipFill>
                          <a:blip r:embed="rId5">
                            <a:extLst>
                              <a:ext uri="{96DAC541-7B7A-43D3-8B79-37D633B846F1}">
                                <asvg:svgBlip xmlns:asvg="http://schemas.microsoft.com/office/drawing/2016/SVG/main" r:embed="rId6"/>
                              </a:ext>
                            </a:extLst>
                          </a:blip>
                          <a:stretch>
                            <a:fillRect/>
                          </a:stretch>
                        </pic:blipFill>
                        <pic:spPr bwMode="auto">
                          <a:xfrm>
                            <a:off x="0" y="0"/>
                            <a:ext cx="8229600" cy="4629150"/>
                          </a:xfrm>
                          <a:prstGeom prst="rect">
                            <a:avLst/>
                          </a:prstGeom>
                          <a:noFill/>
                          <a:ln>
                            <a:noFill/>
                          </a:ln>
                        </pic:spPr>
                      </pic:pic>
                    </a:graphicData>
                  </a:graphic>
                </wp:inline>
              </w:drawing>
            </w:r>
          </w:p>
          <w:p w14:paraId="7B07F50A" w14:textId="77777777" w:rsidR="007C4598" w:rsidRDefault="00000000">
            <w:pPr>
              <w:spacing w:before="40" w:after="200"/>
              <w:jc w:val="center"/>
            </w:pPr>
            <w:r>
              <w:rPr>
                <w:i/>
                <w:color w:val="2E5A8F"/>
                <w:sz w:val="16"/>
                <w:szCs w:val="16"/>
              </w:rPr>
              <w:t>Fig. 2.1 — L'imbuto del bisogno e il divario di trattamento. Elaborazione dello studio · Luigi De Michele · Giugno 2026.</w:t>
            </w:r>
          </w:p>
        </w:tc>
      </w:tr>
    </w:tbl>
    <w:p w14:paraId="5AF55D48" w14:textId="77777777" w:rsidR="007C4598" w:rsidRDefault="007C4598"/>
    <w:p w14:paraId="12086D99" w14:textId="77777777" w:rsidR="007C4598" w:rsidRDefault="00000000">
      <w:pPr>
        <w:jc w:val="both"/>
      </w:pPr>
      <w:r>
        <w:t>Le grandezze epidemiologiche fin qui esposte possono essere ricomposte in un quadro sintetico, che distingue la stima del bisogno potenziale dalle misure della sua emersione. La tabella seguente riepiloga il carico epidemiologico, congiungendo le stime del sommerso e i flussi dell’emergente.</w:t>
      </w:r>
    </w:p>
    <w:p w14:paraId="68614346" w14:textId="77777777" w:rsidR="007C4598" w:rsidRDefault="007C4598"/>
    <w:p w14:paraId="765EB336" w14:textId="77777777" w:rsidR="007C4598" w:rsidRDefault="00000000">
      <w:pPr>
        <w:jc w:val="both"/>
      </w:pPr>
      <w:r>
        <w:rPr>
          <w:b/>
          <w:bCs/>
        </w:rPr>
        <w:t>Tabella 2.1 — Il carico epidemiologico del disagio psichico in Puglia</w:t>
      </w:r>
    </w:p>
    <w:p w14:paraId="2A0E1634"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4513"/>
        <w:gridCol w:w="4513"/>
      </w:tblGrid>
      <w:tr w:rsidR="007C4598" w14:paraId="7455DE61" w14:textId="77777777">
        <w:tc>
          <w:tcPr>
            <w:tcW w:w="4513"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9769ED5" w14:textId="77777777" w:rsidR="007C4598" w:rsidRDefault="00000000">
            <w:pPr>
              <w:spacing w:after="40"/>
            </w:pPr>
            <w:r>
              <w:rPr>
                <w:b/>
                <w:bCs/>
                <w:color w:val="FFFFFF"/>
                <w:sz w:val="18"/>
                <w:szCs w:val="18"/>
              </w:rPr>
              <w:t>Grandezza epidemiologica</w:t>
            </w:r>
          </w:p>
        </w:tc>
        <w:tc>
          <w:tcPr>
            <w:tcW w:w="4513"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6B83854" w14:textId="77777777" w:rsidR="007C4598" w:rsidRDefault="00000000">
            <w:pPr>
              <w:spacing w:after="40"/>
            </w:pPr>
            <w:r>
              <w:rPr>
                <w:b/>
                <w:bCs/>
                <w:color w:val="FFFFFF"/>
                <w:sz w:val="18"/>
                <w:szCs w:val="18"/>
              </w:rPr>
              <w:t>Valore per la Puglia</w:t>
            </w:r>
          </w:p>
        </w:tc>
      </w:tr>
      <w:tr w:rsidR="007C4598" w14:paraId="510658FD"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D4136B6" w14:textId="77777777" w:rsidR="007C4598" w:rsidRDefault="00000000">
            <w:pPr>
              <w:spacing w:after="40"/>
            </w:pPr>
            <w:r>
              <w:t xml:space="preserve">Disagio psichico comune o </w:t>
            </w:r>
            <w:proofErr w:type="spellStart"/>
            <w:r>
              <w:t>sottosoglia</w:t>
            </w:r>
            <w:proofErr w:type="spellEnd"/>
            <w:r>
              <w:t xml:space="preserve"> (bisogno potenziale)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9DCA72D" w14:textId="77777777" w:rsidR="007C4598" w:rsidRDefault="00000000">
            <w:pPr>
              <w:spacing w:after="40"/>
            </w:pPr>
            <w:r>
              <w:t>~ 780.000 persone (20–30% della popolazione)</w:t>
            </w:r>
          </w:p>
        </w:tc>
      </w:tr>
      <w:tr w:rsidR="007C4598" w14:paraId="3019368B"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B90D479" w14:textId="77777777" w:rsidR="007C4598" w:rsidRDefault="00000000">
            <w:pPr>
              <w:spacing w:after="40"/>
            </w:pPr>
            <w:r>
              <w:t>Anziani con disturbi depressivi clinicamente significativi (stima)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E341BBE" w14:textId="77777777" w:rsidR="007C4598" w:rsidRDefault="00000000">
            <w:pPr>
              <w:spacing w:after="40"/>
            </w:pPr>
            <w:r>
              <w:t>50.649 – 74.640</w:t>
            </w:r>
          </w:p>
        </w:tc>
      </w:tr>
      <w:tr w:rsidR="007C4598" w14:paraId="2AD36EC6"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24E4956" w14:textId="77777777" w:rsidR="007C4598" w:rsidRDefault="00000000">
            <w:pPr>
              <w:spacing w:after="40"/>
            </w:pPr>
            <w:r>
              <w:t>Anziani con disturbi d’ansia (stima)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0605617" w14:textId="77777777" w:rsidR="007C4598" w:rsidRDefault="00000000">
            <w:pPr>
              <w:spacing w:after="40"/>
            </w:pPr>
            <w:r>
              <w:t>69.150 – 92.200</w:t>
            </w:r>
          </w:p>
        </w:tc>
      </w:tr>
      <w:tr w:rsidR="007C4598" w14:paraId="7861545C"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C4D612C" w14:textId="77777777" w:rsidR="007C4598" w:rsidRDefault="00000000">
            <w:pPr>
              <w:spacing w:after="40"/>
            </w:pPr>
            <w:r>
              <w:t>Sintomi depressivi rilevati dalla sorveglianza PASSI (18–64 anni)</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F959427" w14:textId="77777777" w:rsidR="007C4598" w:rsidRDefault="00000000">
            <w:pPr>
              <w:spacing w:after="40"/>
            </w:pPr>
            <w:r>
              <w:t>3,6% (~ 80.000); media nazionale 6,7%</w:t>
            </w:r>
          </w:p>
        </w:tc>
      </w:tr>
      <w:tr w:rsidR="007C4598" w14:paraId="67164E77"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8EE5677" w14:textId="77777777" w:rsidR="007C4598" w:rsidRDefault="00000000">
            <w:pPr>
              <w:spacing w:after="40"/>
            </w:pPr>
            <w:r>
              <w:t>Utenti in carico ai Dipartimenti di Salute Mentale (2023)</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A77F59C" w14:textId="77777777" w:rsidR="007C4598" w:rsidRDefault="00000000">
            <w:pPr>
              <w:spacing w:after="40"/>
            </w:pPr>
            <w:r>
              <w:t>54.946 (~ 106 ogni 10.000 adulti)</w:t>
            </w:r>
          </w:p>
        </w:tc>
      </w:tr>
      <w:tr w:rsidR="007C4598" w14:paraId="2B7F0076"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DCD218A" w14:textId="77777777" w:rsidR="007C4598" w:rsidRDefault="00000000">
            <w:pPr>
              <w:spacing w:after="40"/>
            </w:pPr>
            <w:r>
              <w:t>Nuovi utenti dei Dipartimenti (2023)</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18CA412" w14:textId="77777777" w:rsidR="007C4598" w:rsidRDefault="00000000">
            <w:pPr>
              <w:spacing w:after="40"/>
            </w:pPr>
            <w:r>
              <w:t>18.939 (~ 35 ogni 10.000 adulti)</w:t>
            </w:r>
          </w:p>
        </w:tc>
      </w:tr>
      <w:tr w:rsidR="007C4598" w14:paraId="3FEA2F1E"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2417201" w14:textId="77777777" w:rsidR="007C4598" w:rsidRDefault="00000000">
            <w:pPr>
              <w:spacing w:after="40"/>
            </w:pPr>
            <w:r>
              <w:t>Accessi al pronto soccorso per cause psichiatriche (2023)</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3BF609C" w14:textId="77777777" w:rsidR="007C4598" w:rsidRDefault="00000000">
            <w:pPr>
              <w:spacing w:after="40"/>
            </w:pPr>
            <w:r>
              <w:t xml:space="preserve">18.753 (oltre 50 al giorno; +30% sul </w:t>
            </w:r>
            <w:proofErr w:type="spellStart"/>
            <w:r>
              <w:t>pre</w:t>
            </w:r>
            <w:proofErr w:type="spellEnd"/>
            <w:r>
              <w:t>-pandemia)</w:t>
            </w:r>
          </w:p>
        </w:tc>
      </w:tr>
    </w:tbl>
    <w:p w14:paraId="161E61B3" w14:textId="77777777" w:rsidR="007C4598" w:rsidRDefault="007C4598"/>
    <w:p w14:paraId="2696D4AA" w14:textId="77777777" w:rsidR="007C4598" w:rsidRDefault="00000000">
      <w:pPr>
        <w:jc w:val="both"/>
      </w:pPr>
      <w:r>
        <w:rPr>
          <w:i/>
          <w:iCs/>
        </w:rPr>
        <w:t>Fonti: stime epidemiologiche regionali; meta-analisi internazionali; ISS, sorveglianza PASSI; Sistema Informativo per la Salute Mentale 2023.</w:t>
      </w:r>
    </w:p>
    <w:p w14:paraId="03693FEC" w14:textId="77777777" w:rsidR="007C4598" w:rsidRDefault="007C4598"/>
    <w:p w14:paraId="77C6031E" w14:textId="77777777" w:rsidR="007C4598" w:rsidRDefault="00000000">
      <w:pPr>
        <w:jc w:val="both"/>
      </w:pPr>
      <w:r>
        <w:t>Il confronto tra l’ampiezza del bisogno potenziale e l’esiguità dell’offerta definisce la dimensione del divario che la riforma intende colmare. Il servizio istituito dalla legge regionale conta oggi circa 45 psicologi, uno per distretto, a fronte di uno stanziamento di 1,5 milioni di euro l’anno: una dotazione pari a circa il 5 per cento di un fabbisogno stimato nell’ordine di 800-900 psicologi per l’intera regione.</w:t>
      </w:r>
      <w:r>
        <w:rPr>
          <w:color w:val="555555"/>
          <w:sz w:val="16"/>
          <w:szCs w:val="16"/>
          <w:vertAlign w:val="superscript"/>
        </w:rPr>
        <w:t>[8]</w:t>
      </w:r>
      <w:r>
        <w:t xml:space="preserve"> Lo studio considera tre scenari di copertura — nell’ordine di 450, 700 e 900 incarichi — che conducono il servizio progressivamente verso la copertura del bisogno, e che costituiranno il riferimento dimensionale delle valutazioni economiche delle parti successive. La tabella seguente riepiloga le grandezze della domanda, dell’offerta e del divario di copertura, che misurano congiuntamente la pressione del bisogno e lo spazio dell’intervento.</w:t>
      </w:r>
    </w:p>
    <w:p w14:paraId="0272938F" w14:textId="77777777" w:rsidR="007C4598" w:rsidRDefault="007C4598"/>
    <w:p w14:paraId="00937998" w14:textId="77777777" w:rsidR="007C4598" w:rsidRDefault="00000000">
      <w:pPr>
        <w:jc w:val="both"/>
      </w:pPr>
      <w:r>
        <w:rPr>
          <w:b/>
          <w:bCs/>
        </w:rPr>
        <w:t>Tabella 2.2 — Domanda, offerta e divario di copertura</w:t>
      </w:r>
    </w:p>
    <w:p w14:paraId="34AC68E1"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4513"/>
        <w:gridCol w:w="4513"/>
      </w:tblGrid>
      <w:tr w:rsidR="007C4598" w14:paraId="06383741" w14:textId="77777777">
        <w:tc>
          <w:tcPr>
            <w:tcW w:w="4513"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540541A" w14:textId="77777777" w:rsidR="007C4598" w:rsidRDefault="00000000">
            <w:pPr>
              <w:spacing w:after="40"/>
            </w:pPr>
            <w:r>
              <w:rPr>
                <w:b/>
                <w:bCs/>
                <w:color w:val="FFFFFF"/>
                <w:sz w:val="18"/>
                <w:szCs w:val="18"/>
              </w:rPr>
              <w:t>Grandezza</w:t>
            </w:r>
          </w:p>
        </w:tc>
        <w:tc>
          <w:tcPr>
            <w:tcW w:w="4513"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FE74469" w14:textId="77777777" w:rsidR="007C4598" w:rsidRDefault="00000000">
            <w:pPr>
              <w:spacing w:after="40"/>
            </w:pPr>
            <w:r>
              <w:rPr>
                <w:b/>
                <w:bCs/>
                <w:color w:val="FFFFFF"/>
                <w:sz w:val="18"/>
                <w:szCs w:val="18"/>
              </w:rPr>
              <w:t>Valore per la Puglia</w:t>
            </w:r>
          </w:p>
        </w:tc>
      </w:tr>
      <w:tr w:rsidR="007C4598" w14:paraId="01413AD6"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5AC7A8D" w14:textId="77777777" w:rsidR="007C4598" w:rsidRDefault="00000000">
            <w:pPr>
              <w:spacing w:after="40"/>
            </w:pPr>
            <w:r>
              <w:t>Offerta psicologica pubblica (strutture di salute mentale)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4E64712" w14:textId="77777777" w:rsidR="007C4598" w:rsidRDefault="00000000">
            <w:pPr>
              <w:spacing w:after="40"/>
            </w:pPr>
            <w:r>
              <w:t>&lt; 3 psicologi ogni 100.000 abitanti</w:t>
            </w:r>
          </w:p>
        </w:tc>
      </w:tr>
      <w:tr w:rsidR="007C4598" w14:paraId="111766B5"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E7AC72F" w14:textId="77777777" w:rsidR="007C4598" w:rsidRDefault="00000000">
            <w:pPr>
              <w:spacing w:after="40"/>
            </w:pPr>
            <w:r>
              <w:t>Psicologi del servizio attuale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7382CB2" w14:textId="77777777" w:rsidR="007C4598" w:rsidRDefault="00000000">
            <w:pPr>
              <w:spacing w:after="40"/>
            </w:pPr>
            <w:r>
              <w:t>~ 45 (uno per distretto)</w:t>
            </w:r>
          </w:p>
        </w:tc>
      </w:tr>
      <w:tr w:rsidR="007C4598" w14:paraId="5E5254E4"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9CBF084" w14:textId="77777777" w:rsidR="007C4598" w:rsidRDefault="00000000">
            <w:pPr>
              <w:spacing w:after="40"/>
            </w:pPr>
            <w:r>
              <w:t>Stanziamento annuo del servizio attuale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FD6CBB9" w14:textId="77777777" w:rsidR="007C4598" w:rsidRDefault="00000000">
            <w:pPr>
              <w:spacing w:after="40"/>
            </w:pPr>
            <w:r>
              <w:t>1,5 milioni di euro</w:t>
            </w:r>
          </w:p>
        </w:tc>
      </w:tr>
      <w:tr w:rsidR="007C4598" w14:paraId="2B1A1D8B"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78FA31F" w14:textId="77777777" w:rsidR="007C4598" w:rsidRDefault="00000000">
            <w:pPr>
              <w:spacing w:after="40"/>
            </w:pPr>
            <w:r>
              <w:t>Fabbisogno stimato a regime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C718C23" w14:textId="77777777" w:rsidR="007C4598" w:rsidRDefault="00000000">
            <w:pPr>
              <w:spacing w:after="40"/>
            </w:pPr>
            <w:r>
              <w:t>~ 800–900 psicologi</w:t>
            </w:r>
          </w:p>
        </w:tc>
      </w:tr>
      <w:tr w:rsidR="007C4598" w14:paraId="39D7514A"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3EC1685" w14:textId="77777777" w:rsidR="007C4598" w:rsidRDefault="00000000">
            <w:pPr>
              <w:spacing w:after="40"/>
            </w:pPr>
            <w:r>
              <w:t>Copertura attuale del fabbisogno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328A88F" w14:textId="77777777" w:rsidR="007C4598" w:rsidRDefault="00000000">
            <w:pPr>
              <w:spacing w:after="40"/>
            </w:pPr>
            <w:r>
              <w:t>~ 5%</w:t>
            </w:r>
          </w:p>
        </w:tc>
      </w:tr>
      <w:tr w:rsidR="007C4598" w14:paraId="2B2BDE9A"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4564779" w14:textId="77777777" w:rsidR="007C4598" w:rsidRDefault="00000000">
            <w:pPr>
              <w:spacing w:after="40"/>
            </w:pPr>
            <w:r>
              <w:t>Scenari di copertura considerati dallo studio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D009A4A" w14:textId="77777777" w:rsidR="007C4598" w:rsidRDefault="00000000">
            <w:pPr>
              <w:spacing w:after="40"/>
            </w:pPr>
            <w:r>
              <w:t>~ 450 / 700 / 900 incarichi</w:t>
            </w:r>
          </w:p>
        </w:tc>
      </w:tr>
    </w:tbl>
    <w:p w14:paraId="4D078BFE" w14:textId="77777777" w:rsidR="007C4598" w:rsidRDefault="007C4598"/>
    <w:p w14:paraId="35926524" w14:textId="77777777" w:rsidR="007C4598" w:rsidRDefault="00000000">
      <w:pPr>
        <w:jc w:val="both"/>
      </w:pPr>
      <w:r>
        <w:rPr>
          <w:i/>
          <w:iCs/>
        </w:rPr>
        <w:t>Fonti: Ministero della Salute; legge regionale 11/2023; elaborazioni dello studio. Valori in numeri assoluti e percentuali.</w:t>
      </w:r>
    </w:p>
    <w:p w14:paraId="4C3EF610" w14:textId="77777777" w:rsidR="007C4598" w:rsidRDefault="007C4598"/>
    <w:p w14:paraId="26729171" w14:textId="77777777" w:rsidR="007C4598" w:rsidRDefault="00000000">
      <w:pPr>
        <w:jc w:val="both"/>
      </w:pPr>
      <w:r>
        <w:t>La lettura congiunta dei due piani del bisogno e della misura dell’offerta restituisce il significato dell’intervento. Il divario di trattamento non è una carenza marginale, ma il tratto strutturale del sistema di salute mentale regionale: un bisogno ampio e in larga parte sommerso, una sua emersione tardiva e costosa nei servizi specialistici e di emergenza, e un’offerta di primo livello pari a una frazione del fabbisogno. È in questa configurazione che si colloca la funzione dello Psicologo di Base, posto all’apice della cascata: intercettare il bisogno prima che si aggravi, ridurre il ricorso improprio ai servizi a maggiore intensità e costo, e colmare la distanza tra la prevalenza reale del disagio e l’accesso effettivo alle cure. La quantificazione degli effetti di tale funzione, lungo l’intera cascata delle figure e dei domini, è l’oggetto delle parti successive; questa voce ne ha stabilito la premessa fattuale.</w:t>
      </w:r>
    </w:p>
    <w:p w14:paraId="1442566C" w14:textId="77777777" w:rsidR="007C4598" w:rsidRDefault="007C4598"/>
    <w:p w14:paraId="4FFA33D1" w14:textId="77777777" w:rsidR="007C4598" w:rsidRDefault="00000000">
      <w:pPr>
        <w:pStyle w:val="Titolo2"/>
        <w:spacing w:before="200" w:after="100"/>
      </w:pPr>
      <w:r>
        <w:rPr>
          <w:sz w:val="22"/>
          <w:szCs w:val="22"/>
        </w:rPr>
        <w:t>2.2  Il contesto demografico, sociale ed economico regionale</w:t>
      </w:r>
    </w:p>
    <w:p w14:paraId="4CA2B6CF" w14:textId="77777777" w:rsidR="007C4598" w:rsidRDefault="007C4598"/>
    <w:p w14:paraId="194C13E5" w14:textId="77777777" w:rsidR="007C4598" w:rsidRDefault="00000000">
      <w:pPr>
        <w:jc w:val="both"/>
      </w:pPr>
      <w:r>
        <w:rPr>
          <w:i/>
          <w:iCs/>
        </w:rPr>
        <w:t>Questa voce ricostruisce il profilo demografico, sociale ed economico della Puglia, mostrando come l’invecchiamento accelerato e la vulnerabilità socioeconomica convergano in una pressione duplice sul bisogno di salute mentale, e come la loro disomogeneità territoriale imponga una programmazione differenziata.</w:t>
      </w:r>
    </w:p>
    <w:p w14:paraId="16A3F2DD" w14:textId="77777777" w:rsidR="007C4598" w:rsidRDefault="007C4598"/>
    <w:p w14:paraId="2AA8C461" w14:textId="77777777" w:rsidR="007C4598" w:rsidRDefault="00000000">
      <w:pPr>
        <w:jc w:val="both"/>
      </w:pPr>
      <w:r>
        <w:t>La Puglia conta una popolazione di poco inferiore ai quattro milioni di abitanti — 3.877.395 al Censimento permanente del 2024, circa il 6,6 per cento del totale nazionale — distribuita in 6 aziende sanitarie locali e 45 distretti.</w:t>
      </w:r>
      <w:r>
        <w:rPr>
          <w:color w:val="555555"/>
          <w:sz w:val="16"/>
          <w:szCs w:val="16"/>
          <w:vertAlign w:val="superscript"/>
        </w:rPr>
        <w:t>[9]</w:t>
      </w:r>
      <w:r>
        <w:t xml:space="preserve"> Questa articolazione territoriale del Servizio sanitario regionale costituisce la maglia entro cui il servizio di Psicologia di Base si inserisce, con un incarico per distretto nella configurazione attuale e una distribuzione da ridefinire negli scenari di copertura; la dimensione e la struttura della popolazione che ciascun distretto serve sono perciò il primo parametro della programmazione.</w:t>
      </w:r>
    </w:p>
    <w:p w14:paraId="27828AA4" w14:textId="77777777" w:rsidR="007C4598" w:rsidRDefault="007C4598"/>
    <w:p w14:paraId="560D8168" w14:textId="77777777" w:rsidR="007C4598" w:rsidRDefault="00000000">
      <w:pPr>
        <w:jc w:val="both"/>
      </w:pPr>
      <w:r>
        <w:t>Il tratto demografico dominante è un invecchiamento accelerato. L’età media è salita da 39,3 anni nel 2002 a 46,4 nel 2024, e l’indice di vecchiaia ha raggiunto 200,8 anziani ogni 100 giovani, all’incirca raddoppiato nell’arco di un decennio. Le proiezioni dell’Istituto nazionale di statistica delineano una contrazione marcata e strutturale della popolazione: 3.769.000 abitanti nel 2030, con un calo del 3,5 per cento, e 3.229.000 nel 2050, con una riduzione del 17,4 per cento rispetto al 2023. Nello stesso arco temporale la quota di ultrasessantacinquenni passerebbe dal 24,2 al 37,1 per cento, e gli ultrasettantacinquenni crescerebbero da 461.000 a 658.000, con un incremento del 43 per cento.</w:t>
      </w:r>
      <w:r>
        <w:rPr>
          <w:color w:val="555555"/>
          <w:sz w:val="16"/>
          <w:szCs w:val="16"/>
          <w:vertAlign w:val="superscript"/>
        </w:rPr>
        <w:t>[10]</w:t>
      </w:r>
      <w:r>
        <w:t xml:space="preserve"> La transizione non è dunque un rallentamento congiunturale, ma una ricomposizione strutturale e duratura della piramide delle età, destinata a modificare in profondità la struttura del bisogno sanitario regionale.</w:t>
      </w:r>
    </w:p>
    <w:p w14:paraId="5F2A45BA" w14:textId="77777777" w:rsidR="007C4598" w:rsidRDefault="007C4598"/>
    <w:p w14:paraId="73C1CD54" w14:textId="77777777" w:rsidR="007C4598" w:rsidRDefault="00000000">
      <w:pPr>
        <w:jc w:val="both"/>
      </w:pPr>
      <w:r>
        <w:t xml:space="preserve">Questa transizione non è un mero dato statistico, ma una trasformazione del profilo epidemiologico regionale, poiché l’età avanzata si accompagna a una prevalenza crescente di disturbi mentali, soprattutto in presenza di </w:t>
      </w:r>
      <w:proofErr w:type="spellStart"/>
      <w:r>
        <w:t>multimorbidità</w:t>
      </w:r>
      <w:proofErr w:type="spellEnd"/>
      <w:r>
        <w:t>. L’invecchiamento agisce così come moltiplicatore del bisogno già misurato nella voce precedente: la stessa popolazione anziana che oggi concorre alle stime di 50.649-74.640 casi depressivi e 69.150-92.200 casi d’ansia è destinata ad ampliarsi, spostando verso l’alto la domanda potenziale di salute mentale e accrescendo la quota di bisogno associata alla cronicità e alla compresenza di più patologie. Una programmazione che non tenesse conto di questa dinamica sottostimerebbe sistematicamente il fabbisogno futuro.</w:t>
      </w:r>
    </w:p>
    <w:p w14:paraId="6CEF0AC5" w14:textId="77777777" w:rsidR="007C4598" w:rsidRDefault="007C4598"/>
    <w:p w14:paraId="297D2021" w14:textId="77777777" w:rsidR="007C4598" w:rsidRDefault="00000000">
      <w:pPr>
        <w:jc w:val="both"/>
      </w:pPr>
      <w:r>
        <w:t>La dinamica demografica non è inoltre omogenea sul territorio, e la sua disomogeneità ha conseguenze dirette sulla programmazione. La provincia di Lecce è la più anziana, con un’età media di 47,5 anni e un indice di vecchiaia di 229,8, mentre la provincia di Barletta-Andria-Trani è la più giovane, con 44,9 anni e un indice di 169,1.</w:t>
      </w:r>
      <w:r>
        <w:rPr>
          <w:color w:val="555555"/>
          <w:sz w:val="16"/>
          <w:szCs w:val="16"/>
          <w:vertAlign w:val="superscript"/>
        </w:rPr>
        <w:t>[11]</w:t>
      </w:r>
      <w:r>
        <w:t xml:space="preserve"> Tale eterogeneità impone una programmazione differenziata, capace di calibrare l’offerta sulle diverse strutture per età delle aree: a parità di popolazione, un distretto con una quota anziana più elevata esprime un bisogno di salute mentale di composizione diversa, più orientato ai quadri depressivi e ansiosi dell’età avanzata e alla loro intersezione con la </w:t>
      </w:r>
      <w:proofErr w:type="spellStart"/>
      <w:r>
        <w:t>multimorbidità</w:t>
      </w:r>
      <w:proofErr w:type="spellEnd"/>
      <w:r>
        <w:t>. La tabella che chiude questa voce riepiloga, accanto al profilo complessivo, i due estremi di tale eterogeneità.</w:t>
      </w:r>
    </w:p>
    <w:p w14:paraId="40464F81" w14:textId="77777777" w:rsidR="007C4598" w:rsidRDefault="007C4598"/>
    <w:p w14:paraId="6464E692" w14:textId="77777777" w:rsidR="007C4598" w:rsidRDefault="00000000">
      <w:pPr>
        <w:jc w:val="both"/>
      </w:pPr>
      <w:r>
        <w:t>Al profilo demografico si somma un contesto socioeconomico di marcata vulnerabilità. Il 37,7 per cento della popolazione pugliese risulta a rischio di povertà o esclusione sociale, tra i valori più elevati del Paese; e l’indice di deprivazione — costruito aggregando reddito, istruzione, condizione occupazionale e tipologia abitativa — misura condizioni materiali che la letteratura epidemiologica longitudinale identifica come determinanti robusti della salute mentale. Le popolazioni che vivono in condizioni di deprivazione presentano infatti prevalenze sistematicamente più elevate di disturbi mentali comuni — depressione, ansia, disturbi correlati allo stress e all’uso di sostanze — attraverso meccanismi che includono l’insicurezza economica, la precarietà lavorativa, le condizioni abitative inadeguate e l’accesso limitato alle risorse protettive.</w:t>
      </w:r>
      <w:r>
        <w:rPr>
          <w:color w:val="555555"/>
          <w:sz w:val="16"/>
          <w:szCs w:val="16"/>
          <w:vertAlign w:val="superscript"/>
        </w:rPr>
        <w:t>[12]</w:t>
      </w:r>
      <w:r>
        <w:t xml:space="preserve"> La deprivazione non è perciò un fattore di contesto esterno al bisogno di salute mentale, ma una sua determinante diretta, che ne accresce l’incidenza e ne aggrava il decorso.</w:t>
      </w:r>
    </w:p>
    <w:p w14:paraId="0DEE5FA9" w14:textId="77777777" w:rsidR="007C4598" w:rsidRDefault="007C4598"/>
    <w:p w14:paraId="0CD88A19" w14:textId="77777777" w:rsidR="007C4598" w:rsidRDefault="00000000">
      <w:pPr>
        <w:jc w:val="both"/>
      </w:pPr>
      <w:r>
        <w:t>La combinazione dell’invecchiamento e della deprivazione configura, per la salute mentale pugliese, una pressione duplice e convergente. Le due dinamiche non si limitano a sommarsi, ma interagiscono: la deprivazione aggrava il decorso dei disturbi associati all’età avanzata e ne ostacola la presa in carico, mentre l’invecchiamento accresce la vulnerabilità delle popolazioni già deprivate, in particolare nelle aree interne montane e rurali colpite da spopolamento giovanile e in alcune periferie urbane degradate. Sono precisamente le aree in cui i determinanti sociali del disagio si addensano e in cui, al tempo stesso, l’accesso ai servizi è più difficile, così che la maggiore intensità del bisogno coincide con la minore disponibilità dell’offerta. È questa coincidenza che la programmazione del servizio, attraverso una distribuzione territoriale ponderata, ha il compito di correggere, e la cui misura è ripresa nella voce dedicata alle disuguaglianze.</w:t>
      </w:r>
    </w:p>
    <w:p w14:paraId="6A36A14B"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74D8252C"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CD6ADA3" w14:textId="77777777" w:rsidR="007C4598" w:rsidRDefault="00000000">
            <w:pPr>
              <w:spacing w:after="40"/>
            </w:pPr>
            <w:r>
              <w:rPr>
                <w:b/>
                <w:bCs/>
                <w:color w:val="FFFFFF"/>
                <w:sz w:val="18"/>
                <w:szCs w:val="18"/>
              </w:rPr>
              <w:t xml:space="preserve">◆  SEGNALIBRO — INFOGRAFICA 2.2 · DA INSERIRE A POSTERIORI Titolo previsto: La doppia pressione: invecchiamento e deprivazione — Puglia, 2024–2050 Contenuto da rappresentare: Grafico combinato con barre della popolazione residente ai tre orizzonti (2024, 2030, 2050), linea della quota di popolazione anziana e tre riquadri sintetici con età media, indice di vecchiaia e quota a rischio di povertà o esclusione. Codice </w:t>
            </w:r>
            <w:proofErr w:type="spellStart"/>
            <w:r>
              <w:rPr>
                <w:b/>
                <w:bCs/>
                <w:color w:val="FFFFFF"/>
                <w:sz w:val="18"/>
                <w:szCs w:val="18"/>
              </w:rPr>
              <w:t>Canva-Friendly</w:t>
            </w:r>
            <w:proofErr w:type="spellEnd"/>
            <w:r>
              <w:rPr>
                <w:b/>
                <w:bCs/>
                <w:color w:val="FFFFFF"/>
                <w:sz w:val="18"/>
                <w:szCs w:val="18"/>
              </w:rPr>
              <w:t xml:space="preserve"> (scheda di generazione) TIPO: grafico combinato — barre (popolazione) + linea (quota over 65) + 3 riquadri KPI FORMATO: 1280 × 900 </w:t>
            </w:r>
            <w:proofErr w:type="spellStart"/>
            <w:r>
              <w:rPr>
                <w:b/>
                <w:bCs/>
                <w:color w:val="FFFFFF"/>
                <w:sz w:val="18"/>
                <w:szCs w:val="18"/>
              </w:rPr>
              <w:t>px</w:t>
            </w:r>
            <w:proofErr w:type="spellEnd"/>
            <w:r>
              <w:rPr>
                <w:b/>
                <w:bCs/>
                <w:color w:val="FFFFFF"/>
                <w:sz w:val="18"/>
                <w:szCs w:val="18"/>
              </w:rPr>
              <w:t xml:space="preserve">; adatta a slide e ad A4 SFONDO: gradiente verticale bianco #FFFFFF 85% → crema #F3EAD6 15% PALETTE barre: #101F3C (2024), #244272 (2030), #2E5AA0 (2050); linea oro #C49A48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valori </w:t>
            </w:r>
            <w:proofErr w:type="spellStart"/>
            <w:r>
              <w:rPr>
                <w:b/>
                <w:bCs/>
                <w:color w:val="FFFFFF"/>
                <w:sz w:val="18"/>
                <w:szCs w:val="18"/>
              </w:rPr>
              <w:t>Bold</w:t>
            </w:r>
            <w:proofErr w:type="spellEnd"/>
            <w:r>
              <w:rPr>
                <w:b/>
                <w:bCs/>
                <w:color w:val="FFFFFF"/>
                <w:sz w:val="18"/>
                <w:szCs w:val="18"/>
              </w:rPr>
              <w:t>, assi Regular TITOLO: «La doppia pressione: invecchiamento e deprivazione — Puglia, 2024–2050» BARRE (popolazione residente, milioni): 2024 = 3,877 │ 2030 = 3,769 │ 2050 = 3,229 LINEA (quota over 65): 2024 = 24,2% → 2050 = 37,1% RIQUADRI KPI: «46,4 anni» età media; «200,8» indice di vecchiaia; «37,7%» a rischio povertà/esclusione NOTA (piè): −3,5% al 2030 e −17,4% al 2050 sul 2023; over 75 da 461.000 a 658.000 (+43%) FONTE (piè di figura): ISTAT, Censimento permanente 2024 e proiezioni demografiche</w:t>
            </w:r>
          </w:p>
          <w:p w14:paraId="62D01590" w14:textId="77777777" w:rsidR="007C4598" w:rsidRDefault="00000000">
            <w:pPr>
              <w:spacing w:before="120" w:after="60"/>
              <w:jc w:val="center"/>
            </w:pPr>
            <w:r>
              <w:rPr>
                <w:noProof/>
              </w:rPr>
              <w:drawing>
                <wp:inline distT="0" distB="0" distL="0" distR="0" wp14:anchorId="4207BC3F" wp14:editId="3DCDA39D">
                  <wp:extent cx="8229600" cy="4629150"/>
                  <wp:effectExtent l="0" t="0" r="0" b="0"/>
                  <wp:docPr id="109" name="Infografica9" descr="La doppia pressione: invecchiamento e cronicizz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Infografica9"/>
                          <pic:cNvPicPr>
                            <a:picLocks noChangeAspect="1" noChangeArrowheads="1"/>
                          </pic:cNvPicPr>
                        </pic:nvPicPr>
                        <pic:blipFill>
                          <a:blip r:embed="rId7">
                            <a:extLst>
                              <a:ext uri="{96DAC541-7B7A-43D3-8B79-37D633B846F1}">
                                <asvg:svgBlip xmlns:asvg="http://schemas.microsoft.com/office/drawing/2016/SVG/main" r:embed="rId8"/>
                              </a:ext>
                            </a:extLst>
                          </a:blip>
                          <a:stretch>
                            <a:fillRect/>
                          </a:stretch>
                        </pic:blipFill>
                        <pic:spPr bwMode="auto">
                          <a:xfrm>
                            <a:off x="0" y="0"/>
                            <a:ext cx="8229600" cy="4629150"/>
                          </a:xfrm>
                          <a:prstGeom prst="rect">
                            <a:avLst/>
                          </a:prstGeom>
                          <a:noFill/>
                          <a:ln>
                            <a:noFill/>
                          </a:ln>
                        </pic:spPr>
                      </pic:pic>
                    </a:graphicData>
                  </a:graphic>
                </wp:inline>
              </w:drawing>
            </w:r>
          </w:p>
          <w:p w14:paraId="63D81CDD" w14:textId="77777777" w:rsidR="007C4598" w:rsidRDefault="00000000">
            <w:pPr>
              <w:spacing w:before="40" w:after="200"/>
              <w:jc w:val="center"/>
            </w:pPr>
            <w:r>
              <w:rPr>
                <w:i/>
                <w:color w:val="2E5A8F"/>
                <w:sz w:val="16"/>
                <w:szCs w:val="16"/>
              </w:rPr>
              <w:t>Fig. 2.2 — La doppia pressione: invecchiamento e cronicizzazione. Elaborazione dello studio · Luigi De Michele · Giugno 2026.</w:t>
            </w:r>
          </w:p>
        </w:tc>
      </w:tr>
    </w:tbl>
    <w:p w14:paraId="2316EF7D" w14:textId="77777777" w:rsidR="007C4598" w:rsidRDefault="007C4598"/>
    <w:p w14:paraId="41EE5478" w14:textId="77777777" w:rsidR="007C4598" w:rsidRDefault="00000000">
      <w:pPr>
        <w:jc w:val="both"/>
      </w:pPr>
      <w:r>
        <w:t>Il profilo demografico e socioeconomico fin qui descritto può essere ricomposto in un quadro sintetico dei suoi tratti essenziali. La tabella seguente riepiloga le grandezze demografiche e socioeconomiche della regione, accostando al profilo complessivo i valori dei due estremi territoriali, così da rendere evidente sia la condizione media sia l’ampiezza della sua variazione interna.</w:t>
      </w:r>
    </w:p>
    <w:p w14:paraId="6F2B5310" w14:textId="77777777" w:rsidR="007C4598" w:rsidRDefault="007C4598"/>
    <w:p w14:paraId="6C1E73FD" w14:textId="77777777" w:rsidR="007C4598" w:rsidRDefault="00000000">
      <w:pPr>
        <w:jc w:val="both"/>
      </w:pPr>
      <w:r>
        <w:rPr>
          <w:b/>
          <w:bCs/>
        </w:rPr>
        <w:t>Tabella 2.3 — Profilo demografico e socioeconomico della Puglia</w:t>
      </w:r>
    </w:p>
    <w:p w14:paraId="67548F65"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4513"/>
        <w:gridCol w:w="4513"/>
      </w:tblGrid>
      <w:tr w:rsidR="007C4598" w14:paraId="7E3BC7CF" w14:textId="77777777">
        <w:tc>
          <w:tcPr>
            <w:tcW w:w="4513"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20DF17B" w14:textId="77777777" w:rsidR="007C4598" w:rsidRDefault="00000000">
            <w:pPr>
              <w:spacing w:after="40"/>
            </w:pPr>
            <w:r>
              <w:rPr>
                <w:b/>
                <w:bCs/>
                <w:color w:val="FFFFFF"/>
                <w:sz w:val="18"/>
                <w:szCs w:val="18"/>
              </w:rPr>
              <w:t>Indicatore</w:t>
            </w:r>
          </w:p>
        </w:tc>
        <w:tc>
          <w:tcPr>
            <w:tcW w:w="4513"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BF5C2B7" w14:textId="77777777" w:rsidR="007C4598" w:rsidRDefault="00000000">
            <w:pPr>
              <w:spacing w:after="40"/>
            </w:pPr>
            <w:r>
              <w:rPr>
                <w:b/>
                <w:bCs/>
                <w:color w:val="FFFFFF"/>
                <w:sz w:val="18"/>
                <w:szCs w:val="18"/>
              </w:rPr>
              <w:t>Valore per la Puglia</w:t>
            </w:r>
          </w:p>
        </w:tc>
      </w:tr>
      <w:tr w:rsidR="007C4598" w14:paraId="20FD617B"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66D4E87" w14:textId="77777777" w:rsidR="007C4598" w:rsidRDefault="00000000">
            <w:pPr>
              <w:spacing w:after="40"/>
            </w:pPr>
            <w:r>
              <w:t>Popolazione (Censimento 2024)</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A6A7453" w14:textId="77777777" w:rsidR="007C4598" w:rsidRDefault="00000000">
            <w:pPr>
              <w:spacing w:after="40"/>
            </w:pPr>
            <w:r>
              <w:t>3.877.395 (~ 6,6% del totale nazionale)</w:t>
            </w:r>
          </w:p>
        </w:tc>
      </w:tr>
      <w:tr w:rsidR="007C4598" w14:paraId="62A07FB3"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391708B" w14:textId="77777777" w:rsidR="007C4598" w:rsidRDefault="00000000">
            <w:pPr>
              <w:spacing w:after="40"/>
            </w:pPr>
            <w:r>
              <w:t>Articolazione del Servizio sanitario regionale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D975B8F" w14:textId="77777777" w:rsidR="007C4598" w:rsidRDefault="00000000">
            <w:pPr>
              <w:spacing w:after="40"/>
            </w:pPr>
            <w:r>
              <w:t>6 aziende sanitarie locali; 45 distretti</w:t>
            </w:r>
          </w:p>
        </w:tc>
      </w:tr>
      <w:tr w:rsidR="007C4598" w14:paraId="7EA43625"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24FCE85" w14:textId="77777777" w:rsidR="007C4598" w:rsidRDefault="00000000">
            <w:pPr>
              <w:spacing w:after="40"/>
            </w:pPr>
            <w:r>
              <w:t>Età media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AB28BA7" w14:textId="77777777" w:rsidR="007C4598" w:rsidRDefault="00000000">
            <w:pPr>
              <w:spacing w:after="40"/>
            </w:pPr>
            <w:r>
              <w:t>46,4 anni (da 39,3 nel 2002)</w:t>
            </w:r>
          </w:p>
        </w:tc>
      </w:tr>
      <w:tr w:rsidR="007C4598" w14:paraId="6D99B949"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CBE1748" w14:textId="77777777" w:rsidR="007C4598" w:rsidRDefault="00000000">
            <w:pPr>
              <w:spacing w:after="40"/>
            </w:pPr>
            <w:r>
              <w:t>Indice di vecchiaia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390304D" w14:textId="77777777" w:rsidR="007C4598" w:rsidRDefault="00000000">
            <w:pPr>
              <w:spacing w:after="40"/>
            </w:pPr>
            <w:r>
              <w:t>200,8 anziani ogni 100 giovani</w:t>
            </w:r>
          </w:p>
        </w:tc>
      </w:tr>
      <w:tr w:rsidR="007C4598" w14:paraId="6C91F6E2"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D661204" w14:textId="77777777" w:rsidR="007C4598" w:rsidRDefault="00000000">
            <w:pPr>
              <w:spacing w:after="40"/>
            </w:pPr>
            <w:r>
              <w:t>Quota di ultrasessantacinquenni</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FCDFDE5" w14:textId="77777777" w:rsidR="007C4598" w:rsidRDefault="00000000">
            <w:pPr>
              <w:spacing w:after="40"/>
            </w:pPr>
            <w:r>
              <w:t>24,2% oggi; 37,1% atteso al 2050</w:t>
            </w:r>
          </w:p>
        </w:tc>
      </w:tr>
      <w:tr w:rsidR="007C4598" w14:paraId="7452E0C0"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6B91AE3" w14:textId="77777777" w:rsidR="007C4598" w:rsidRDefault="00000000">
            <w:pPr>
              <w:spacing w:after="40"/>
            </w:pPr>
            <w:r>
              <w:t>Ultrasettantacinquenni</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64947C2" w14:textId="77777777" w:rsidR="007C4598" w:rsidRDefault="00000000">
            <w:pPr>
              <w:spacing w:after="40"/>
            </w:pPr>
            <w:r>
              <w:t>da 461.000 a 658.000 (+43% al 2050)</w:t>
            </w:r>
          </w:p>
        </w:tc>
      </w:tr>
      <w:tr w:rsidR="007C4598" w14:paraId="3EA1382F"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A850895" w14:textId="77777777" w:rsidR="007C4598" w:rsidRDefault="00000000">
            <w:pPr>
              <w:spacing w:after="40"/>
            </w:pPr>
            <w:r>
              <w:t>Proiezione di popolazione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CA70615" w14:textId="77777777" w:rsidR="007C4598" w:rsidRDefault="00000000">
            <w:pPr>
              <w:spacing w:after="40"/>
            </w:pPr>
            <w:r>
              <w:t>3.769.000 al 2030 (−3,5%); 3.229.000 al 2050 (−17,4% sul 2023)</w:t>
            </w:r>
          </w:p>
        </w:tc>
      </w:tr>
      <w:tr w:rsidR="007C4598" w14:paraId="6C61ABF0"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9F533C6" w14:textId="77777777" w:rsidR="007C4598" w:rsidRDefault="00000000">
            <w:pPr>
              <w:spacing w:after="40"/>
            </w:pPr>
            <w:r>
              <w:t>Provincia più anziana / più giovane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ECFFE75" w14:textId="77777777" w:rsidR="007C4598" w:rsidRDefault="00000000">
            <w:pPr>
              <w:spacing w:after="40"/>
            </w:pPr>
            <w:r>
              <w:t>Lecce (47,5; indice 229,8) / Barletta-Andria-Trani (44,9; indice 169,1)</w:t>
            </w:r>
          </w:p>
        </w:tc>
      </w:tr>
      <w:tr w:rsidR="007C4598" w14:paraId="3E714F21"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A0E036E" w14:textId="77777777" w:rsidR="007C4598" w:rsidRDefault="00000000">
            <w:pPr>
              <w:spacing w:after="40"/>
            </w:pPr>
            <w:r>
              <w:t>Popolazione a rischio di povertà o esclusione sociale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6A68CB9" w14:textId="77777777" w:rsidR="007C4598" w:rsidRDefault="00000000">
            <w:pPr>
              <w:spacing w:after="40"/>
            </w:pPr>
            <w:r>
              <w:t>37,7%</w:t>
            </w:r>
          </w:p>
        </w:tc>
      </w:tr>
    </w:tbl>
    <w:p w14:paraId="1BF56820" w14:textId="77777777" w:rsidR="007C4598" w:rsidRDefault="007C4598"/>
    <w:p w14:paraId="30A863E0" w14:textId="77777777" w:rsidR="007C4598" w:rsidRDefault="00000000">
      <w:pPr>
        <w:jc w:val="both"/>
      </w:pPr>
      <w:r>
        <w:rPr>
          <w:i/>
          <w:iCs/>
        </w:rPr>
        <w:t>Fonti: ISTAT, Censimento permanente 2024 e proiezioni demografiche; indicatori regionali di deprivazione. Valori in numeri assoluti e percentuali.</w:t>
      </w:r>
    </w:p>
    <w:p w14:paraId="470C5075" w14:textId="77777777" w:rsidR="007C4598" w:rsidRDefault="007C4598"/>
    <w:p w14:paraId="3E77684E" w14:textId="77777777" w:rsidR="007C4598" w:rsidRDefault="00000000">
      <w:pPr>
        <w:jc w:val="both"/>
      </w:pPr>
      <w:r>
        <w:t>Il contesto demografico, sociale ed economico così ricostruito non costituisce uno sfondo neutro, ma una componente attiva del problema di salute. L’invecchiamento accelerato sposta verso l’alto e verso la cronicità la domanda di salute mentale; la vulnerabilità socioeconomica ne accresce l’incidenza e ne aggrava il decorso; e la disomogeneità territoriale fa sì che il bisogno più intenso si concentri nelle aree meno servite. Questi tre tratti definiscono le condizioni entro cui il servizio di Psicologia di Base deve operare e rispetto a cui deve essere dimensionato e distribuito. La voce successiva analizza il sistema sanitario regionale, mostrando come a questo contesto di bisogno corrisponda un’offerta segnata da carenze strutturali, liste d’attesa e flussi inefficienti, e definendo così lo spazio entro cui la riforma può produrre i propri effetti.</w:t>
      </w:r>
    </w:p>
    <w:p w14:paraId="05E93CF9" w14:textId="77777777" w:rsidR="007C4598" w:rsidRDefault="007C4598"/>
    <w:p w14:paraId="5FD4DE9E" w14:textId="77777777" w:rsidR="007C4598" w:rsidRDefault="00000000">
      <w:pPr>
        <w:pStyle w:val="Titolo2"/>
        <w:spacing w:before="200" w:after="100"/>
      </w:pPr>
      <w:r>
        <w:rPr>
          <w:sz w:val="22"/>
          <w:szCs w:val="22"/>
        </w:rPr>
        <w:t>2.3  Il sistema sanitario regionale: cure primarie, Centri di Salute Mentale, Case della Comunità, carenza della medicina generale, liste d’attesa, mobilità sanitaria passiva</w:t>
      </w:r>
    </w:p>
    <w:p w14:paraId="046D3C27" w14:textId="77777777" w:rsidR="007C4598" w:rsidRDefault="007C4598"/>
    <w:p w14:paraId="6DA95518" w14:textId="77777777" w:rsidR="007C4598" w:rsidRDefault="00000000">
      <w:pPr>
        <w:jc w:val="both"/>
      </w:pPr>
      <w:r>
        <w:rPr>
          <w:i/>
          <w:iCs/>
        </w:rPr>
        <w:t>Questa voce analizza l’offerta sanitaria regionale come termine di confronto del bisogno misurato nelle voci precedenti: la dotazione psicologica pubblica, i servizi specialistici che ne assorbono l’eccesso, la crisi strutturale della medicina generale, le Case della Comunità quali sedi della presa in carico di prossimità, le liste d’attesa e i flussi impropri verso il pronto soccorso e fuori regione.</w:t>
      </w:r>
    </w:p>
    <w:p w14:paraId="14326B03" w14:textId="77777777" w:rsidR="007C4598" w:rsidRDefault="007C4598"/>
    <w:p w14:paraId="6D401E24" w14:textId="77777777" w:rsidR="007C4598" w:rsidRDefault="00000000">
      <w:pPr>
        <w:jc w:val="both"/>
      </w:pPr>
      <w:r>
        <w:t>Al bisogno ampio e in larga parte sommerso descritto nelle voci precedenti corrisponde un’offerta sanitaria segnata da carenze strutturali, da una distribuzione diseguale e da flussi inefficienti. La presente voce ricostruisce il lato dell’offerta, non per descriverlo in sé, ma per misurarne l’adeguatezza rispetto al bisogno e per individuare lo spazio entro cui un servizio di primo livello territoriale può inserirsi e produrre effetti. L’analisi muove dalla dotazione psicologica pubblica, prosegue con i servizi specialistici e con la medicina generale, considera le sedi territoriali e le liste d’attesa, e si chiude con i due flussi — gli accessi impropri al pronto soccorso e la mobilità sanitaria passiva — che misurano congiuntamente l’inefficienza del sistema e il margine d’intervento della riforma.</w:t>
      </w:r>
    </w:p>
    <w:p w14:paraId="4FD132EE" w14:textId="77777777" w:rsidR="007C4598" w:rsidRDefault="007C4598"/>
    <w:p w14:paraId="279BA4DC" w14:textId="77777777" w:rsidR="007C4598" w:rsidRDefault="00000000">
      <w:pPr>
        <w:jc w:val="both"/>
      </w:pPr>
      <w:r>
        <w:t>L’offerta psicologica pubblica è storicamente esigua. Secondo i dati del Ministero della Salute riferiti al 2017, l’Italia dispone di 8,5 psicologi ogni 100.000 abitanti nell’intero Servizio sanitario, e di meno di 3 ogni 100.000 nelle sole strutture pubbliche di salute mentale, una delle dotazioni più basse d’Europa.</w:t>
      </w:r>
      <w:r>
        <w:rPr>
          <w:color w:val="555555"/>
          <w:sz w:val="16"/>
          <w:szCs w:val="16"/>
          <w:vertAlign w:val="superscript"/>
        </w:rPr>
        <w:t>[13]</w:t>
      </w:r>
      <w:r>
        <w:t xml:space="preserve"> La conseguenza è che la presa in carico del disagio comune non dispone, nel sistema attuale, di un livello dedicato: lo psicologo pubblico è concentrato nei servizi specialistici, dove tratta i quadri gravi, e manca un primo livello territoriale capace di intercettare il bisogno lieve e moderato prima che si aggravi. È a colmare questa lacuna che il modello dello Psicologo di Base si rivolge, sul modello dei sistemi che hanno integrato la figura nelle cure primarie.</w:t>
      </w:r>
    </w:p>
    <w:p w14:paraId="191061F1" w14:textId="77777777" w:rsidR="007C4598" w:rsidRDefault="007C4598"/>
    <w:p w14:paraId="248A221C" w14:textId="77777777" w:rsidR="007C4598" w:rsidRDefault="00000000">
      <w:pPr>
        <w:jc w:val="both"/>
      </w:pPr>
      <w:r>
        <w:t>Il riferimento internazionale più prossimo è il modello olandese di psicologo nelle cure primarie, nel quale l’adozione della figura da parte dei medici di medicina generale è cresciuta da circa un terzo nel 2011 a circa tre quarti nel 2014, con un professionista psicologo integrato nello studio del medico, finanziato nell’assicurazione di base e con un ruolo complementare e non sostitutivo rispetto alla cura ordinaria.</w:t>
      </w:r>
      <w:r>
        <w:rPr>
          <w:color w:val="555555"/>
          <w:sz w:val="16"/>
          <w:szCs w:val="16"/>
          <w:vertAlign w:val="superscript"/>
        </w:rPr>
        <w:t>[14]</w:t>
      </w:r>
      <w:r>
        <w:t xml:space="preserve"> La rapidità di quell’adozione dimostra che, quando la figura è resa disponibile e correttamente integrata, la domanda latente emerge e si incanala nel primo livello, alleggerendo i livelli a maggiore intensità. È questa la dinamica che la riforma pugliese intende riprodurre, adattandola alla struttura dell’offerta regionale.</w:t>
      </w:r>
    </w:p>
    <w:p w14:paraId="624B518E" w14:textId="77777777" w:rsidR="007C4598" w:rsidRDefault="007C4598"/>
    <w:p w14:paraId="7E849610" w14:textId="77777777" w:rsidR="007C4598" w:rsidRDefault="00000000">
      <w:pPr>
        <w:jc w:val="both"/>
      </w:pPr>
      <w:r>
        <w:t>La domanda che non trova risposta nel territorio si riversa, come si è documentato, sui servizi specialistici e di emergenza. I Dipartimenti di Salute Mentale hanno avuto in carico, nel 2023, 54.946 utenti, con 18.939 nuovi ingressi, mentre il pronto soccorso ha registrato 18.753 accessi per cause psichiatriche; sono i due terminali su cui si scarica l’assenza di un primo livello. Ma il tratto più rivelatore dell’inadeguatezza dell’offerta territoriale non riguarda i servizi psicologici in senso stretto, bensì la medicina generale, che del primo livello costituisce oggi l’unico presidio diffuso e che attraversa una crisi strutturale di proporzioni tali da comprometterne la tenuta.</w:t>
      </w:r>
    </w:p>
    <w:p w14:paraId="3F7DF014" w14:textId="77777777" w:rsidR="007C4598" w:rsidRDefault="007C4598"/>
    <w:p w14:paraId="5D700A4D" w14:textId="77777777" w:rsidR="007C4598" w:rsidRDefault="00000000">
      <w:pPr>
        <w:jc w:val="both"/>
      </w:pPr>
      <w:r>
        <w:t>La carenza dei medici di medicina generale è in Puglia particolarmente grave. All’inizio del 2025 la Regione registrava un ammanco di circa 279 medici di famiglia, e si stima che entro il 2028 altri 702 professionisti lascino il servizio per raggiungimento dell’età pensionabile; tra il 2019 e il 2024 il numero dei medici di medicina generale si è ridotto del 26,3 per cento, quasi il doppio della media nazionale del 14,1 per cento.</w:t>
      </w:r>
      <w:r>
        <w:rPr>
          <w:color w:val="555555"/>
          <w:sz w:val="16"/>
          <w:szCs w:val="16"/>
          <w:vertAlign w:val="superscript"/>
        </w:rPr>
        <w:t>[15]</w:t>
      </w:r>
      <w:r>
        <w:t xml:space="preserve"> La contrazione non è dunque un fenomeno marginale, ma un arretramento rapido del presidio territoriale di base, che si concentra nelle aree interne e nei piccoli comuni e che lascia quote crescenti di popolazione prive di un medico di riferimento, proprio mentre la domanda sanitaria cresce per effetto dell’invecchiamento.</w:t>
      </w:r>
    </w:p>
    <w:p w14:paraId="2E48206A" w14:textId="77777777" w:rsidR="007C4598" w:rsidRDefault="007C4598"/>
    <w:p w14:paraId="20104053" w14:textId="77777777" w:rsidR="007C4598" w:rsidRDefault="00000000">
      <w:pPr>
        <w:jc w:val="both"/>
      </w:pPr>
      <w:r>
        <w:t>La struttura della medicina generale pugliese aggrava il quadro. I medici di medicina generale erano circa 2.811 secondo la rilevazione dell’Agenzia nazionale per i servizi sanitari regionali riferita al 2023, con un carico medio di 1.331 assistiti per medico, superiore alla soglia ottimale indicata dall’Accordo Collettivo Nazionale; e il 78 per cento di essi presentava oltre 27 anni di anzianità di laurea, indice di un’età anagrafica avanzata e di una prossimità diffusa al pensionamento.</w:t>
      </w:r>
      <w:r>
        <w:rPr>
          <w:color w:val="555555"/>
          <w:sz w:val="16"/>
          <w:szCs w:val="16"/>
          <w:vertAlign w:val="superscript"/>
        </w:rPr>
        <w:t>[16]</w:t>
      </w:r>
      <w:r>
        <w:t xml:space="preserve"> A reggere il sistema concorrono 540 forme associative della medicina generale, alle quali aderisce circa il 74 per cento dei medici e che garantiscono orari più estesi e minori tempi di attesa; ma la loro continuità è essa stessa minacciata dall’uscita dei medici, con il rischio che una quota rilevante di esse non raggiunga più il numero minimo di aderenti. La crisi della medicina generale non è perciò un dato esterno al progetto, ma una delle ragioni della sua urgenza: lo Psicologo di Base, collocato accanto al medico nella coppia clinica, alleggerisce il carico di una funzione in arretramento e intercetta una quota di domanda — quella a componente psicologica e </w:t>
      </w:r>
      <w:proofErr w:type="spellStart"/>
      <w:r>
        <w:t>somatoforme</w:t>
      </w:r>
      <w:proofErr w:type="spellEnd"/>
      <w:r>
        <w:t xml:space="preserve"> — che oggi grava impropriamente sul medico di famiglia.</w:t>
      </w:r>
    </w:p>
    <w:p w14:paraId="2A808460" w14:textId="77777777" w:rsidR="007C4598" w:rsidRDefault="007C4598"/>
    <w:p w14:paraId="1F6310A6" w14:textId="77777777" w:rsidR="007C4598" w:rsidRDefault="00000000">
      <w:pPr>
        <w:jc w:val="both"/>
      </w:pPr>
      <w:r>
        <w:t>La sede entro cui questa integrazione si realizza è definita dal disegno nazionale dell’assistenza territoriale. Il decreto ministeriale che ne ha fissato il modello individua nelle Case della Comunità il luogo della presa in carico di prossimità, presso il quale convergono le figure delle cure primarie e dei servizi territoriali, e presso il quale lo Psicologo di Base si inserisce naturalmente; la Missione del Piano Nazionale di Ripresa e Resilienza dedicata alla salute ne finanzia l’infrastruttura fisica e digitale.</w:t>
      </w:r>
    </w:p>
    <w:p w14:paraId="36826581" w14:textId="77777777" w:rsidR="007C4598" w:rsidRDefault="007C4598"/>
    <w:p w14:paraId="437CDE5B" w14:textId="77777777" w:rsidR="007C4598" w:rsidRDefault="00000000">
      <w:pPr>
        <w:jc w:val="both"/>
      </w:pPr>
      <w:r>
        <w:t>Le Case della Comunità costituiscono, in questo quadro, l’ossatura territoriale entro cui la riforma colloca la figura, accanto al medico di medicina generale e al pediatra di libera scelta, con una funzione di primo ascolto, di intercettazione precoce e di filtro verso i servizi specialistici.</w:t>
      </w:r>
      <w:r>
        <w:rPr>
          <w:color w:val="555555"/>
          <w:sz w:val="16"/>
          <w:szCs w:val="16"/>
          <w:vertAlign w:val="superscript"/>
        </w:rPr>
        <w:t>[17]</w:t>
      </w:r>
      <w:r>
        <w:t xml:space="preserve"> La coincidenza tra la sede prevista per lo Psicologo di Base e quella che il Piano nazionale sta finanziando è una condizione abilitante della riforma, poiché consente di innestare la figura su un’infrastruttura in costruzione, senza oneri aggiuntivi di allestimento e in coerenza con la programmazione nazionale.</w:t>
      </w:r>
    </w:p>
    <w:p w14:paraId="286B1064" w14:textId="77777777" w:rsidR="007C4598" w:rsidRDefault="007C4598"/>
    <w:p w14:paraId="2E60A32C" w14:textId="77777777" w:rsidR="007C4598" w:rsidRDefault="00000000">
      <w:pPr>
        <w:jc w:val="both"/>
      </w:pPr>
      <w:r>
        <w:t>Accanto al medico di medicina generale, il disegno della riforma colloca il pediatra di libera scelta quale interlocutore della figura per l’età evolutiva, in ragione del peso crescente del disagio tra i minori e i giovani adulti. La distribuzione degli accessi al pronto soccorso per cause psichiatriche, già osservata, mostra un andamento accentuato proprio in queste fasce d’età, segno di un bisogno precoce che il sistema attuale intercetta tardi e per via impropria. La presenza dello Psicologo di Base nelle sedi territoriali, in raccordo con il pediatra, consente di accogliere il disagio nella sua fase iniziale e di evitare che esso percorra, anche per i più giovani, le vie dell’emergenza e della cronicizzazione. La coppia clinica, intesa nel modello come integrazione stabile tra la figura e il medico curante mediante consultazioni congiunte, protocolli di invio strutturati e comunicazione facilitata, si estende così alla pediatria, e con essa alla protezione della salute mentale nelle età in cui la prevenzione produce i rendimenti più duraturi. È questa estensione che colloca la figura non come servizio isolato, ma come livello trasversale del primo intervento territoriale, raccordato con tutte le figure delle cure primarie.</w:t>
      </w:r>
    </w:p>
    <w:p w14:paraId="4C609677" w14:textId="77777777" w:rsidR="007C4598" w:rsidRDefault="007C4598"/>
    <w:p w14:paraId="30793803" w14:textId="77777777" w:rsidR="007C4598" w:rsidRDefault="00000000">
      <w:pPr>
        <w:jc w:val="both"/>
      </w:pPr>
      <w:r>
        <w:t>All’insufficienza dell’offerta si somma la dilatazione dei tempi di accesso. Mentre le prestazioni urgenti risultano per lo più garantite nei tempi previsti, le prestazioni programmabili scontano liste d’attesa lunghe, con attese che per alcune indagini diagnostiche raggiungono diversi mesi.</w:t>
      </w:r>
      <w:r>
        <w:rPr>
          <w:color w:val="555555"/>
          <w:sz w:val="16"/>
          <w:szCs w:val="16"/>
          <w:vertAlign w:val="superscript"/>
        </w:rPr>
        <w:t>[18]</w:t>
      </w:r>
      <w:r>
        <w:t xml:space="preserve"> La lunghezza delle liste d’attesa non è priva di relazione con la salute mentale: il prolungarsi dell’attesa aggrava l’ansia e la sofferenza, alimenta il ricorso improprio ai canali di emergenza e spinge una quota di domanda verso il sistema privato o verso altre regioni. La presa in carico psicologica di prossimità, riducendo la pressione sui percorsi specialistici per i quadri che non li richiedono, agisce indirettamente anche sul fronte dei tempi di accesso.</w:t>
      </w:r>
    </w:p>
    <w:p w14:paraId="35668A55" w14:textId="77777777" w:rsidR="007C4598" w:rsidRDefault="007C4598"/>
    <w:p w14:paraId="39D59E0B" w14:textId="77777777" w:rsidR="007C4598" w:rsidRDefault="00000000">
      <w:pPr>
        <w:jc w:val="both"/>
      </w:pPr>
      <w:r>
        <w:t>I due flussi che misurano insieme l’inefficienza del sistema e lo spazio d’azione della riforma sono il ricorso improprio al pronto soccorso e la mobilità sanitaria passiva. Sul primo, la Regione dispone di 37 presidi di pronto soccorso, che registrano complessivamente 1.142.448 accessi l’anno; di questi, circa 914.000 risultano inappropriati, dell’ordine dell’80 per cento, e una quota di essi è riconducibile a disagio psichico e a sintomi somatici funzionali, ossia a quadri che un primo livello territoriale potrebbe accogliere e trattare al di fuori del contesto dell’emergenza.</w:t>
      </w:r>
    </w:p>
    <w:p w14:paraId="531CEA8E" w14:textId="77777777" w:rsidR="007C4598" w:rsidRDefault="007C4598"/>
    <w:p w14:paraId="175F2C45" w14:textId="77777777" w:rsidR="007C4598" w:rsidRDefault="00000000">
      <w:pPr>
        <w:jc w:val="both"/>
      </w:pPr>
      <w:r>
        <w:t>L’entità di questo flusso definisce un margine di appropriatezza di grande ampiezza, la cui traduzione economica è oggetto delle parti dedicate ai risparmi diretti.</w:t>
      </w:r>
      <w:r>
        <w:rPr>
          <w:color w:val="555555"/>
          <w:sz w:val="16"/>
          <w:szCs w:val="16"/>
          <w:vertAlign w:val="superscript"/>
        </w:rPr>
        <w:t>[19]</w:t>
      </w:r>
      <w:r>
        <w:t xml:space="preserve"> Il secondo flusso, la mobilità sanitaria passiva, costituisce il tratto più distintivo del caso pugliese ed è trattato nella voce seguente, in quanto direttamente connesso al quadro finanziario regionale. Insieme, i due flussi mostrano che l’offerta attuale non solo è insufficiente, ma è anche impiegata in modo inefficiente, con una parte rilevante della domanda che si scarica sui canali più costosi e meno appropriati, all’interno e all’esterno della Regione.</w:t>
      </w:r>
    </w:p>
    <w:p w14:paraId="39320F03"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7EACA3F2"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076A58E" w14:textId="77777777" w:rsidR="007C4598" w:rsidRDefault="00000000">
            <w:pPr>
              <w:spacing w:after="40"/>
            </w:pPr>
            <w:r>
              <w:rPr>
                <w:b/>
                <w:bCs/>
                <w:color w:val="FFFFFF"/>
                <w:sz w:val="18"/>
                <w:szCs w:val="18"/>
              </w:rPr>
              <w:t xml:space="preserve">◆  SEGNALIBRO — INFOGRAFICA 2.3 · DA INSERIRE A POSTERIORI Titolo previsto: La crisi dell’offerta territoriale: medicina generale in contrazione — Puglia Contenuto da rappresentare: Rappresentazione della contrazione della medicina generale (riduzione 2019-2024, medici mancanti, pensionamenti attesi, carico per medico) accostata alla pressione sui canali di secondo livello e di emergenza; obiettivo: mostrare il vuoto di primo livello che la figura va a colmare. Codice </w:t>
            </w:r>
            <w:proofErr w:type="spellStart"/>
            <w:r>
              <w:rPr>
                <w:b/>
                <w:bCs/>
                <w:color w:val="FFFFFF"/>
                <w:sz w:val="18"/>
                <w:szCs w:val="18"/>
              </w:rPr>
              <w:t>Canva-Friendly</w:t>
            </w:r>
            <w:proofErr w:type="spellEnd"/>
            <w:r>
              <w:rPr>
                <w:b/>
                <w:bCs/>
                <w:color w:val="FFFFFF"/>
                <w:sz w:val="18"/>
                <w:szCs w:val="18"/>
              </w:rPr>
              <w:t xml:space="preserve"> (scheda di generazione) TIPO: cruscotto a riquadri (KPI) + barra di contrazione temporale FORMATO: 1280 × 860 </w:t>
            </w:r>
            <w:proofErr w:type="spellStart"/>
            <w:r>
              <w:rPr>
                <w:b/>
                <w:bCs/>
                <w:color w:val="FFFFFF"/>
                <w:sz w:val="18"/>
                <w:szCs w:val="18"/>
              </w:rPr>
              <w:t>px</w:t>
            </w:r>
            <w:proofErr w:type="spellEnd"/>
            <w:r>
              <w:rPr>
                <w:b/>
                <w:bCs/>
                <w:color w:val="FFFFFF"/>
                <w:sz w:val="18"/>
                <w:szCs w:val="18"/>
              </w:rPr>
              <w:t xml:space="preserve">; adatta a slide e ad A4 SFONDO: gradiente verticale bianco #FFFFFF 85% → crema #F3EAD6 15% PALETTE: #101F3C, #16264B, #244272, #2E5AA0; accento oro #C49A48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valori </w:t>
            </w:r>
            <w:proofErr w:type="spellStart"/>
            <w:r>
              <w:rPr>
                <w:b/>
                <w:bCs/>
                <w:color w:val="FFFFFF"/>
                <w:sz w:val="18"/>
                <w:szCs w:val="18"/>
              </w:rPr>
              <w:t>Bold</w:t>
            </w:r>
            <w:proofErr w:type="spellEnd"/>
            <w:r>
              <w:rPr>
                <w:b/>
                <w:bCs/>
                <w:color w:val="FFFFFF"/>
                <w:sz w:val="18"/>
                <w:szCs w:val="18"/>
              </w:rPr>
              <w:t xml:space="preserve">, etichette Regular TITOLO: «La crisi dell’offerta territoriale — Puglia» RIQUADRI KPI (valore — etichetta): • −26,3% — riduzione dei medici di medicina generale (2019–2024) • 279 — medici di famiglia mancanti (gennaio 2025) • 702 — pensionamenti attesi entro il 2028 • 1.331 — assistiti per medico (soglia ottimale 1.200) • &lt; 3 — psicologi ogni 100.000 abitanti nelle strutture pubbliche • ~ 914.000 — accessi impropri al pronto soccorso (~80% di 1.142.448) ELEMENTO: freccia oro discendente 2019→2024 a segnalare l’arretramento del primo livello VARIANTE 3D (opzionale): riquadri KPI con leggera estrusione e ombra morbida, mantenendo i valori in piano FONTE (piè di figura): </w:t>
            </w:r>
            <w:proofErr w:type="spellStart"/>
            <w:r>
              <w:rPr>
                <w:b/>
                <w:bCs/>
                <w:color w:val="FFFFFF"/>
                <w:sz w:val="18"/>
                <w:szCs w:val="18"/>
              </w:rPr>
              <w:t>Agenas</w:t>
            </w:r>
            <w:proofErr w:type="spellEnd"/>
            <w:r>
              <w:rPr>
                <w:b/>
                <w:bCs/>
                <w:color w:val="FFFFFF"/>
                <w:sz w:val="18"/>
                <w:szCs w:val="18"/>
              </w:rPr>
              <w:t xml:space="preserve"> 2023; Fondazione </w:t>
            </w:r>
            <w:proofErr w:type="spellStart"/>
            <w:r>
              <w:rPr>
                <w:b/>
                <w:bCs/>
                <w:color w:val="FFFFFF"/>
                <w:sz w:val="18"/>
                <w:szCs w:val="18"/>
              </w:rPr>
              <w:t>Gimbe</w:t>
            </w:r>
            <w:proofErr w:type="spellEnd"/>
            <w:r>
              <w:rPr>
                <w:b/>
                <w:bCs/>
                <w:color w:val="FFFFFF"/>
                <w:sz w:val="18"/>
                <w:szCs w:val="18"/>
              </w:rPr>
              <w:t xml:space="preserve"> 2025–2026; SISM 2023; fonti regionali</w:t>
            </w:r>
          </w:p>
          <w:p w14:paraId="72BA0CA7" w14:textId="77777777" w:rsidR="007C4598" w:rsidRDefault="00000000">
            <w:pPr>
              <w:spacing w:before="120" w:after="60"/>
              <w:jc w:val="center"/>
            </w:pPr>
            <w:r>
              <w:rPr>
                <w:noProof/>
              </w:rPr>
              <w:drawing>
                <wp:inline distT="0" distB="0" distL="0" distR="0" wp14:anchorId="150A9900" wp14:editId="529C5C1B">
                  <wp:extent cx="8229600" cy="4629150"/>
                  <wp:effectExtent l="0" t="0" r="0" b="0"/>
                  <wp:docPr id="110" name="Infografica10" descr="La crisi dell'offerta territoriale: carenza MMG e liste d'att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nfografica10"/>
                          <pic:cNvPicPr>
                            <a:picLocks noChangeAspect="1" noChangeArrowheads="1"/>
                          </pic:cNvPicPr>
                        </pic:nvPicPr>
                        <pic:blipFill>
                          <a:blip r:embed="rId9">
                            <a:extLst>
                              <a:ext uri="{96DAC541-7B7A-43D3-8B79-37D633B846F1}">
                                <asvg:svgBlip xmlns:asvg="http://schemas.microsoft.com/office/drawing/2016/SVG/main" r:embed="rId10"/>
                              </a:ext>
                            </a:extLst>
                          </a:blip>
                          <a:stretch>
                            <a:fillRect/>
                          </a:stretch>
                        </pic:blipFill>
                        <pic:spPr bwMode="auto">
                          <a:xfrm>
                            <a:off x="0" y="0"/>
                            <a:ext cx="8229600" cy="4629150"/>
                          </a:xfrm>
                          <a:prstGeom prst="rect">
                            <a:avLst/>
                          </a:prstGeom>
                          <a:noFill/>
                          <a:ln>
                            <a:noFill/>
                          </a:ln>
                        </pic:spPr>
                      </pic:pic>
                    </a:graphicData>
                  </a:graphic>
                </wp:inline>
              </w:drawing>
            </w:r>
          </w:p>
          <w:p w14:paraId="66845B3A" w14:textId="77777777" w:rsidR="007C4598" w:rsidRDefault="00000000">
            <w:pPr>
              <w:spacing w:before="40" w:after="200"/>
              <w:jc w:val="center"/>
            </w:pPr>
            <w:r>
              <w:rPr>
                <w:i/>
                <w:color w:val="2E5A8F"/>
                <w:sz w:val="16"/>
                <w:szCs w:val="16"/>
              </w:rPr>
              <w:t>Fig. 2.3 — La crisi dell'offerta territoriale: carenza MMG e liste d'attesa. Elaborazione dello studio · Luigi De Michele · Giugno 2026.</w:t>
            </w:r>
          </w:p>
        </w:tc>
      </w:tr>
    </w:tbl>
    <w:p w14:paraId="401A7FFD" w14:textId="77777777" w:rsidR="007C4598" w:rsidRDefault="007C4598"/>
    <w:p w14:paraId="53ACD72A" w14:textId="77777777" w:rsidR="007C4598" w:rsidRDefault="00000000">
      <w:pPr>
        <w:jc w:val="both"/>
      </w:pPr>
      <w:r>
        <w:t>Le grandezze dell’offerta e dei flussi possono essere ricomposte in due quadri sintetici. Il primo riepiloga la dotazione di servizi e la condizione della medicina generale; il secondo, nella voce seguente, riepilogherà i flussi finanziari. La tabella che segue sintetizza l’offerta sanitaria regionale rilevante per la valutazione.</w:t>
      </w:r>
    </w:p>
    <w:p w14:paraId="28C74053" w14:textId="77777777" w:rsidR="007C4598" w:rsidRDefault="007C4598"/>
    <w:p w14:paraId="7EFB705D" w14:textId="77777777" w:rsidR="007C4598" w:rsidRDefault="00000000">
      <w:pPr>
        <w:jc w:val="both"/>
      </w:pPr>
      <w:r>
        <w:rPr>
          <w:b/>
          <w:bCs/>
        </w:rPr>
        <w:t>Tabella 2.4 — L’offerta sanitaria regionale e la condizione della medicina generale</w:t>
      </w:r>
    </w:p>
    <w:p w14:paraId="0F12932E"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4513"/>
        <w:gridCol w:w="4513"/>
      </w:tblGrid>
      <w:tr w:rsidR="007C4598" w14:paraId="341570DF" w14:textId="77777777">
        <w:tc>
          <w:tcPr>
            <w:tcW w:w="4513"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6A4F4B2" w14:textId="77777777" w:rsidR="007C4598" w:rsidRDefault="00000000">
            <w:pPr>
              <w:spacing w:after="40"/>
            </w:pPr>
            <w:r>
              <w:rPr>
                <w:b/>
                <w:bCs/>
                <w:color w:val="FFFFFF"/>
                <w:sz w:val="18"/>
                <w:szCs w:val="18"/>
              </w:rPr>
              <w:t>Grandezza dell’offerta</w:t>
            </w:r>
          </w:p>
        </w:tc>
        <w:tc>
          <w:tcPr>
            <w:tcW w:w="4513"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14C3838" w14:textId="77777777" w:rsidR="007C4598" w:rsidRDefault="00000000">
            <w:pPr>
              <w:spacing w:after="40"/>
            </w:pPr>
            <w:r>
              <w:rPr>
                <w:b/>
                <w:bCs/>
                <w:color w:val="FFFFFF"/>
                <w:sz w:val="18"/>
                <w:szCs w:val="18"/>
              </w:rPr>
              <w:t>Valore per la Puglia</w:t>
            </w:r>
          </w:p>
        </w:tc>
      </w:tr>
      <w:tr w:rsidR="007C4598" w14:paraId="4A36DD8A"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597DB27" w14:textId="77777777" w:rsidR="007C4598" w:rsidRDefault="00000000">
            <w:pPr>
              <w:spacing w:after="40"/>
            </w:pPr>
            <w:r>
              <w:t>Psicologi nelle strutture pubbliche di salute mentale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DBF2D3A" w14:textId="77777777" w:rsidR="007C4598" w:rsidRDefault="00000000">
            <w:pPr>
              <w:spacing w:after="40"/>
            </w:pPr>
            <w:r>
              <w:t>&lt; 3 ogni 100.000 abitanti</w:t>
            </w:r>
          </w:p>
        </w:tc>
      </w:tr>
      <w:tr w:rsidR="007C4598" w14:paraId="580215EA"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5DDDE4F" w14:textId="77777777" w:rsidR="007C4598" w:rsidRDefault="00000000">
            <w:pPr>
              <w:spacing w:after="40"/>
            </w:pPr>
            <w:r>
              <w:t>Medici di medicina generale (2023)</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BA65B1D" w14:textId="77777777" w:rsidR="007C4598" w:rsidRDefault="00000000">
            <w:pPr>
              <w:spacing w:after="40"/>
            </w:pPr>
            <w:r>
              <w:t>~ 2.811</w:t>
            </w:r>
          </w:p>
        </w:tc>
      </w:tr>
      <w:tr w:rsidR="007C4598" w14:paraId="3A85CCDF"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30F9C8E" w14:textId="77777777" w:rsidR="007C4598" w:rsidRDefault="00000000">
            <w:pPr>
              <w:spacing w:after="40"/>
            </w:pPr>
            <w:r>
              <w:t>Carico medio per medico di medicina generale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8F5D8A9" w14:textId="77777777" w:rsidR="007C4598" w:rsidRDefault="00000000">
            <w:pPr>
              <w:spacing w:after="40"/>
            </w:pPr>
            <w:r>
              <w:t>1.331 assistiti (soglia ottimale 1.200)</w:t>
            </w:r>
          </w:p>
        </w:tc>
      </w:tr>
      <w:tr w:rsidR="007C4598" w14:paraId="35061109"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A115C0E" w14:textId="77777777" w:rsidR="007C4598" w:rsidRDefault="00000000">
            <w:pPr>
              <w:spacing w:after="40"/>
            </w:pPr>
            <w:r>
              <w:t>Riduzione dei medici di medicina generale (2019–2024)</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7056525" w14:textId="77777777" w:rsidR="007C4598" w:rsidRDefault="00000000">
            <w:pPr>
              <w:spacing w:after="40"/>
            </w:pPr>
            <w:r>
              <w:t>−26,3% (media nazionale −14,1%)</w:t>
            </w:r>
          </w:p>
        </w:tc>
      </w:tr>
      <w:tr w:rsidR="007C4598" w14:paraId="772DFCCF"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4C862E2" w14:textId="77777777" w:rsidR="007C4598" w:rsidRDefault="00000000">
            <w:pPr>
              <w:spacing w:after="40"/>
            </w:pPr>
            <w:r>
              <w:t>Medici di famiglia mancanti (gennaio 2025)</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6863F0F" w14:textId="77777777" w:rsidR="007C4598" w:rsidRDefault="00000000">
            <w:pPr>
              <w:spacing w:after="40"/>
            </w:pPr>
            <w:r>
              <w:t>~ 279</w:t>
            </w:r>
          </w:p>
        </w:tc>
      </w:tr>
      <w:tr w:rsidR="007C4598" w14:paraId="17440A57"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A4893A6" w14:textId="77777777" w:rsidR="007C4598" w:rsidRDefault="00000000">
            <w:pPr>
              <w:spacing w:after="40"/>
            </w:pPr>
            <w:r>
              <w:t>Pensionamenti attesi entro il 2028</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D552A4A" w14:textId="77777777" w:rsidR="007C4598" w:rsidRDefault="00000000">
            <w:pPr>
              <w:spacing w:after="40"/>
            </w:pPr>
            <w:r>
              <w:t>702</w:t>
            </w:r>
          </w:p>
        </w:tc>
      </w:tr>
      <w:tr w:rsidR="007C4598" w14:paraId="1AF0E3ED"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84D5A96" w14:textId="77777777" w:rsidR="007C4598" w:rsidRDefault="00000000">
            <w:pPr>
              <w:spacing w:after="40"/>
            </w:pPr>
            <w:r>
              <w:t>Forme associative della medicina generale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A990210" w14:textId="77777777" w:rsidR="007C4598" w:rsidRDefault="00000000">
            <w:pPr>
              <w:spacing w:after="40"/>
            </w:pPr>
            <w:r>
              <w:t>540 (~ 74% di adesione)</w:t>
            </w:r>
          </w:p>
        </w:tc>
      </w:tr>
      <w:tr w:rsidR="007C4598" w14:paraId="7C1EB90E"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664B2D9" w14:textId="77777777" w:rsidR="007C4598" w:rsidRDefault="00000000">
            <w:pPr>
              <w:spacing w:after="40"/>
            </w:pPr>
            <w:r>
              <w:t>Presidi di pronto soccorso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02DE7B5" w14:textId="77777777" w:rsidR="007C4598" w:rsidRDefault="00000000">
            <w:pPr>
              <w:spacing w:after="40"/>
            </w:pPr>
            <w:r>
              <w:t>37</w:t>
            </w:r>
          </w:p>
        </w:tc>
      </w:tr>
      <w:tr w:rsidR="007C4598" w14:paraId="7499740F"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1AE5808" w14:textId="77777777" w:rsidR="007C4598" w:rsidRDefault="00000000">
            <w:pPr>
              <w:spacing w:after="40"/>
            </w:pPr>
            <w:r>
              <w:t>Accessi al pronto soccorso (annui)</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873FC0D" w14:textId="77777777" w:rsidR="007C4598" w:rsidRDefault="00000000">
            <w:pPr>
              <w:spacing w:after="40"/>
            </w:pPr>
            <w:r>
              <w:t>1.142.448 (~ 914.000 inappropriati, ~ 80%)</w:t>
            </w:r>
          </w:p>
        </w:tc>
      </w:tr>
    </w:tbl>
    <w:p w14:paraId="3E064E86" w14:textId="77777777" w:rsidR="007C4598" w:rsidRDefault="007C4598"/>
    <w:p w14:paraId="12FF33E3" w14:textId="77777777" w:rsidR="007C4598" w:rsidRDefault="00000000">
      <w:pPr>
        <w:jc w:val="both"/>
      </w:pPr>
      <w:r>
        <w:rPr>
          <w:i/>
          <w:iCs/>
        </w:rPr>
        <w:t xml:space="preserve">Fonti: </w:t>
      </w:r>
      <w:proofErr w:type="spellStart"/>
      <w:r>
        <w:rPr>
          <w:i/>
          <w:iCs/>
        </w:rPr>
        <w:t>Agenas</w:t>
      </w:r>
      <w:proofErr w:type="spellEnd"/>
      <w:r>
        <w:rPr>
          <w:i/>
          <w:iCs/>
        </w:rPr>
        <w:t xml:space="preserve"> 2023; Fondazione </w:t>
      </w:r>
      <w:proofErr w:type="spellStart"/>
      <w:r>
        <w:rPr>
          <w:i/>
          <w:iCs/>
        </w:rPr>
        <w:t>Gimbe</w:t>
      </w:r>
      <w:proofErr w:type="spellEnd"/>
      <w:r>
        <w:rPr>
          <w:i/>
          <w:iCs/>
        </w:rPr>
        <w:t xml:space="preserve"> 2025–2026; Sistema Informativo per la Salute Mentale 2023; fonti regionali. Valori assoluti e percentuali.</w:t>
      </w:r>
    </w:p>
    <w:p w14:paraId="637650B2" w14:textId="77777777" w:rsidR="007C4598" w:rsidRDefault="007C4598"/>
    <w:p w14:paraId="4D02B692" w14:textId="77777777" w:rsidR="007C4598" w:rsidRDefault="00000000">
      <w:pPr>
        <w:jc w:val="both"/>
      </w:pPr>
      <w:r>
        <w:t>Il quadro dell’offerta restituisce, in conclusione, un sistema sotto tensione strutturale: una dotazione psicologica pubblica tra le più basse d’Europa e priva di un livello territoriale dedicato; una medicina generale in rapido arretramento, gravata da carichi elevati e prossima a un’ondata di pensionamenti; un’infrastruttura territoriale — le Case della Comunità — in costruzione ma non ancora pienamente operativa; liste d’attesa dilatate per le prestazioni programmabili; e due flussi impropri, verso il pronto soccorso e fuori regione, che assorbono risorse e segnalano un margine di appropriatezza ampio. È in questo spazio che la riforma colloca lo Psicologo di Base, non come aggiunta a un sistema saturo, ma come livello mancante di un sistema squilibrato, capace di intercettare a monte una quota di domanda che oggi grava a valle sui canali più costosi. La voce seguente espone i vincoli finanziari entro cui questa collocazione deve avvenire e ne misura, sul versante della mobilità passiva, la posta economica.</w:t>
      </w:r>
    </w:p>
    <w:p w14:paraId="7C22ED2E" w14:textId="77777777" w:rsidR="007C4598" w:rsidRDefault="007C4598"/>
    <w:p w14:paraId="62F1FE5C" w14:textId="77777777" w:rsidR="007C4598" w:rsidRDefault="00000000">
      <w:pPr>
        <w:pStyle w:val="Titolo2"/>
        <w:spacing w:before="200" w:after="100"/>
      </w:pPr>
      <w:r>
        <w:rPr>
          <w:sz w:val="22"/>
          <w:szCs w:val="22"/>
        </w:rPr>
        <w:t>2.4  Il quadro finanziario regionale e i vincoli di bilancio</w:t>
      </w:r>
    </w:p>
    <w:p w14:paraId="78B80AFA" w14:textId="77777777" w:rsidR="007C4598" w:rsidRDefault="007C4598"/>
    <w:p w14:paraId="478A06D1" w14:textId="77777777" w:rsidR="007C4598" w:rsidRDefault="00000000">
      <w:pPr>
        <w:jc w:val="both"/>
      </w:pPr>
      <w:r>
        <w:rPr>
          <w:i/>
          <w:iCs/>
        </w:rPr>
        <w:t>Questa voce espone i vincoli finanziari entro cui la riforma deve collocarsi: il finanziamento del Servizio sanitario regionale e il suo disavanzo, i vincoli di rientro e il limite costituzionale di destinazione delle risorse, e i due flussi — la mobilità sanitaria passiva e il consumo farmaceutico — che misurano insieme l’inefficienza attuale e lo spazio di un intervento sul primo livello territoriale.</w:t>
      </w:r>
    </w:p>
    <w:p w14:paraId="15344C48" w14:textId="77777777" w:rsidR="007C4598" w:rsidRDefault="007C4598"/>
    <w:p w14:paraId="125F1D28" w14:textId="77777777" w:rsidR="007C4598" w:rsidRDefault="00000000">
      <w:pPr>
        <w:jc w:val="both"/>
      </w:pPr>
      <w:r>
        <w:t>Ogni decisione di impiego di risorse, nel sistema sanitario pugliese, è presa entro un vincolo di bilancio stringente, che ne condiziona l’ammissibilità e ne impone la giustificazione economica. La presente voce ricostruisce tale vincolo nelle sue componenti — la dotazione finanziaria e il disavanzo, i vincoli di rientro e il limite di destinazione delle risorse — e ne deriva due conseguenze per la riforma: la prima è che ogni costo aggiuntivo deve essere compensato da risparmi documentabili; la seconda è che le inefficienze nei flussi esistenti, e in particolare la mobilità sanitaria passiva, costituiscono al tempo stesso un costo per il bilancio e un margine di recupero per un servizio capace di trattenere domanda sul territorio.</w:t>
      </w:r>
    </w:p>
    <w:p w14:paraId="65EE4771" w14:textId="77777777" w:rsidR="007C4598" w:rsidRDefault="007C4598"/>
    <w:p w14:paraId="0137B7EF" w14:textId="77777777" w:rsidR="007C4598" w:rsidRDefault="00000000">
      <w:pPr>
        <w:jc w:val="both"/>
      </w:pPr>
      <w:r>
        <w:t>La Puglia ha ricevuto per il 2025 un finanziamento del proprio Servizio sanitario regionale nell’ordine di 8,8 miliardi di euro, chiudendo l’esercizio con un disavanzo di circa 350 milioni e con disavanzi cumulati superiori a 480 milioni nel quadriennio.</w:t>
      </w:r>
      <w:r>
        <w:rPr>
          <w:color w:val="555555"/>
          <w:sz w:val="16"/>
          <w:szCs w:val="16"/>
          <w:vertAlign w:val="superscript"/>
        </w:rPr>
        <w:t>[20]</w:t>
      </w:r>
      <w:r>
        <w:t xml:space="preserve"> Il disavanzo non è un dato contabile neutro, ma la misura di uno squilibrio strutturale tra le risorse disponibili e la domanda sanitaria, accresciuta dall’invecchiamento e dalla cronicità; e impone alla Regione una disciplina di spesa che limita lo spazio per nuove iniziative, ammettendole solo quando esse siano sostenibili e, preferibilmente, capaci di generare risparmi compensativi. È in questa condizione che la riforma deve dimostrare non soltanto la propria efficacia clinica, ma la propria convenienza per il bilancio.</w:t>
      </w:r>
    </w:p>
    <w:p w14:paraId="5198054B" w14:textId="77777777" w:rsidR="007C4598" w:rsidRDefault="007C4598"/>
    <w:p w14:paraId="500FF44D" w14:textId="77777777" w:rsidR="007C4598" w:rsidRDefault="00000000">
      <w:pPr>
        <w:jc w:val="both"/>
      </w:pPr>
      <w:r>
        <w:t>Alla condizione di disavanzo si aggiungono i vincoli di rientro e un limite di rango costituzionale alla destinazione delle risorse. La Corte costituzionale ha ribadito che una regione sottoposta a vincoli di rientro non può distrarre i fondi sanitari da finalità diverse dai livelli essenziali di assistenza.</w:t>
      </w:r>
      <w:r>
        <w:rPr>
          <w:color w:val="555555"/>
          <w:sz w:val="16"/>
          <w:szCs w:val="16"/>
          <w:vertAlign w:val="superscript"/>
        </w:rPr>
        <w:t>[21]</w:t>
      </w:r>
      <w:r>
        <w:t xml:space="preserve"> Questo principio ha una conseguenza diretta sul disegno della riforma: il servizio di Psicologia di Base, per essere finanziabile entro tale cornice, deve essere ricondotto all’attuazione dei livelli essenziali e alla loro più efficiente erogazione, e non configurarsi come una spesa aggiuntiva estranea ad essi. La sua collocazione nelle cure primarie e la sua funzione di filtro verso i servizi specialistici lo iscrivono precisamente entro il perimetro dei livelli essenziali, come strumento della loro attuazione territoriale.</w:t>
      </w:r>
    </w:p>
    <w:p w14:paraId="0F1BFC0D" w14:textId="77777777" w:rsidR="007C4598" w:rsidRDefault="007C4598"/>
    <w:p w14:paraId="3FA13C8A" w14:textId="77777777" w:rsidR="007C4598" w:rsidRDefault="00000000">
      <w:pPr>
        <w:jc w:val="both"/>
      </w:pPr>
      <w:r>
        <w:t>Il primo dei due flussi che misurano l’inefficienza del sistema e lo spazio d’azione della riforma è la mobilità sanitaria passiva, che costituisce il tratto più distintivo del caso pugliese. Nel 2023 il saldo della mobilità è stato negativo per 253,2 milioni di euro, con prestazioni in fuga verso altre regioni per 376,6 milioni a fronte di una mobilità attiva di circa 123 milioni; il disavanzo si è confermato nell’ordine dei 240 milioni nel 2024, collocando la Regione tra i risultati peggiori del Paese.</w:t>
      </w:r>
    </w:p>
    <w:p w14:paraId="279C4E5B" w14:textId="77777777" w:rsidR="007C4598" w:rsidRDefault="007C4598"/>
    <w:p w14:paraId="3276B2D4" w14:textId="77777777" w:rsidR="007C4598" w:rsidRDefault="00000000">
      <w:pPr>
        <w:jc w:val="both"/>
      </w:pPr>
      <w:r>
        <w:t>La rilevanza di questo flusso per la valutazione economica è strutturale e non accessoria. A differenza di una regione attrattiva, per la quale la migrazione delle cure non si applica, in Puglia ogni quota di domanda intercettata e trattenuta sul territorio si traduce in un risparmio diretto per il bilancio regionale, poiché evita l’addebito della prestazione erogata altrove.</w:t>
      </w:r>
      <w:r>
        <w:rPr>
          <w:color w:val="555555"/>
          <w:sz w:val="16"/>
          <w:szCs w:val="16"/>
          <w:vertAlign w:val="superscript"/>
        </w:rPr>
        <w:t>[22]</w:t>
      </w:r>
      <w:r>
        <w:t xml:space="preserve"> Una parte della mobilità passiva è riconducibile a prestazioni che un primo livello territoriale efficiente potrebbe accogliere o prevenire, e la sua riduzione costituisce perciò una delle voci di risparmio diretto più caratteristiche del modello pugliese, la cui quantificazione prudenziale è riservata alle parti dedicate alla valutazione economica. In questa sede si registra la grandezza e se ne stabilisce la pertinenza, senza trarne anticipazioni sul saldo.</w:t>
      </w:r>
    </w:p>
    <w:p w14:paraId="0EB74A95" w14:textId="77777777" w:rsidR="007C4598" w:rsidRDefault="007C4598"/>
    <w:p w14:paraId="28B4E842" w14:textId="77777777" w:rsidR="007C4598" w:rsidRDefault="00000000">
      <w:pPr>
        <w:jc w:val="both"/>
      </w:pPr>
      <w:r>
        <w:t>Il secondo flusso riguarda il consumo farmaceutico, segnato da un’apparente contraddizione. La Puglia presenta tra i più alti consumi complessivi d’Italia — 1.081,9 dosi giornaliere ogni mille abitanti — con una spesa pubblica dell’ordine del 2,3 per cento del prodotto regionale; eppure l’intercettazione del disagio psichico, misurata dal basso consumo di antidepressivi, è ridotta.</w:t>
      </w:r>
      <w:r>
        <w:rPr>
          <w:color w:val="555555"/>
          <w:sz w:val="16"/>
          <w:szCs w:val="16"/>
          <w:vertAlign w:val="superscript"/>
        </w:rPr>
        <w:t>[23]</w:t>
      </w:r>
      <w:r>
        <w:t xml:space="preserve"> La compresenza di un consumo complessivo elevato e di una intercettazione specifica bassa segnala margini di appropriatezza, in particolare nella possibilità di sostituire terapie croniche non necessarie con percorsi psicologici di prima linea, là dove il disagio si esprime attraverso il consumo somatico di farmaci anziché attraverso una presa in carico appropriata. Anche questo margine è una grandezza di partenza, la cui traduzione economica è rinviata alle parti successive e mantenuta distinta, in ossequio alla regola di non duplicazione, dagli altri risparmi diretti.</w:t>
      </w:r>
    </w:p>
    <w:p w14:paraId="3F3EF34F" w14:textId="77777777" w:rsidR="007C4598" w:rsidRDefault="007C4598"/>
    <w:p w14:paraId="6D08F48A" w14:textId="77777777" w:rsidR="007C4598" w:rsidRDefault="00000000">
      <w:pPr>
        <w:jc w:val="both"/>
      </w:pPr>
      <w:r>
        <w:t xml:space="preserve">Dalla ricostruzione del quadro finanziario discende, infine, il criterio che governa l’intera valutazione economica della riforma. Le grandezze qui esposte — il disavanzo, la mobilità passiva, il consumo farmaceutico — non sono presentate per derivarne, in questa sede, un risparmio o un saldo, ma per fissare i vincoli e i margini entro cui la rinegoziazione integrale dei costi e dei benefici si svolgerà nelle parti dedicate. In coerenza con i vincoli metodologici invarianti, le ricadute fiscali dirette saranno tenute rigorosamente distinte dalle ricadute sociali e indirette, senza che le une siano conteggiate due volte attraverso le altre; e ogni stima adotterà bande prudenziali e previsioni falsificabili. La voce che segue, traendo le fila del bisogno e del contesto, traccia la mappa del carico </w:t>
      </w:r>
      <w:proofErr w:type="spellStart"/>
      <w:r>
        <w:t>multidominio</w:t>
      </w:r>
      <w:proofErr w:type="spellEnd"/>
      <w:r>
        <w:t xml:space="preserve"> della cattiva salute mentale, ossia l’insieme degli ambiti su cui quel bisogno produce costi e su cui la riforma, lungo la cascata delle figure e dei domini, è destinata a incidere.</w:t>
      </w:r>
    </w:p>
    <w:p w14:paraId="0B9A3FFB" w14:textId="77777777" w:rsidR="007C4598" w:rsidRDefault="007C4598"/>
    <w:p w14:paraId="37953E9A" w14:textId="77777777" w:rsidR="007C4598" w:rsidRDefault="00000000">
      <w:pPr>
        <w:jc w:val="both"/>
      </w:pPr>
      <w:r>
        <w:rPr>
          <w:b/>
          <w:bCs/>
        </w:rPr>
        <w:t>Tabella 2.5 — Il quadro finanziario e i flussi del Servizio sanitario regionale</w:t>
      </w:r>
    </w:p>
    <w:p w14:paraId="738F592F"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4513"/>
        <w:gridCol w:w="4513"/>
      </w:tblGrid>
      <w:tr w:rsidR="007C4598" w14:paraId="724A2E69" w14:textId="77777777">
        <w:tc>
          <w:tcPr>
            <w:tcW w:w="4513"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D5D459A" w14:textId="77777777" w:rsidR="007C4598" w:rsidRDefault="00000000">
            <w:pPr>
              <w:spacing w:after="40"/>
            </w:pPr>
            <w:r>
              <w:rPr>
                <w:b/>
                <w:bCs/>
                <w:color w:val="FFFFFF"/>
                <w:sz w:val="18"/>
                <w:szCs w:val="18"/>
              </w:rPr>
              <w:t>Grandezza finanziaria</w:t>
            </w:r>
          </w:p>
        </w:tc>
        <w:tc>
          <w:tcPr>
            <w:tcW w:w="4513"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E440394" w14:textId="77777777" w:rsidR="007C4598" w:rsidRDefault="00000000">
            <w:pPr>
              <w:spacing w:after="40"/>
            </w:pPr>
            <w:r>
              <w:rPr>
                <w:b/>
                <w:bCs/>
                <w:color w:val="FFFFFF"/>
                <w:sz w:val="18"/>
                <w:szCs w:val="18"/>
              </w:rPr>
              <w:t>Valore per la Puglia</w:t>
            </w:r>
          </w:p>
        </w:tc>
      </w:tr>
      <w:tr w:rsidR="007C4598" w14:paraId="2F32E749"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2E376B2" w14:textId="77777777" w:rsidR="007C4598" w:rsidRDefault="00000000">
            <w:pPr>
              <w:spacing w:after="40"/>
            </w:pPr>
            <w:r>
              <w:t>Finanziamento del Servizio sanitario regionale (2025)</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B4D4A95" w14:textId="77777777" w:rsidR="007C4598" w:rsidRDefault="00000000">
            <w:pPr>
              <w:spacing w:after="40"/>
            </w:pPr>
            <w:r>
              <w:t>~ 8,8 miliardi di euro</w:t>
            </w:r>
          </w:p>
        </w:tc>
      </w:tr>
      <w:tr w:rsidR="007C4598" w14:paraId="71302D57"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EDF94FD" w14:textId="77777777" w:rsidR="007C4598" w:rsidRDefault="00000000">
            <w:pPr>
              <w:spacing w:after="40"/>
            </w:pPr>
            <w:r>
              <w:t>Disavanzo di esercizio (2025)</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26393F6" w14:textId="77777777" w:rsidR="007C4598" w:rsidRDefault="00000000">
            <w:pPr>
              <w:spacing w:after="40"/>
            </w:pPr>
            <w:r>
              <w:t>~ 350 milioni di euro</w:t>
            </w:r>
          </w:p>
        </w:tc>
      </w:tr>
      <w:tr w:rsidR="007C4598" w14:paraId="0DE6CD5C"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0484EE0" w14:textId="77777777" w:rsidR="007C4598" w:rsidRDefault="00000000">
            <w:pPr>
              <w:spacing w:after="40"/>
            </w:pPr>
            <w:r>
              <w:t>Disavanzi cumulati (quadriennio)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106D359" w14:textId="77777777" w:rsidR="007C4598" w:rsidRDefault="00000000">
            <w:pPr>
              <w:spacing w:after="40"/>
            </w:pPr>
            <w:r>
              <w:t>&gt; 480 milioni di euro</w:t>
            </w:r>
          </w:p>
        </w:tc>
      </w:tr>
      <w:tr w:rsidR="007C4598" w14:paraId="2D00C4E6"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A60F598" w14:textId="77777777" w:rsidR="007C4598" w:rsidRDefault="00000000">
            <w:pPr>
              <w:spacing w:after="40"/>
            </w:pPr>
            <w:r>
              <w:t>Mobilità sanitaria passiva — saldo (2023)</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4BACABF" w14:textId="77777777" w:rsidR="007C4598" w:rsidRDefault="00000000">
            <w:pPr>
              <w:spacing w:after="40"/>
            </w:pPr>
            <w:r>
              <w:t>−253,2 milioni di euro</w:t>
            </w:r>
          </w:p>
        </w:tc>
      </w:tr>
      <w:tr w:rsidR="007C4598" w14:paraId="746F774E"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18E7849" w14:textId="77777777" w:rsidR="007C4598" w:rsidRDefault="00000000">
            <w:pPr>
              <w:spacing w:after="40"/>
            </w:pPr>
            <w:r>
              <w:t>Prestazioni in fuga / mobilità attiva (2023)</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1A93BFF" w14:textId="77777777" w:rsidR="007C4598" w:rsidRDefault="00000000">
            <w:pPr>
              <w:spacing w:after="40"/>
            </w:pPr>
            <w:r>
              <w:t>376,6 milioni / ~ 123 milioni</w:t>
            </w:r>
          </w:p>
        </w:tc>
      </w:tr>
      <w:tr w:rsidR="007C4598" w14:paraId="1A04C2D4"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340EB16" w14:textId="77777777" w:rsidR="007C4598" w:rsidRDefault="00000000">
            <w:pPr>
              <w:spacing w:after="40"/>
            </w:pPr>
            <w:r>
              <w:t>Mobilità sanitaria passiva — saldo (2024)</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C879FA8" w14:textId="77777777" w:rsidR="007C4598" w:rsidRDefault="00000000">
            <w:pPr>
              <w:spacing w:after="40"/>
            </w:pPr>
            <w:r>
              <w:t>~ −240 milioni di euro</w:t>
            </w:r>
          </w:p>
        </w:tc>
      </w:tr>
      <w:tr w:rsidR="007C4598" w14:paraId="36C2F1E5"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3B30DD7" w14:textId="77777777" w:rsidR="007C4598" w:rsidRDefault="00000000">
            <w:pPr>
              <w:spacing w:after="40"/>
            </w:pPr>
            <w:r>
              <w:t>Consumo farmaceutico complessivo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726CE3E" w14:textId="77777777" w:rsidR="007C4598" w:rsidRDefault="00000000">
            <w:pPr>
              <w:spacing w:after="40"/>
            </w:pPr>
            <w:r>
              <w:t>1.081,9 dosi giornaliere ogni 1.000 abitanti</w:t>
            </w:r>
          </w:p>
        </w:tc>
      </w:tr>
      <w:tr w:rsidR="007C4598" w14:paraId="7D8C6080"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FC6C211" w14:textId="77777777" w:rsidR="007C4598" w:rsidRDefault="00000000">
            <w:pPr>
              <w:spacing w:after="40"/>
            </w:pPr>
            <w:r>
              <w:t>Spesa farmaceutica pubblica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7100B40" w14:textId="77777777" w:rsidR="007C4598" w:rsidRDefault="00000000">
            <w:pPr>
              <w:spacing w:after="40"/>
            </w:pPr>
            <w:r>
              <w:t>~ 2,3% del prodotto regionale</w:t>
            </w:r>
          </w:p>
        </w:tc>
      </w:tr>
      <w:tr w:rsidR="007C4598" w14:paraId="4A7139E0"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D5F0EEE" w14:textId="77777777" w:rsidR="007C4598" w:rsidRDefault="00000000">
            <w:pPr>
              <w:spacing w:after="40"/>
            </w:pPr>
            <w:r>
              <w:t>Consumo di antidepressivi</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2CC80AD" w14:textId="77777777" w:rsidR="007C4598" w:rsidRDefault="00000000">
            <w:pPr>
              <w:spacing w:after="40"/>
            </w:pPr>
            <w:r>
              <w:t>tra i più bassi d’Italia</w:t>
            </w:r>
          </w:p>
        </w:tc>
      </w:tr>
    </w:tbl>
    <w:p w14:paraId="74C615B9" w14:textId="77777777" w:rsidR="007C4598" w:rsidRDefault="007C4598"/>
    <w:p w14:paraId="6E3C41C1" w14:textId="77777777" w:rsidR="007C4598" w:rsidRDefault="00000000">
      <w:pPr>
        <w:jc w:val="both"/>
      </w:pPr>
      <w:r>
        <w:rPr>
          <w:i/>
          <w:iCs/>
        </w:rPr>
        <w:t xml:space="preserve">Fonti: documenti regionali di bilancio; Agenzia nazionale per i servizi sanitari regionali; AIFA, Rapporto </w:t>
      </w:r>
      <w:proofErr w:type="spellStart"/>
      <w:r>
        <w:rPr>
          <w:i/>
          <w:iCs/>
        </w:rPr>
        <w:t>OsMed</w:t>
      </w:r>
      <w:proofErr w:type="spellEnd"/>
      <w:r>
        <w:rPr>
          <w:i/>
          <w:iCs/>
        </w:rPr>
        <w:t>. La traduzione economica è riservata alle Parti VII–X.</w:t>
      </w:r>
    </w:p>
    <w:p w14:paraId="18B38A5E"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51DF1832"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ACFF85D" w14:textId="77777777" w:rsidR="007C4598" w:rsidRDefault="00000000">
            <w:pPr>
              <w:spacing w:after="40"/>
            </w:pPr>
            <w:r>
              <w:rPr>
                <w:b/>
                <w:bCs/>
                <w:color w:val="FFFFFF"/>
                <w:sz w:val="18"/>
                <w:szCs w:val="18"/>
              </w:rPr>
              <w:t xml:space="preserve">◆  SEGNALIBRO — INFOGRAFICA 2.4 · DA INSERIRE A POSTERIORI Titolo previsto: Il vincolo di bilancio e la mobilità sanitaria passiva — Puglia Contenuto da rappresentare: Rappresentazione del disavanzo del Servizio sanitario regionale e del saldo negativo della mobilità passiva, con il confronto tra prestazioni in fuga e mobilità attiva; obiettivo: evidenziare che la domanda trattenuta sul territorio si traduce in risparmio diretto per il bilancio regionale. Codice </w:t>
            </w:r>
            <w:proofErr w:type="spellStart"/>
            <w:r>
              <w:rPr>
                <w:b/>
                <w:bCs/>
                <w:color w:val="FFFFFF"/>
                <w:sz w:val="18"/>
                <w:szCs w:val="18"/>
              </w:rPr>
              <w:t>Canva-Friendly</w:t>
            </w:r>
            <w:proofErr w:type="spellEnd"/>
            <w:r>
              <w:rPr>
                <w:b/>
                <w:bCs/>
                <w:color w:val="FFFFFF"/>
                <w:sz w:val="18"/>
                <w:szCs w:val="18"/>
              </w:rPr>
              <w:t xml:space="preserve"> (scheda di generazione) TIPO: grafico a flussi (in fuga vs attiva) + indicatori di disavanzo FORMATO: 1280 × 860 </w:t>
            </w:r>
            <w:proofErr w:type="spellStart"/>
            <w:r>
              <w:rPr>
                <w:b/>
                <w:bCs/>
                <w:color w:val="FFFFFF"/>
                <w:sz w:val="18"/>
                <w:szCs w:val="18"/>
              </w:rPr>
              <w:t>px</w:t>
            </w:r>
            <w:proofErr w:type="spellEnd"/>
            <w:r>
              <w:rPr>
                <w:b/>
                <w:bCs/>
                <w:color w:val="FFFFFF"/>
                <w:sz w:val="18"/>
                <w:szCs w:val="18"/>
              </w:rPr>
              <w:t xml:space="preserve">; adatta a slide e ad A4 SFONDO: gradiente verticale bianco #FFFFFF 85% → crema #F3EAD6 15% PALETTE: #101F3C, #16264B, #244272; saldo negativo in oro #C49A48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valori </w:t>
            </w:r>
            <w:proofErr w:type="spellStart"/>
            <w:r>
              <w:rPr>
                <w:b/>
                <w:bCs/>
                <w:color w:val="FFFFFF"/>
                <w:sz w:val="18"/>
                <w:szCs w:val="18"/>
              </w:rPr>
              <w:t>Bold</w:t>
            </w:r>
            <w:proofErr w:type="spellEnd"/>
            <w:r>
              <w:rPr>
                <w:b/>
                <w:bCs/>
                <w:color w:val="FFFFFF"/>
                <w:sz w:val="18"/>
                <w:szCs w:val="18"/>
              </w:rPr>
              <w:t xml:space="preserve">, etichette Regular TITOLO: «Il vincolo di bilancio e la mobilità sanitaria passiva — Puglia» FLUSSI MOBILITÀ 2023 (barre contrapposte): • Prestazioni in fuga (uscita) — 376,6 mln € • Mobilità attiva (entrata) — ~ 123 mln € • Saldo — −253,2 mln € (oro) INDICATORI: disavanzo di esercizio ~ 350 mln €; disavanzi cumulati &gt; 480 mln €; saldo 2024 ~ −240 mln € MESSAGGIO CHIAVE: «Ogni quota di domanda trattenuta sul territorio è un risparmio diretto» VARIANTE 3D (consigliata): barre dei flussi a parallelepipedo con prospettiva isometrica e ombra morbida, valori in piano FONTE (piè di figura): bilanci regionali; </w:t>
            </w:r>
            <w:proofErr w:type="spellStart"/>
            <w:r>
              <w:rPr>
                <w:b/>
                <w:bCs/>
                <w:color w:val="FFFFFF"/>
                <w:sz w:val="18"/>
                <w:szCs w:val="18"/>
              </w:rPr>
              <w:t>Agenas</w:t>
            </w:r>
            <w:proofErr w:type="spellEnd"/>
            <w:r>
              <w:rPr>
                <w:b/>
                <w:bCs/>
                <w:color w:val="FFFFFF"/>
                <w:sz w:val="18"/>
                <w:szCs w:val="18"/>
              </w:rPr>
              <w:t xml:space="preserve">; AIFA </w:t>
            </w:r>
            <w:proofErr w:type="spellStart"/>
            <w:r>
              <w:rPr>
                <w:b/>
                <w:bCs/>
                <w:color w:val="FFFFFF"/>
                <w:sz w:val="18"/>
                <w:szCs w:val="18"/>
              </w:rPr>
              <w:t>OsMed</w:t>
            </w:r>
            <w:proofErr w:type="spellEnd"/>
          </w:p>
          <w:p w14:paraId="5777D4CF" w14:textId="77777777" w:rsidR="007C4598" w:rsidRDefault="00000000">
            <w:pPr>
              <w:spacing w:before="120" w:after="60"/>
              <w:jc w:val="center"/>
            </w:pPr>
            <w:r>
              <w:rPr>
                <w:noProof/>
              </w:rPr>
              <w:drawing>
                <wp:inline distT="0" distB="0" distL="0" distR="0" wp14:anchorId="5386601C" wp14:editId="6521E604">
                  <wp:extent cx="8229600" cy="4629150"/>
                  <wp:effectExtent l="0" t="0" r="0" b="0"/>
                  <wp:docPr id="111" name="Infografica11" descr="Il vincolo di bilancio e la mobilità sanitaria pass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Infografica11"/>
                          <pic:cNvPicPr>
                            <a:picLocks noChangeAspect="1" noChangeArrowheads="1"/>
                          </pic:cNvPicPr>
                        </pic:nvPicPr>
                        <pic:blipFill>
                          <a:blip r:embed="rId11">
                            <a:extLst>
                              <a:ext uri="{96DAC541-7B7A-43D3-8B79-37D633B846F1}">
                                <asvg:svgBlip xmlns:asvg="http://schemas.microsoft.com/office/drawing/2016/SVG/main" r:embed="rId12"/>
                              </a:ext>
                            </a:extLst>
                          </a:blip>
                          <a:stretch>
                            <a:fillRect/>
                          </a:stretch>
                        </pic:blipFill>
                        <pic:spPr bwMode="auto">
                          <a:xfrm>
                            <a:off x="0" y="0"/>
                            <a:ext cx="8229600" cy="4629150"/>
                          </a:xfrm>
                          <a:prstGeom prst="rect">
                            <a:avLst/>
                          </a:prstGeom>
                          <a:noFill/>
                          <a:ln>
                            <a:noFill/>
                          </a:ln>
                        </pic:spPr>
                      </pic:pic>
                    </a:graphicData>
                  </a:graphic>
                </wp:inline>
              </w:drawing>
            </w:r>
          </w:p>
          <w:p w14:paraId="2B2BFEEA" w14:textId="77777777" w:rsidR="007C4598" w:rsidRDefault="00000000">
            <w:pPr>
              <w:spacing w:before="40" w:after="200"/>
              <w:jc w:val="center"/>
            </w:pPr>
            <w:r>
              <w:rPr>
                <w:i/>
                <w:color w:val="2E5A8F"/>
                <w:sz w:val="16"/>
                <w:szCs w:val="16"/>
              </w:rPr>
              <w:t>Fig. 2.4 — Il vincolo di bilancio e la mobilità sanitaria passiva. Elaborazione dello studio · Luigi De Michele · Giugno 2026.</w:t>
            </w:r>
          </w:p>
        </w:tc>
      </w:tr>
    </w:tbl>
    <w:p w14:paraId="76B0110D" w14:textId="77777777" w:rsidR="007C4598" w:rsidRDefault="007C4598"/>
    <w:p w14:paraId="5B8B0639" w14:textId="77777777" w:rsidR="007C4598" w:rsidRDefault="00000000">
      <w:pPr>
        <w:pStyle w:val="Titolo2"/>
        <w:spacing w:before="200" w:after="100"/>
      </w:pPr>
      <w:r>
        <w:rPr>
          <w:sz w:val="22"/>
          <w:szCs w:val="22"/>
        </w:rPr>
        <w:t xml:space="preserve">2.5  La mappa del carico </w:t>
      </w:r>
      <w:proofErr w:type="spellStart"/>
      <w:r>
        <w:rPr>
          <w:sz w:val="22"/>
          <w:szCs w:val="22"/>
        </w:rPr>
        <w:t>multidominio</w:t>
      </w:r>
      <w:proofErr w:type="spellEnd"/>
      <w:r>
        <w:rPr>
          <w:sz w:val="22"/>
          <w:szCs w:val="22"/>
        </w:rPr>
        <w:t xml:space="preserve"> della cattiva salute mentale in Puglia</w:t>
      </w:r>
    </w:p>
    <w:p w14:paraId="7F7AA520" w14:textId="77777777" w:rsidR="007C4598" w:rsidRDefault="007C4598"/>
    <w:p w14:paraId="1F1DB676" w14:textId="77777777" w:rsidR="007C4598" w:rsidRDefault="00000000">
      <w:pPr>
        <w:jc w:val="both"/>
      </w:pPr>
      <w:r>
        <w:rPr>
          <w:i/>
          <w:iCs/>
        </w:rPr>
        <w:t xml:space="preserve">Questa voce traccia la mappa degli ambiti su cui la cattiva salute mentale produce costi — sanitario, lavorativo, pensionistico, produttivistico, assistenziale, </w:t>
      </w:r>
      <w:proofErr w:type="spellStart"/>
      <w:r>
        <w:rPr>
          <w:i/>
          <w:iCs/>
        </w:rPr>
        <w:t>welfaristico</w:t>
      </w:r>
      <w:proofErr w:type="spellEnd"/>
      <w:r>
        <w:rPr>
          <w:i/>
          <w:iCs/>
        </w:rPr>
        <w:t>, preventivo, criminologico, burocratico, culturale, pedagogico, sociale e finanziario — e ne dichiara la connessione con lo Psicologo di Base, ponendo la base su cui la cascata delle figure e dei domini sarà quantificata nelle parti successive.</w:t>
      </w:r>
    </w:p>
    <w:p w14:paraId="51ED8DAE" w14:textId="77777777" w:rsidR="007C4598" w:rsidRDefault="007C4598"/>
    <w:p w14:paraId="21612A9F" w14:textId="77777777" w:rsidR="007C4598" w:rsidRDefault="00000000">
      <w:pPr>
        <w:jc w:val="both"/>
      </w:pPr>
      <w:r>
        <w:t>Il carico della cattiva salute mentale non è confinato al settore sanitario. Esso si propaga lungo una pluralità di ambiti economici e sociali, dove assume la forma di produttività perduta, di spesa assistenziale e previdenziale, di costi della giustizia e dell’istruzione, di erosione del capitale sociale; e proprio perché si distribuisce su tanti domini, la sua misura richiede una mappa che ne riconosca l’estensione prima di procedere alla quantificazione. La presente voce traccia questa mappa per la Puglia, attribuendo a ciascun dominio la natura del carico e la connessione, diretta o indiretta, con la funzione dello Psicologo di Base. Essa non calcola i risparmi né i benefici, riservati alle parti dedicate alla valutazione economica, ma stabilisce l’ambito entro cui quella valutazione si svolgerà, in coerenza con il perimetro multidisciplinare integrale e con il principio ordinatore della cascata gerarchica piramidale.</w:t>
      </w:r>
    </w:p>
    <w:p w14:paraId="27ACEA82" w14:textId="77777777" w:rsidR="007C4598" w:rsidRDefault="007C4598"/>
    <w:p w14:paraId="2FAD416A" w14:textId="77777777" w:rsidR="007C4598" w:rsidRDefault="00000000">
      <w:pPr>
        <w:jc w:val="both"/>
      </w:pPr>
      <w:r>
        <w:t>La dimensione complessiva del carico è documentata, a livello europeo, dalle stime degli organismi internazionali, secondo cui i costi totali della cattiva salute mentale superano il 4 per cento del prodotto interno lordo nei Paesi dell’Unione, sommando la spesa sanitaria diretta, i costi dei programmi di sicurezza sociale e le perdite di produttività.</w:t>
      </w:r>
      <w:r>
        <w:rPr>
          <w:color w:val="555555"/>
          <w:sz w:val="16"/>
          <w:szCs w:val="16"/>
          <w:vertAlign w:val="superscript"/>
        </w:rPr>
        <w:t>[25]</w:t>
      </w:r>
      <w:r>
        <w:t xml:space="preserve"> Questa grandezza, riferita al carico e non al rendimento di un investimento, fornisce l’ordine di magnitudo del fenomeno e ne segnala la natura prevalentemente extra-sanitaria: la quota maggiore del costo non grava sui bilanci della sanità, ma su quelli del lavoro, della previdenza e dell’assistenza, e sul prodotto economico nel suo complesso. È questa distribuzione che la cascata dei domini è chiamata a riconoscere, e che spiega perché una riforma collocata nel settore sanitario possa produrre ricadute economiche assai più ampie del proprio perimetro di spesa.</w:t>
      </w:r>
    </w:p>
    <w:p w14:paraId="24B33E3A" w14:textId="77777777" w:rsidR="007C4598" w:rsidRDefault="007C4598"/>
    <w:p w14:paraId="0B66EBD3" w14:textId="77777777" w:rsidR="007C4598" w:rsidRDefault="00000000">
      <w:pPr>
        <w:jc w:val="both"/>
      </w:pPr>
      <w:r>
        <w:t>Il primo dominio del carico è quello sanitario, già misurato nelle voci precedenti e qui richiamato come termine di raccordo. Esso comprende la spesa farmaceutica associata al consumo somatico del disagio, gli accessi impropri al pronto soccorso, i ricoveri evitabili, gli esami e le visite specialistiche generati da quadri a componente psicologica, e la mobilità sanitaria passiva. La connessione con lo Psicologo di Base è in questo dominio diretta: la figura, intercettando il disagio a monte, riduce la domanda che si scarica sui canali sanitari a valle. È il dominio in cui i risparmi sono più immediatamente fiscali, e la cui quantificazione, distinta da ogni altra, è oggetto della parte dedicata ai risparmi diretti.</w:t>
      </w:r>
    </w:p>
    <w:p w14:paraId="0671AC56" w14:textId="77777777" w:rsidR="007C4598" w:rsidRDefault="007C4598"/>
    <w:p w14:paraId="51ED18F0" w14:textId="77777777" w:rsidR="007C4598" w:rsidRDefault="00000000">
      <w:pPr>
        <w:jc w:val="both"/>
      </w:pPr>
      <w:r>
        <w:t xml:space="preserve">Il dominio lavorativo costituisce, dopo quello sanitario, l’ambito di carico più rilevante. La cattiva salute mentale incide sul lavoro attraverso l’assenteismo, ossia le giornate di lavoro perdute per malattia, e attraverso il </w:t>
      </w:r>
      <w:proofErr w:type="spellStart"/>
      <w:r>
        <w:t>presenteismo</w:t>
      </w:r>
      <w:proofErr w:type="spellEnd"/>
      <w:r>
        <w:t>, ossia la riduzione della produttività di chi lavora pur in condizione di sofferenza; quest’ultima componente, meno visibile, è secondo la letteratura la più onerosa.</w:t>
      </w:r>
      <w:r>
        <w:rPr>
          <w:color w:val="555555"/>
          <w:sz w:val="16"/>
          <w:szCs w:val="16"/>
          <w:vertAlign w:val="superscript"/>
        </w:rPr>
        <w:t>[26]</w:t>
      </w:r>
      <w:r>
        <w:t xml:space="preserve"> La connessione con lo Psicologo di Base è qui indiretta ma robusta: l’intercettazione precoce dei disturbi comuni riduce la durata e la gravità degli episodi, abbreviando le assenze e attenuando la perdita di produttività. Il carico di questo dominio non grava sul bilancio sanitario, bensì sul sistema produttivo e, per la parte indennizzata, sui bilanci previdenziali; la sua valutazione è perciò condotta tra i benefici indiretti, tenuta distinta dai risparmi sanitari per evitarne il doppio conteggio.</w:t>
      </w:r>
    </w:p>
    <w:p w14:paraId="0FE283C9" w14:textId="77777777" w:rsidR="007C4598" w:rsidRDefault="007C4598"/>
    <w:p w14:paraId="7FE66C44" w14:textId="77777777" w:rsidR="007C4598" w:rsidRDefault="00000000">
      <w:pPr>
        <w:jc w:val="both"/>
      </w:pPr>
      <w:r>
        <w:t>Il dominio pensionistico raccoglie il carico delle prestazioni di invalidità e inabilità e dei pensionamenti anticipati riconducibili a cause psichiche. I disturbi mentali figurano tra le principali cause di erogazione di prestazioni di invalidità nei sistemi previdenziali, e la loro insorgenza in età lavorativa ne amplifica il costo, sottraendo anni di contribuzione e aggiungendo anni di erogazione.</w:t>
      </w:r>
      <w:r>
        <w:rPr>
          <w:color w:val="555555"/>
          <w:sz w:val="16"/>
          <w:szCs w:val="16"/>
          <w:vertAlign w:val="superscript"/>
        </w:rPr>
        <w:t>[27]</w:t>
      </w:r>
      <w:r>
        <w:t xml:space="preserve"> La connessione con la figura è indiretta e differita: una presa in carico tempestiva del disagio comune, prevenendone la cronicizzazione e la conseguente perdita della capacità lavorativa, riduce nel medio periodo l’incidenza delle prestazioni di invalidità per cause psichiche. Il carico grava sui bilanci previdenziali nazionali più che su quelli regionali, e la sua misura è condotta con cautela e con bande prudenziali, data la lunghezza del nesso causale.</w:t>
      </w:r>
    </w:p>
    <w:p w14:paraId="45D45A06" w14:textId="77777777" w:rsidR="007C4598" w:rsidRDefault="007C4598"/>
    <w:p w14:paraId="7E8E729D" w14:textId="77777777" w:rsidR="007C4598" w:rsidRDefault="00000000">
      <w:pPr>
        <w:jc w:val="both"/>
      </w:pPr>
      <w:r>
        <w:t xml:space="preserve">Il dominio produttivistico, contiguo a quello lavorativo, considera il prodotto economico perduto per effetto della cattiva salute mentale, misurato in giornate di lavoro perse e in capitale umano sottratto al sistema economico. Il dominio assistenzialistico raccoglie il carico dell’assistenza informale, ossia il tempo e le risorse che i familiari e i prestatori di cura non professionali dedicano alle persone con disturbi mentali, sottraendolo al lavoro retribuito e alla propria salute. Il dominio </w:t>
      </w:r>
      <w:proofErr w:type="spellStart"/>
      <w:r>
        <w:t>welfaristico</w:t>
      </w:r>
      <w:proofErr w:type="spellEnd"/>
      <w:r>
        <w:t xml:space="preserve"> considera i sussidi, le indennità e la spesa assistenziale erogati in ragione del disagio psichico e delle sue conseguenze. In ciascuno di questi domini la connessione con lo Psicologo di Base è indiretta, mediata dalla riduzione della gravità e della durata dei disturbi, e il carico si distribuisce tra il sistema economico, le famiglie e i bilanci assistenziali, restando estraneo al bilancio sanitario regionale e perciò collocato tra i benefici indiretti.</w:t>
      </w:r>
    </w:p>
    <w:p w14:paraId="39CFFA74" w14:textId="77777777" w:rsidR="007C4598" w:rsidRDefault="007C4598"/>
    <w:p w14:paraId="7AC812EC" w14:textId="77777777" w:rsidR="007C4598" w:rsidRDefault="00000000">
      <w:pPr>
        <w:jc w:val="both"/>
      </w:pPr>
      <w:r>
        <w:t xml:space="preserve">Il dominio </w:t>
      </w:r>
      <w:proofErr w:type="spellStart"/>
      <w:r>
        <w:t>prevenzionalistico</w:t>
      </w:r>
      <w:proofErr w:type="spellEnd"/>
      <w:r>
        <w:t xml:space="preserve"> merita una considerazione particolare, poiché è quello su cui la funzione della figura agisce in modo più caratteristico. La presa in carico psicologica di prossimità realizza una prevenzione secondaria, intercettando il disagio prima della cronicizzazione, e una prevenzione terziaria, contenendo le ricadute dei quadri già manifesti; e ciascuna ricaduta o cronicizzazione evitata sottrae carico a tutti gli altri domini, da quello sanitario a quello lavorativo e previdenziale.</w:t>
      </w:r>
      <w:r>
        <w:rPr>
          <w:color w:val="555555"/>
          <w:sz w:val="16"/>
          <w:szCs w:val="16"/>
          <w:vertAlign w:val="superscript"/>
        </w:rPr>
        <w:t>[28]</w:t>
      </w:r>
      <w:r>
        <w:t xml:space="preserve"> È in questo senso che la prevenzione costituisce il meccanismo attraverso cui la figura, collocata all’apice della cascata, propaga i propri effetti lungo l’intera piramide dei domini: non agendo separatamente su ciascuno, ma riducendo a monte l’incidenza e la gravità del disagio che a valle genera i costi.</w:t>
      </w:r>
    </w:p>
    <w:p w14:paraId="688ADF51" w14:textId="77777777" w:rsidR="007C4598" w:rsidRDefault="007C4598"/>
    <w:p w14:paraId="32A622BC" w14:textId="77777777" w:rsidR="007C4598" w:rsidRDefault="00000000">
      <w:pPr>
        <w:jc w:val="both"/>
      </w:pPr>
      <w:r>
        <w:t>È in questa sede che si richiamano i vincoli invarianti che governeranno la quantificazione di tali ricadute. Il rendimento degli investimenti in salute mentale è documentato dalla letteratura entro intervalli che vanno da 2,3 a 3,0 a 1 per i soli benefici economici e da 3,3 a 5,7 a 1 con l’inclusione dei ritorni in salute; sono esclusi i valori superiori, non sostenuti dall’evidenza.</w:t>
      </w:r>
      <w:r>
        <w:rPr>
          <w:color w:val="555555"/>
          <w:sz w:val="16"/>
          <w:szCs w:val="16"/>
          <w:vertAlign w:val="superscript"/>
        </w:rPr>
        <w:t>[29]</w:t>
      </w:r>
      <w:r>
        <w:t xml:space="preserve"> A questo si aggiunge il </w:t>
      </w:r>
      <w:proofErr w:type="spellStart"/>
      <w:r>
        <w:t>caveat</w:t>
      </w:r>
      <w:proofErr w:type="spellEnd"/>
      <w:r>
        <w:t xml:space="preserve"> dell’IMPACT trial, secondo cui i risparmi sui costi sanitari non raggiungono, in quello studio, la significatività statistica: un’avvertenza che impone prudenza nell’attribuzione dei risparmi diretti e che è preservata lungo l’intera valutazione. La mappa del carico, dunque, non autorizza alcuna proiezione ottimistica: essa individua gli ambiti su cui la riforma incide, mentre la misura di quanto vi incida è subordinata, parte per parte, alla graduazione dell’evidenza e alle bande prudenziali.</w:t>
      </w:r>
    </w:p>
    <w:p w14:paraId="2A8F46E3" w14:textId="77777777" w:rsidR="007C4598" w:rsidRDefault="007C4598"/>
    <w:p w14:paraId="559F3BF8" w14:textId="77777777" w:rsidR="007C4598" w:rsidRDefault="00000000">
      <w:pPr>
        <w:jc w:val="both"/>
      </w:pPr>
      <w:r>
        <w:t xml:space="preserve">Completano la mappa i domini in cui il carico assume forma sociale e istituzionale. Il dominio criminologico considera la relazione tra il disagio psichico non trattato e le forme di devianza, con i relativi costi della giustizia e della recidiva; il dominio burocratico, la mole di adempimenti amministrativi che una presa in carico frammentata genera e che un primo livello integrato può semplificare; il dominio culturale, la </w:t>
      </w:r>
      <w:proofErr w:type="spellStart"/>
      <w:r>
        <w:t>destigmatizzazione</w:t>
      </w:r>
      <w:proofErr w:type="spellEnd"/>
      <w:r>
        <w:t xml:space="preserve"> e l’alfabetizzazione psicologica che la diffusione capillare della figura promuove; il dominio pedagogico e scolastico, la dispersione e la riduzione del rendimento degli studenti associate al disagio non intercettato; il dominio sociale, l’erosione del capitale sociale e dei legami di comunità.</w:t>
      </w:r>
      <w:r>
        <w:rPr>
          <w:color w:val="555555"/>
          <w:sz w:val="16"/>
          <w:szCs w:val="16"/>
          <w:vertAlign w:val="superscript"/>
        </w:rPr>
        <w:t>[30]</w:t>
      </w:r>
      <w:r>
        <w:t xml:space="preserve"> In tutti questi ambiti la connessione con lo Psicologo di Base è indiretta e di lungo periodo, e la loro valutazione, ove possibile, è condotta con la massima cautela e con espressa dichiarazione dei limiti, evitando di attribuire alla riforma effetti che la letteratura non consente di quantificare. Il dominio finanziario, infine, raccoglie l’effetto netto di tutti gli altri sui bilanci regionali, ed è la sede in cui la qualità della vita delle persone, l’andamento dei conti pubblici, l’efficienza della burocrazia e la tenuta dei sistemi sanitari saranno oggetto, nelle parti dedicate, di previsione falsificabile.</w:t>
      </w:r>
    </w:p>
    <w:p w14:paraId="58CC7A33" w14:textId="77777777" w:rsidR="007C4598" w:rsidRDefault="007C4598"/>
    <w:p w14:paraId="3778DFF4" w14:textId="77777777" w:rsidR="007C4598" w:rsidRDefault="00000000">
      <w:pPr>
        <w:jc w:val="both"/>
      </w:pPr>
      <w:r>
        <w:t>La struttura della mappa anticipa, infine, il criterio con cui la cascata ordinerà la quantificazione. I tredici domini non concorrono in eguale misura né con la medesima immediatezza: alcuni sono connessi alla figura per via diretta e producono risparmi fiscali prossimi, altri per via indiretta e differita, e il loro peso nel progetto e la loro capacità di generare rientro economico o revisione della spesa variano di conseguenza. Il dominio finanziario, in particolare, non è un dominio accanto agli altri, ma la sede in cui l’effetto netto di tutti si ricompone sui bilanci regionali, e in cui la qualità della vita delle persone, l’efficienza della burocrazia e la tenuta dei sistemi sanitari divengono oggetto di previsione. È per questo che la mappa non si limita a elencare gli ambiti del carico, ma li dispone secondo un ordine di influenza e di valore che la Parte III formalizzerà per le figure e la Parte IX per i domini, mantenendo in entrambe la separazione tra ricadute fiscali e sociali e la regola di non duplicazione. La presente voce ne ha posto il fondamento descrittivo; l’ordinamento formale e la misura seguono.</w:t>
      </w:r>
    </w:p>
    <w:p w14:paraId="33345CEC" w14:textId="77777777" w:rsidR="007C4598" w:rsidRDefault="007C4598"/>
    <w:p w14:paraId="7ADD95EF" w14:textId="77777777" w:rsidR="007C4598" w:rsidRDefault="00000000">
      <w:pPr>
        <w:jc w:val="both"/>
      </w:pPr>
      <w:r>
        <w:t xml:space="preserve">La mappa così tracciata può essere ricomposta in un quadro ordinato, che a ciascun dominio associa la natura del carico, la sede su cui esso grava e il tipo di connessione con la funzione della figura. La tabella seguente riepiloga la mappa del carico </w:t>
      </w:r>
      <w:proofErr w:type="spellStart"/>
      <w:r>
        <w:t>multidominio</w:t>
      </w:r>
      <w:proofErr w:type="spellEnd"/>
      <w:r>
        <w:t>, anticipando l’ordinamento che la cascata gerarchica piramidale svilupperà, per le figure, nella Parte III e, per i domini, nella Parte IX.</w:t>
      </w:r>
    </w:p>
    <w:p w14:paraId="21CDE79D" w14:textId="77777777" w:rsidR="007C4598" w:rsidRDefault="007C4598"/>
    <w:p w14:paraId="733B3A30" w14:textId="77777777" w:rsidR="007C4598" w:rsidRDefault="00000000">
      <w:pPr>
        <w:jc w:val="both"/>
      </w:pPr>
      <w:r>
        <w:rPr>
          <w:b/>
          <w:bCs/>
        </w:rPr>
        <w:t xml:space="preserve">Tabella 2.6 — La mappa del carico </w:t>
      </w:r>
      <w:proofErr w:type="spellStart"/>
      <w:r>
        <w:rPr>
          <w:b/>
          <w:bCs/>
        </w:rPr>
        <w:t>multidominio</w:t>
      </w:r>
      <w:proofErr w:type="spellEnd"/>
      <w:r>
        <w:rPr>
          <w:b/>
          <w:bCs/>
        </w:rPr>
        <w:t xml:space="preserve"> della cattiva salute mentale</w:t>
      </w:r>
    </w:p>
    <w:p w14:paraId="42344091"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4513"/>
        <w:gridCol w:w="4513"/>
      </w:tblGrid>
      <w:tr w:rsidR="007C4598" w14:paraId="5EFDD57D" w14:textId="77777777">
        <w:tc>
          <w:tcPr>
            <w:tcW w:w="4513"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99DE18D" w14:textId="77777777" w:rsidR="007C4598" w:rsidRDefault="00000000">
            <w:pPr>
              <w:spacing w:after="40"/>
            </w:pPr>
            <w:r>
              <w:rPr>
                <w:b/>
                <w:bCs/>
                <w:color w:val="FFFFFF"/>
                <w:sz w:val="18"/>
                <w:szCs w:val="18"/>
              </w:rPr>
              <w:t>Dominio</w:t>
            </w:r>
          </w:p>
        </w:tc>
        <w:tc>
          <w:tcPr>
            <w:tcW w:w="4513"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8E2C71F" w14:textId="77777777" w:rsidR="007C4598" w:rsidRDefault="00000000">
            <w:pPr>
              <w:spacing w:after="40"/>
            </w:pPr>
            <w:r>
              <w:rPr>
                <w:b/>
                <w:bCs/>
                <w:color w:val="FFFFFF"/>
                <w:sz w:val="18"/>
                <w:szCs w:val="18"/>
              </w:rPr>
              <w:t>Natura del carico e connessione con lo Psicologo di Base</w:t>
            </w:r>
          </w:p>
        </w:tc>
      </w:tr>
      <w:tr w:rsidR="007C4598" w14:paraId="37C41CEE"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AF40576" w14:textId="77777777" w:rsidR="007C4598" w:rsidRDefault="00000000">
            <w:pPr>
              <w:spacing w:after="40"/>
            </w:pPr>
            <w:r>
              <w:t>Sanitario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E824CAC" w14:textId="77777777" w:rsidR="007C4598" w:rsidRDefault="00000000">
            <w:pPr>
              <w:spacing w:after="40"/>
            </w:pPr>
            <w:r>
              <w:t>Farmaceutica, pronto soccorso, ricoveri, esami, mobilità passiva; connessione diretta, risparmi fiscali.</w:t>
            </w:r>
          </w:p>
        </w:tc>
      </w:tr>
      <w:tr w:rsidR="007C4598" w14:paraId="72A4FC42"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996A402" w14:textId="77777777" w:rsidR="007C4598" w:rsidRDefault="00000000">
            <w:pPr>
              <w:spacing w:after="40"/>
            </w:pPr>
            <w:r>
              <w:t>Lavorativo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31EE0DB" w14:textId="77777777" w:rsidR="007C4598" w:rsidRDefault="00000000">
            <w:pPr>
              <w:spacing w:after="40"/>
            </w:pPr>
            <w:r>
              <w:t xml:space="preserve">Assenteismo e </w:t>
            </w:r>
            <w:proofErr w:type="spellStart"/>
            <w:r>
              <w:t>presenteismo</w:t>
            </w:r>
            <w:proofErr w:type="spellEnd"/>
            <w:r>
              <w:t>; connessione indiretta, riduzione di durata e gravità degli episodi.</w:t>
            </w:r>
          </w:p>
        </w:tc>
      </w:tr>
      <w:tr w:rsidR="007C4598" w14:paraId="1728DBA3"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E6E73DA" w14:textId="77777777" w:rsidR="007C4598" w:rsidRDefault="00000000">
            <w:pPr>
              <w:spacing w:after="40"/>
            </w:pPr>
            <w:r>
              <w:t>Pensionistico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E5F400C" w14:textId="77777777" w:rsidR="007C4598" w:rsidRDefault="00000000">
            <w:pPr>
              <w:spacing w:after="40"/>
            </w:pPr>
            <w:r>
              <w:t>Invalidità, inabilità, pensionamenti anticipati per cause psichiche; connessione indiretta e differita.</w:t>
            </w:r>
          </w:p>
        </w:tc>
      </w:tr>
      <w:tr w:rsidR="007C4598" w14:paraId="0CD26602"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57EB670" w14:textId="77777777" w:rsidR="007C4598" w:rsidRDefault="00000000">
            <w:pPr>
              <w:spacing w:after="40"/>
            </w:pPr>
            <w:r>
              <w:t>Produttivistico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9299F56" w14:textId="77777777" w:rsidR="007C4598" w:rsidRDefault="00000000">
            <w:pPr>
              <w:spacing w:after="40"/>
            </w:pPr>
            <w:r>
              <w:t>Prodotto perduto, giornate perse, capitale umano; connessione indiretta.</w:t>
            </w:r>
          </w:p>
        </w:tc>
      </w:tr>
      <w:tr w:rsidR="007C4598" w14:paraId="1BEC1D86"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EA0244D" w14:textId="77777777" w:rsidR="007C4598" w:rsidRDefault="00000000">
            <w:pPr>
              <w:spacing w:after="40"/>
            </w:pPr>
            <w:r>
              <w:t>Assistenzialistico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09DAC69" w14:textId="77777777" w:rsidR="007C4598" w:rsidRDefault="00000000">
            <w:pPr>
              <w:spacing w:after="40"/>
            </w:pPr>
            <w:r>
              <w:t xml:space="preserve">Carico dei </w:t>
            </w:r>
            <w:proofErr w:type="spellStart"/>
            <w:r>
              <w:t>caregiver</w:t>
            </w:r>
            <w:proofErr w:type="spellEnd"/>
            <w:r>
              <w:t xml:space="preserve"> e assistenza informale; connessione indiretta.</w:t>
            </w:r>
          </w:p>
        </w:tc>
      </w:tr>
      <w:tr w:rsidR="007C4598" w14:paraId="6E72B4BF"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C356E4D" w14:textId="77777777" w:rsidR="007C4598" w:rsidRDefault="00000000">
            <w:pPr>
              <w:spacing w:after="40"/>
            </w:pPr>
            <w:proofErr w:type="spellStart"/>
            <w:r>
              <w:t>Welfaristico</w:t>
            </w:r>
            <w:proofErr w:type="spellEnd"/>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8D56AE5" w14:textId="77777777" w:rsidR="007C4598" w:rsidRDefault="00000000">
            <w:pPr>
              <w:spacing w:after="40"/>
            </w:pPr>
            <w:r>
              <w:t>Sussidi, indennità, spesa assistenziale; connessione indiretta.</w:t>
            </w:r>
          </w:p>
        </w:tc>
      </w:tr>
      <w:tr w:rsidR="007C4598" w14:paraId="66E80183"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18CF042" w14:textId="77777777" w:rsidR="007C4598" w:rsidRDefault="00000000">
            <w:pPr>
              <w:spacing w:after="40"/>
            </w:pPr>
            <w:proofErr w:type="spellStart"/>
            <w:r>
              <w:t>Prevenzionalistico</w:t>
            </w:r>
            <w:proofErr w:type="spellEnd"/>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6E9EAF8" w14:textId="77777777" w:rsidR="007C4598" w:rsidRDefault="00000000">
            <w:pPr>
              <w:spacing w:after="40"/>
            </w:pPr>
            <w:r>
              <w:t>Ricadute e cronicizzazioni evitate; meccanismo di propagazione lungo la cascata.</w:t>
            </w:r>
          </w:p>
        </w:tc>
      </w:tr>
      <w:tr w:rsidR="007C4598" w14:paraId="72BE954D"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D8EDB20" w14:textId="77777777" w:rsidR="007C4598" w:rsidRDefault="00000000">
            <w:pPr>
              <w:spacing w:after="40"/>
            </w:pPr>
            <w:r>
              <w:t>Criminologico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C7940FB" w14:textId="77777777" w:rsidR="007C4598" w:rsidRDefault="00000000">
            <w:pPr>
              <w:spacing w:after="40"/>
            </w:pPr>
            <w:r>
              <w:t>Devianza, costi della giustizia, recidiva; connessione indiretta, di lungo periodo.</w:t>
            </w:r>
          </w:p>
        </w:tc>
      </w:tr>
      <w:tr w:rsidR="007C4598" w14:paraId="68B08378"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472AD0D" w14:textId="77777777" w:rsidR="007C4598" w:rsidRDefault="00000000">
            <w:pPr>
              <w:spacing w:after="40"/>
            </w:pPr>
            <w:r>
              <w:t>Burocratico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E658BCA" w14:textId="77777777" w:rsidR="007C4598" w:rsidRDefault="00000000">
            <w:pPr>
              <w:spacing w:after="40"/>
            </w:pPr>
            <w:r>
              <w:t>Adempimenti e frammentazione amministrativa; semplificazione per integrazione.</w:t>
            </w:r>
          </w:p>
        </w:tc>
      </w:tr>
      <w:tr w:rsidR="007C4598" w14:paraId="58CC0253"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6B0908C" w14:textId="77777777" w:rsidR="007C4598" w:rsidRDefault="00000000">
            <w:pPr>
              <w:spacing w:after="40"/>
            </w:pPr>
            <w:r>
              <w:t>Culturale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EA631A9" w14:textId="77777777" w:rsidR="007C4598" w:rsidRDefault="00000000">
            <w:pPr>
              <w:spacing w:after="40"/>
            </w:pPr>
            <w:r>
              <w:t>Stigma e alfabetizzazione psicologica; effetto di diffusione capillare.</w:t>
            </w:r>
          </w:p>
        </w:tc>
      </w:tr>
      <w:tr w:rsidR="007C4598" w14:paraId="614DD4AB"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5821381" w14:textId="77777777" w:rsidR="007C4598" w:rsidRDefault="00000000">
            <w:pPr>
              <w:spacing w:after="40"/>
            </w:pPr>
            <w:r>
              <w:t>Pedagogico e scolastico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A32FE2E" w14:textId="77777777" w:rsidR="007C4598" w:rsidRDefault="00000000">
            <w:pPr>
              <w:spacing w:after="40"/>
            </w:pPr>
            <w:r>
              <w:t>Dispersione e rendimento degli studenti; connessione indiretta.</w:t>
            </w:r>
          </w:p>
        </w:tc>
      </w:tr>
      <w:tr w:rsidR="007C4598" w14:paraId="50FC48CA"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1E4998A" w14:textId="77777777" w:rsidR="007C4598" w:rsidRDefault="00000000">
            <w:pPr>
              <w:spacing w:after="40"/>
            </w:pPr>
            <w:r>
              <w:t>Sociale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9E2E873" w14:textId="77777777" w:rsidR="007C4598" w:rsidRDefault="00000000">
            <w:pPr>
              <w:spacing w:after="40"/>
            </w:pPr>
            <w:r>
              <w:t>Capitale sociale e legami di comunità; connessione indiretta.</w:t>
            </w:r>
          </w:p>
        </w:tc>
      </w:tr>
      <w:tr w:rsidR="007C4598" w14:paraId="4F0A63C0"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9814306" w14:textId="77777777" w:rsidR="007C4598" w:rsidRDefault="00000000">
            <w:pPr>
              <w:spacing w:after="40"/>
            </w:pPr>
            <w:r>
              <w:t>Finanziario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EF52E9E" w14:textId="77777777" w:rsidR="007C4598" w:rsidRDefault="00000000">
            <w:pPr>
              <w:spacing w:after="40"/>
            </w:pPr>
            <w:r>
              <w:t>Effetto netto sui bilanci regionali; sede della previsione falsificabile.</w:t>
            </w:r>
          </w:p>
        </w:tc>
      </w:tr>
    </w:tbl>
    <w:p w14:paraId="5CA19C6F" w14:textId="77777777" w:rsidR="007C4598" w:rsidRDefault="007C4598"/>
    <w:p w14:paraId="3EFB2671" w14:textId="77777777" w:rsidR="007C4598" w:rsidRDefault="00000000">
      <w:pPr>
        <w:jc w:val="both"/>
      </w:pPr>
      <w:r>
        <w:rPr>
          <w:i/>
          <w:iCs/>
        </w:rPr>
        <w:t>Mappa di raccordo. La quantificazione, distinta tra ricadute fiscali e sociali e governata dalla regola di non duplicazione, è sviluppata nelle Parti VII–X secondo l’ordinamento della cascata.</w:t>
      </w:r>
    </w:p>
    <w:p w14:paraId="43FE87E7"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12BAF90B"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6B0945E" w14:textId="77777777" w:rsidR="007C4598" w:rsidRDefault="00000000">
            <w:pPr>
              <w:spacing w:after="40"/>
            </w:pPr>
            <w:r>
              <w:rPr>
                <w:b/>
                <w:bCs/>
                <w:color w:val="FFFFFF"/>
                <w:sz w:val="18"/>
                <w:szCs w:val="18"/>
              </w:rPr>
              <w:t xml:space="preserve">◆  SEGNALIBRO — INFOGRAFICA 2.5 · DA INSERIRE A POSTERIORI Titolo previsto: La mappa del carico </w:t>
            </w:r>
            <w:proofErr w:type="spellStart"/>
            <w:r>
              <w:rPr>
                <w:b/>
                <w:bCs/>
                <w:color w:val="FFFFFF"/>
                <w:sz w:val="18"/>
                <w:szCs w:val="18"/>
              </w:rPr>
              <w:t>multidominio</w:t>
            </w:r>
            <w:proofErr w:type="spellEnd"/>
            <w:r>
              <w:rPr>
                <w:b/>
                <w:bCs/>
                <w:color w:val="FFFFFF"/>
                <w:sz w:val="18"/>
                <w:szCs w:val="18"/>
              </w:rPr>
              <w:t xml:space="preserve"> e la cascata dei domini — Puglia Contenuto da rappresentare: Rappresentazione radiale (o a piramide) che colloca lo Psicologo di Base all’apice e dispone attorno i tredici domini del carico, distinti per connessione diretta (fiscale) e indiretta (sociale); obiettivo: mostrare come l’intercettazione a monte propaghi i propri effetti lungo l’intera piramide dei domini. Codice </w:t>
            </w:r>
            <w:proofErr w:type="spellStart"/>
            <w:r>
              <w:rPr>
                <w:b/>
                <w:bCs/>
                <w:color w:val="FFFFFF"/>
                <w:sz w:val="18"/>
                <w:szCs w:val="18"/>
              </w:rPr>
              <w:t>Canva-Friendly</w:t>
            </w:r>
            <w:proofErr w:type="spellEnd"/>
            <w:r>
              <w:rPr>
                <w:b/>
                <w:bCs/>
                <w:color w:val="FFFFFF"/>
                <w:sz w:val="18"/>
                <w:szCs w:val="18"/>
              </w:rPr>
              <w:t xml:space="preserve"> (scheda di generazione) TIPO: diagramma radiale a settori (apice centrale + 13 domini) oppure piramide a strati FORMATO: 1280 × 1000 </w:t>
            </w:r>
            <w:proofErr w:type="spellStart"/>
            <w:r>
              <w:rPr>
                <w:b/>
                <w:bCs/>
                <w:color w:val="FFFFFF"/>
                <w:sz w:val="18"/>
                <w:szCs w:val="18"/>
              </w:rPr>
              <w:t>px</w:t>
            </w:r>
            <w:proofErr w:type="spellEnd"/>
            <w:r>
              <w:rPr>
                <w:b/>
                <w:bCs/>
                <w:color w:val="FFFFFF"/>
                <w:sz w:val="18"/>
                <w:szCs w:val="18"/>
              </w:rPr>
              <w:t xml:space="preserve">; adatta a slide e ad A4 SFONDO: gradiente verticale bianco #FFFFFF 85% → crema #F3EAD6 15% PALETTE: nucleo #101F3C; domini diretti #16264B–#244272; domini indiretti #2E5AA0–#5B7BB0; accento oro #C49A48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etichette dei domini Regular, nucleo </w:t>
            </w:r>
            <w:proofErr w:type="spellStart"/>
            <w:r>
              <w:rPr>
                <w:b/>
                <w:bCs/>
                <w:color w:val="FFFFFF"/>
                <w:sz w:val="18"/>
                <w:szCs w:val="18"/>
              </w:rPr>
              <w:t>Bold</w:t>
            </w:r>
            <w:proofErr w:type="spellEnd"/>
            <w:r>
              <w:rPr>
                <w:b/>
                <w:bCs/>
                <w:color w:val="FFFFFF"/>
                <w:sz w:val="18"/>
                <w:szCs w:val="18"/>
              </w:rPr>
              <w:t xml:space="preserve"> TITOLO: «Il carico </w:t>
            </w:r>
            <w:proofErr w:type="spellStart"/>
            <w:r>
              <w:rPr>
                <w:b/>
                <w:bCs/>
                <w:color w:val="FFFFFF"/>
                <w:sz w:val="18"/>
                <w:szCs w:val="18"/>
              </w:rPr>
              <w:t>multidominio</w:t>
            </w:r>
            <w:proofErr w:type="spellEnd"/>
            <w:r>
              <w:rPr>
                <w:b/>
                <w:bCs/>
                <w:color w:val="FFFFFF"/>
                <w:sz w:val="18"/>
                <w:szCs w:val="18"/>
              </w:rPr>
              <w:t xml:space="preserve"> della cattiva salute mentale — Puglia» NUCLEO (apice della cascata): «Psicologo di Base» DOMINI (settori, in senso orario): Sanitario · Lavorativo · Pensionistico · Produttivistico · Assistenzialistico · </w:t>
            </w:r>
            <w:proofErr w:type="spellStart"/>
            <w:r>
              <w:rPr>
                <w:b/>
                <w:bCs/>
                <w:color w:val="FFFFFF"/>
                <w:sz w:val="18"/>
                <w:szCs w:val="18"/>
              </w:rPr>
              <w:t>Welfaristico</w:t>
            </w:r>
            <w:proofErr w:type="spellEnd"/>
            <w:r>
              <w:rPr>
                <w:b/>
                <w:bCs/>
                <w:color w:val="FFFFFF"/>
                <w:sz w:val="18"/>
                <w:szCs w:val="18"/>
              </w:rPr>
              <w:t xml:space="preserve"> · </w:t>
            </w:r>
            <w:proofErr w:type="spellStart"/>
            <w:r>
              <w:rPr>
                <w:b/>
                <w:bCs/>
                <w:color w:val="FFFFFF"/>
                <w:sz w:val="18"/>
                <w:szCs w:val="18"/>
              </w:rPr>
              <w:t>Prevenzionalistico</w:t>
            </w:r>
            <w:proofErr w:type="spellEnd"/>
            <w:r>
              <w:rPr>
                <w:b/>
                <w:bCs/>
                <w:color w:val="FFFFFF"/>
                <w:sz w:val="18"/>
                <w:szCs w:val="18"/>
              </w:rPr>
              <w:t xml:space="preserve"> · Criminologico · Burocratico · Culturale · Pedagogico-scolastico · Sociale · Finanziario CODIFICA: settori </w:t>
            </w:r>
            <w:proofErr w:type="spellStart"/>
            <w:r>
              <w:rPr>
                <w:b/>
                <w:bCs/>
                <w:color w:val="FFFFFF"/>
                <w:sz w:val="18"/>
                <w:szCs w:val="18"/>
              </w:rPr>
              <w:t>navy</w:t>
            </w:r>
            <w:proofErr w:type="spellEnd"/>
            <w:r>
              <w:rPr>
                <w:b/>
                <w:bCs/>
                <w:color w:val="FFFFFF"/>
                <w:sz w:val="18"/>
                <w:szCs w:val="18"/>
              </w:rPr>
              <w:t xml:space="preserve"> pieni = connessione diretta (fiscale); settori </w:t>
            </w:r>
            <w:proofErr w:type="spellStart"/>
            <w:r>
              <w:rPr>
                <w:b/>
                <w:bCs/>
                <w:color w:val="FFFFFF"/>
                <w:sz w:val="18"/>
                <w:szCs w:val="18"/>
              </w:rPr>
              <w:t>navy</w:t>
            </w:r>
            <w:proofErr w:type="spellEnd"/>
            <w:r>
              <w:rPr>
                <w:b/>
                <w:bCs/>
                <w:color w:val="FFFFFF"/>
                <w:sz w:val="18"/>
                <w:szCs w:val="18"/>
              </w:rPr>
              <w:t xml:space="preserve"> chiari = connessione indiretta (sociale) DIDASCALIA: «Ordine di magnitudo del carico complessivo: oltre il 4% del PIL (stime UE)» VARIANTE 3D (consigliata): piramide a strati con effetto isometrico, apice in evidenza e strati dei domini digradanti; etichette in piano FONTE (piè di figura): OCSE-UE, </w:t>
            </w:r>
            <w:proofErr w:type="spellStart"/>
            <w:r>
              <w:rPr>
                <w:b/>
                <w:bCs/>
                <w:color w:val="FFFFFF"/>
                <w:sz w:val="18"/>
                <w:szCs w:val="18"/>
              </w:rPr>
              <w:t>Health</w:t>
            </w:r>
            <w:proofErr w:type="spellEnd"/>
            <w:r>
              <w:rPr>
                <w:b/>
                <w:bCs/>
                <w:color w:val="FFFFFF"/>
                <w:sz w:val="18"/>
                <w:szCs w:val="18"/>
              </w:rPr>
              <w:t xml:space="preserve"> </w:t>
            </w:r>
            <w:proofErr w:type="spellStart"/>
            <w:r>
              <w:rPr>
                <w:b/>
                <w:bCs/>
                <w:color w:val="FFFFFF"/>
                <w:sz w:val="18"/>
                <w:szCs w:val="18"/>
              </w:rPr>
              <w:t>at</w:t>
            </w:r>
            <w:proofErr w:type="spellEnd"/>
            <w:r>
              <w:rPr>
                <w:b/>
                <w:bCs/>
                <w:color w:val="FFFFFF"/>
                <w:sz w:val="18"/>
                <w:szCs w:val="18"/>
              </w:rPr>
              <w:t xml:space="preserve"> a </w:t>
            </w:r>
            <w:proofErr w:type="spellStart"/>
            <w:r>
              <w:rPr>
                <w:b/>
                <w:bCs/>
                <w:color w:val="FFFFFF"/>
                <w:sz w:val="18"/>
                <w:szCs w:val="18"/>
              </w:rPr>
              <w:t>Glance</w:t>
            </w:r>
            <w:proofErr w:type="spellEnd"/>
            <w:r>
              <w:rPr>
                <w:b/>
                <w:bCs/>
                <w:color w:val="FFFFFF"/>
                <w:sz w:val="18"/>
                <w:szCs w:val="18"/>
              </w:rPr>
              <w:t>; elaborazione dello studio</w:t>
            </w:r>
          </w:p>
          <w:p w14:paraId="0F389FC3" w14:textId="77777777" w:rsidR="007C4598" w:rsidRDefault="00000000">
            <w:pPr>
              <w:spacing w:before="120" w:after="60"/>
              <w:jc w:val="center"/>
            </w:pPr>
            <w:r>
              <w:rPr>
                <w:noProof/>
              </w:rPr>
              <w:drawing>
                <wp:inline distT="0" distB="0" distL="0" distR="0" wp14:anchorId="60820B1B" wp14:editId="77F0FAF9">
                  <wp:extent cx="8229600" cy="4629150"/>
                  <wp:effectExtent l="0" t="0" r="0" b="0"/>
                  <wp:docPr id="112" name="Infografica12" descr="La mappa del carico multidominio della cattiva salute men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nfografica12"/>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8229600" cy="4629150"/>
                          </a:xfrm>
                          <a:prstGeom prst="rect">
                            <a:avLst/>
                          </a:prstGeom>
                          <a:noFill/>
                          <a:ln>
                            <a:noFill/>
                          </a:ln>
                        </pic:spPr>
                      </pic:pic>
                    </a:graphicData>
                  </a:graphic>
                </wp:inline>
              </w:drawing>
            </w:r>
          </w:p>
          <w:p w14:paraId="0A55A581" w14:textId="77777777" w:rsidR="007C4598" w:rsidRDefault="00000000">
            <w:pPr>
              <w:spacing w:before="40" w:after="200"/>
              <w:jc w:val="center"/>
            </w:pPr>
            <w:r>
              <w:rPr>
                <w:i/>
                <w:color w:val="2E5A8F"/>
                <w:sz w:val="16"/>
                <w:szCs w:val="16"/>
              </w:rPr>
              <w:t xml:space="preserve">Fig. 2.5 — La mappa del carico </w:t>
            </w:r>
            <w:proofErr w:type="spellStart"/>
            <w:r>
              <w:rPr>
                <w:i/>
                <w:color w:val="2E5A8F"/>
                <w:sz w:val="16"/>
                <w:szCs w:val="16"/>
              </w:rPr>
              <w:t>multidominio</w:t>
            </w:r>
            <w:proofErr w:type="spellEnd"/>
            <w:r>
              <w:rPr>
                <w:i/>
                <w:color w:val="2E5A8F"/>
                <w:sz w:val="16"/>
                <w:szCs w:val="16"/>
              </w:rPr>
              <w:t xml:space="preserve"> della cattiva salute mentale. Elaborazione dello studio · Luigi De Michele · Giugno 2026.</w:t>
            </w:r>
          </w:p>
        </w:tc>
      </w:tr>
    </w:tbl>
    <w:p w14:paraId="29F0D0CC" w14:textId="77777777" w:rsidR="007C4598" w:rsidRDefault="007C4598"/>
    <w:p w14:paraId="1686E59F" w14:textId="77777777" w:rsidR="007C4598" w:rsidRDefault="00000000">
      <w:pPr>
        <w:jc w:val="both"/>
      </w:pPr>
      <w:r>
        <w:t>La mappa del carico chiude la ricostruzione del bisogno e del contesto avviata nelle voci precedenti. Essa mostra che il problema cui la riforma si rivolge non è circoscritto alla salute, ma investe il lavoro, la previdenza, l’assistenza, la giustizia, l’istruzione e i bilanci pubblici; e che la funzione dello Psicologo di Base, collocato all’apice della cascata, agisce su tutti questi ambiti per via indiretta, attraverso l’intercettazione precoce del disagio. Resta da collocare la riforma nella sua cornice istituzionale, ossia nell’insieme delle norme che la fondano, ne predispongono le sedi e le risorse e ne fissano i criteri di valutazione. È l’oggetto dell’ultima voce di questa parte.</w:t>
      </w:r>
    </w:p>
    <w:p w14:paraId="5023D17D" w14:textId="77777777" w:rsidR="007C4598" w:rsidRDefault="007C4598"/>
    <w:p w14:paraId="09288241" w14:textId="77777777" w:rsidR="007C4598" w:rsidRDefault="00000000">
      <w:pPr>
        <w:pStyle w:val="Titolo2"/>
        <w:spacing w:before="200" w:after="100"/>
      </w:pPr>
      <w:r>
        <w:rPr>
          <w:sz w:val="22"/>
          <w:szCs w:val="22"/>
        </w:rPr>
        <w:t>2.6  Il quadro normativo e programmatico</w:t>
      </w:r>
    </w:p>
    <w:p w14:paraId="7219A2EB" w14:textId="77777777" w:rsidR="007C4598" w:rsidRDefault="007C4598"/>
    <w:p w14:paraId="5C8C111F" w14:textId="77777777" w:rsidR="007C4598" w:rsidRDefault="00000000">
      <w:pPr>
        <w:jc w:val="both"/>
      </w:pPr>
      <w:r>
        <w:rPr>
          <w:i/>
          <w:iCs/>
        </w:rPr>
        <w:t>Questa voce colloca la riforma nella sua cornice istituzionale, coerente su tre livelli — regionale, nazionale ed europeo — che ne fondano la rilevanza e la coerenza: la legge regionale che ha istituito il servizio, il disegno nazionale dell’assistenza territoriale e il suo finanziamento, l’accordo convenzionale di riferimento e i livelli essenziali, e i regolamenti europei sulla valutazione delle tecnologie e sull’intelligenza artificiale.</w:t>
      </w:r>
    </w:p>
    <w:p w14:paraId="0479C6EE" w14:textId="77777777" w:rsidR="007C4598" w:rsidRDefault="007C4598"/>
    <w:p w14:paraId="4ED144D1" w14:textId="77777777" w:rsidR="007C4598" w:rsidRDefault="00000000">
      <w:pPr>
        <w:jc w:val="both"/>
      </w:pPr>
      <w:r>
        <w:t>La riforma del Servizio di Psicologia di Base si colloca in una cornice normativa coerente su tre livelli, che ne fonda la rilevanza e la coerenza e che ne condiziona il disegno. Al livello regionale, una legge ha istituito il servizio e ne ha fissato gli elementi essenziali; al livello nazionale, un insieme di atti ne predispone le sedi, le risorse e il riferimento convenzionale, iscrivendolo nel perimetro dei livelli essenziali; al livello europeo, due regolamenti ne forniscono gli standard, rispettivamente, della valutazione delle tecnologie sanitarie e dell’innovazione tecnologica. La convergenza dei tre livelli non è un dettaglio formale, ma la condizione che colloca la riforma all’incrocio tra una legge regionale pionieristica, una programmazione nazionale che ne dispone l’infrastruttura e una cornice europea che ne fissa i criteri di analisi.</w:t>
      </w:r>
    </w:p>
    <w:p w14:paraId="4D49F425" w14:textId="77777777" w:rsidR="007C4598" w:rsidRDefault="007C4598"/>
    <w:p w14:paraId="292810B3" w14:textId="77777777" w:rsidR="007C4598" w:rsidRDefault="00000000">
      <w:pPr>
        <w:jc w:val="both"/>
      </w:pPr>
      <w:r>
        <w:t>Al livello regionale, la legge della Regione Puglia del 2023 ha istituito il servizio — prima legge del genere in Italia — individuandone gli elementi costitutivi: le sedi nei distretti e nelle Case della Comunità, la forma del rapporto nella convenzione, la funzione di filtro verso i servizi specialistici e il pronto soccorso, e l’organo di governo in un Osservatorio regionale dedicato.</w:t>
      </w:r>
      <w:r>
        <w:rPr>
          <w:color w:val="555555"/>
          <w:sz w:val="16"/>
          <w:szCs w:val="16"/>
          <w:vertAlign w:val="superscript"/>
        </w:rPr>
        <w:t>[31]</w:t>
      </w:r>
      <w:r>
        <w:t xml:space="preserve"> La portata di questa norma per lo studio è decisiva: essa fa sì che la decisione non verta sull’istituire il servizio, già disposto dal legislatore regionale, ma sul portarlo a regime, ossia sul dimensionarlo e sul finanziarlo in modo adeguato al bisogno. L’oggetto della valutazione si sposta perciò </w:t>
      </w:r>
      <w:proofErr w:type="spellStart"/>
      <w:r>
        <w:t>dall’an</w:t>
      </w:r>
      <w:proofErr w:type="spellEnd"/>
      <w:r>
        <w:t xml:space="preserve"> al quantum, dalla scelta se introdurre la figura alla scelta di quante risorse destinarvi, e gli scenari di copertura considerati dallo studio costituiscono precisamente le alternative di questo quantum.</w:t>
      </w:r>
    </w:p>
    <w:p w14:paraId="01157407" w14:textId="77777777" w:rsidR="007C4598" w:rsidRDefault="007C4598"/>
    <w:p w14:paraId="2F10F195" w14:textId="77777777" w:rsidR="007C4598" w:rsidRDefault="00000000">
      <w:pPr>
        <w:jc w:val="both"/>
      </w:pPr>
      <w:r>
        <w:t>Al livello nazionale, il quadro è favorevole e convergente. Il decreto ministeriale del 2022 sull’assistenza territoriale ha definito il modello della sanità di prossimità, facendo delle Case della Comunità la sede della presa in carico territoriale, presso la quale lo Psicologo di Base si inserisce; la Missione del Piano Nazionale di Ripresa e Resilienza dedicata alla salute ne finanzia l’infrastruttura fisica e digitale, predisponendo le sedi e gli strumenti su cui la figura opera.</w:t>
      </w:r>
      <w:r>
        <w:rPr>
          <w:color w:val="555555"/>
          <w:sz w:val="16"/>
          <w:szCs w:val="16"/>
          <w:vertAlign w:val="superscript"/>
        </w:rPr>
        <w:t>[32]</w:t>
      </w:r>
      <w:r>
        <w:t xml:space="preserve"> L’accordo che disciplina la specialistica ambulatoriale fornisce, a sua volta, il riferimento contrattuale del rapporto convenzionale degli psicologi, e con esso il fondamento del modello di costo del personale impiegato nelle parti dedicate ai costi diretti.</w:t>
      </w:r>
      <w:r>
        <w:rPr>
          <w:color w:val="555555"/>
          <w:sz w:val="16"/>
          <w:szCs w:val="16"/>
          <w:vertAlign w:val="superscript"/>
        </w:rPr>
        <w:t>[33]</w:t>
      </w:r>
      <w:r>
        <w:t xml:space="preserve"> La coerenza tra la sede prevista dalla legge regionale e quella finanziata dal Piano nazionale, e tra la forma del rapporto e l’accordo convenzionale, fa sì che la riforma non richieda costruzioni normative ex novo, ma si innesti su strumenti già esistenti e operativi.</w:t>
      </w:r>
    </w:p>
    <w:p w14:paraId="3810AE15" w14:textId="77777777" w:rsidR="007C4598" w:rsidRDefault="007C4598"/>
    <w:p w14:paraId="72F32F82" w14:textId="77777777" w:rsidR="007C4598" w:rsidRDefault="00000000">
      <w:pPr>
        <w:jc w:val="both"/>
      </w:pPr>
      <w:r>
        <w:t>La collocazione della riforma entro i livelli essenziali di assistenza è la chiave che la rende finanziabile pur nel vincolo di bilancio descritto nella voce 2.4. I livelli essenziali definiscono le prestazioni che il Servizio sanitario è tenuto a garantire su tutto il territorio nazionale, e la funzione di primo livello e di filtro dello Psicologo di Base si iscrive nella loro attuazione territoriale, come strumento di una più efficiente erogazione e non come spesa aggiuntiva ad essi estranea.</w:t>
      </w:r>
      <w:r>
        <w:rPr>
          <w:color w:val="555555"/>
          <w:sz w:val="16"/>
          <w:szCs w:val="16"/>
          <w:vertAlign w:val="superscript"/>
        </w:rPr>
        <w:t>[34]</w:t>
      </w:r>
      <w:r>
        <w:t xml:space="preserve"> È questa iscrizione che concilia la riforma con il limite costituzionale di destinazione delle risorse e con i vincoli di rientro, e che le consente di essere finanziata senza distrarre fondi dalle finalità essenziali, anzi concorrendo alla loro realizzazione.</w:t>
      </w:r>
    </w:p>
    <w:p w14:paraId="76728895" w14:textId="77777777" w:rsidR="007C4598" w:rsidRDefault="007C4598"/>
    <w:p w14:paraId="22EEADCC" w14:textId="77777777" w:rsidR="007C4598" w:rsidRDefault="00000000">
      <w:pPr>
        <w:jc w:val="both"/>
      </w:pPr>
      <w:r>
        <w:t xml:space="preserve">Al livello europeo, infine, due regolamenti forniscono gli standard entro cui la riforma è analizzata e innovata. Il regolamento sulla valutazione delle tecnologie sanitarie, applicabile dal 2025, fissa il metodo della valutazione comparativa, di cui il presente studio adotta il telaio; il regolamento sull’intelligenza artificiale stabilisce la cornice di </w:t>
      </w:r>
      <w:proofErr w:type="spellStart"/>
      <w:r>
        <w:t>governance</w:t>
      </w:r>
      <w:proofErr w:type="spellEnd"/>
      <w:r>
        <w:t xml:space="preserve"> dell’innovazione tecnologica, entro cui sono collocati gli strumenti digitali e l’intelligenza artificiale impiegati come leve abilitanti della figura.</w:t>
      </w:r>
      <w:r>
        <w:rPr>
          <w:color w:val="555555"/>
          <w:sz w:val="16"/>
          <w:szCs w:val="16"/>
          <w:vertAlign w:val="superscript"/>
        </w:rPr>
        <w:t>[35]</w:t>
      </w:r>
      <w:r>
        <w:t xml:space="preserve"> Il richiamo a questi due regolamenti non è ornamentale: esso colloca lo studio nel solco degli standard europei di valutazione e di </w:t>
      </w:r>
      <w:proofErr w:type="spellStart"/>
      <w:r>
        <w:t>governance</w:t>
      </w:r>
      <w:proofErr w:type="spellEnd"/>
      <w:r>
        <w:t>, e ne àncora il metodo e la cautela tecnologica a riferimenti normativi sovranazionali, rafforzandone la legittimità e la trasferibilità.</w:t>
      </w:r>
    </w:p>
    <w:p w14:paraId="398E33B7" w14:textId="77777777" w:rsidR="007C4598" w:rsidRDefault="007C4598"/>
    <w:p w14:paraId="1F62CDB2" w14:textId="77777777" w:rsidR="007C4598" w:rsidRDefault="00000000">
      <w:pPr>
        <w:jc w:val="both"/>
      </w:pPr>
      <w:r>
        <w:t>La cornice normativa così ricostruita fonda la rilevanza e la coerenza della riforma e ne orienta il disegno. La tabella seguente riepiloga i tre livelli del quadro normativo e programmatico, con la funzione che ciascun atto svolge rispetto alla riforma; essa mostra come la riforma poggi su un fondamento giuridico regionale diretto, su una programmazione nazionale che ne predispone le condizioni materiali e su una cornice europea che ne fissa i criteri di valutazione e di innovazione.</w:t>
      </w:r>
    </w:p>
    <w:p w14:paraId="2C79F3D1" w14:textId="77777777" w:rsidR="007C4598" w:rsidRDefault="007C4598"/>
    <w:p w14:paraId="5D8B5DB5" w14:textId="77777777" w:rsidR="007C4598" w:rsidRDefault="00000000">
      <w:pPr>
        <w:jc w:val="both"/>
      </w:pPr>
      <w:r>
        <w:rPr>
          <w:b/>
          <w:bCs/>
        </w:rPr>
        <w:t>Tabella 2.7 — Il quadro normativo e programmatico su tre livelli</w:t>
      </w:r>
    </w:p>
    <w:p w14:paraId="4696DF37"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4513"/>
        <w:gridCol w:w="4513"/>
      </w:tblGrid>
      <w:tr w:rsidR="007C4598" w14:paraId="6E4D7606" w14:textId="77777777">
        <w:tc>
          <w:tcPr>
            <w:tcW w:w="4513"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4FE217D" w14:textId="77777777" w:rsidR="007C4598" w:rsidRDefault="00000000">
            <w:pPr>
              <w:spacing w:after="40"/>
            </w:pPr>
            <w:r>
              <w:rPr>
                <w:b/>
                <w:bCs/>
                <w:color w:val="FFFFFF"/>
                <w:sz w:val="18"/>
                <w:szCs w:val="18"/>
              </w:rPr>
              <w:t>Livello e atto</w:t>
            </w:r>
          </w:p>
        </w:tc>
        <w:tc>
          <w:tcPr>
            <w:tcW w:w="4513"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4579073" w14:textId="77777777" w:rsidR="007C4598" w:rsidRDefault="00000000">
            <w:pPr>
              <w:spacing w:after="40"/>
            </w:pPr>
            <w:r>
              <w:rPr>
                <w:b/>
                <w:bCs/>
                <w:color w:val="FFFFFF"/>
                <w:sz w:val="18"/>
                <w:szCs w:val="18"/>
              </w:rPr>
              <w:t>Funzione rispetto alla riforma</w:t>
            </w:r>
          </w:p>
        </w:tc>
      </w:tr>
      <w:tr w:rsidR="007C4598" w14:paraId="709923F6"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CB5B3C0" w14:textId="77777777" w:rsidR="007C4598" w:rsidRDefault="00000000">
            <w:pPr>
              <w:spacing w:after="40"/>
            </w:pPr>
            <w:r>
              <w:t>Regionale — legge della Regione Puglia (2023)</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1BD920F" w14:textId="77777777" w:rsidR="007C4598" w:rsidRDefault="00000000">
            <w:pPr>
              <w:spacing w:after="40"/>
            </w:pPr>
            <w:r>
              <w:t xml:space="preserve">Istituisce il servizio, ne fissa le sedi, la convenzione, la funzione di filtro e l’Osservatorio; sposta la decisione </w:t>
            </w:r>
            <w:proofErr w:type="spellStart"/>
            <w:r>
              <w:t>dall’an</w:t>
            </w:r>
            <w:proofErr w:type="spellEnd"/>
            <w:r>
              <w:t xml:space="preserve"> al quantum.</w:t>
            </w:r>
          </w:p>
        </w:tc>
      </w:tr>
      <w:tr w:rsidR="007C4598" w14:paraId="586C6DBD"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E057E64" w14:textId="77777777" w:rsidR="007C4598" w:rsidRDefault="00000000">
            <w:pPr>
              <w:spacing w:after="40"/>
            </w:pPr>
            <w:r>
              <w:t>Nazionale — decreto sull’assistenza territoriale (2022)</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3CE9D10" w14:textId="77777777" w:rsidR="007C4598" w:rsidRDefault="00000000">
            <w:pPr>
              <w:spacing w:after="40"/>
            </w:pPr>
            <w:r>
              <w:t>Definisce le Case della Comunità quale sede della presa in carico di prossimità in cui la figura si inserisce.</w:t>
            </w:r>
          </w:p>
        </w:tc>
      </w:tr>
      <w:tr w:rsidR="007C4598" w14:paraId="3F41333B"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2BAE053" w14:textId="77777777" w:rsidR="007C4598" w:rsidRDefault="00000000">
            <w:pPr>
              <w:spacing w:after="40"/>
            </w:pPr>
            <w:r>
              <w:t>Nazionale — Missione 6 del PNRR</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63CA2DF" w14:textId="77777777" w:rsidR="007C4598" w:rsidRDefault="00000000">
            <w:pPr>
              <w:spacing w:after="40"/>
            </w:pPr>
            <w:r>
              <w:t>Finanzia l’infrastruttura fisica e digitale del territorio su cui la figura opera.</w:t>
            </w:r>
          </w:p>
        </w:tc>
      </w:tr>
      <w:tr w:rsidR="007C4598" w14:paraId="19505D03"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3573FB1" w14:textId="77777777" w:rsidR="007C4598" w:rsidRDefault="00000000">
            <w:pPr>
              <w:spacing w:after="40"/>
            </w:pPr>
            <w:r>
              <w:t>Nazionale — accordo della specialistica ambulatoriale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5333A4D" w14:textId="77777777" w:rsidR="007C4598" w:rsidRDefault="00000000">
            <w:pPr>
              <w:spacing w:after="40"/>
            </w:pPr>
            <w:r>
              <w:t>Fornisce il riferimento convenzionale e il fondamento del modello di costo del personale.</w:t>
            </w:r>
          </w:p>
        </w:tc>
      </w:tr>
      <w:tr w:rsidR="007C4598" w14:paraId="478E558C"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B0D090B" w14:textId="77777777" w:rsidR="007C4598" w:rsidRDefault="00000000">
            <w:pPr>
              <w:spacing w:after="40"/>
            </w:pPr>
            <w:r>
              <w:t>Nazionale — livelli essenziali di assistenza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E20B360" w14:textId="77777777" w:rsidR="007C4598" w:rsidRDefault="00000000">
            <w:pPr>
              <w:spacing w:after="40"/>
            </w:pPr>
            <w:r>
              <w:t>Iscrivono la funzione di primo livello e di filtro nell’attuazione dei livelli essenziali, rendendo la riforma finanziabile entro i vincoli di rientro.</w:t>
            </w:r>
          </w:p>
        </w:tc>
      </w:tr>
      <w:tr w:rsidR="007C4598" w14:paraId="43E98053"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A74B673" w14:textId="77777777" w:rsidR="007C4598" w:rsidRDefault="00000000">
            <w:pPr>
              <w:spacing w:after="40"/>
            </w:pPr>
            <w:r>
              <w:t>Europeo — regolamento sulla valutazione delle tecnologie sanitarie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A882468" w14:textId="77777777" w:rsidR="007C4598" w:rsidRDefault="00000000">
            <w:pPr>
              <w:spacing w:after="40"/>
            </w:pPr>
            <w:r>
              <w:t>Fissa il metodo della valutazione comparativa di cui lo studio adotta il telaio.</w:t>
            </w:r>
          </w:p>
        </w:tc>
      </w:tr>
      <w:tr w:rsidR="007C4598" w14:paraId="77803CDB"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FECC21F" w14:textId="77777777" w:rsidR="007C4598" w:rsidRDefault="00000000">
            <w:pPr>
              <w:spacing w:after="40"/>
            </w:pPr>
            <w:r>
              <w:t>Europeo — regolamento sull’intelligenza artificiale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8E01486" w14:textId="77777777" w:rsidR="007C4598" w:rsidRDefault="00000000">
            <w:pPr>
              <w:spacing w:after="40"/>
            </w:pPr>
            <w:r>
              <w:t xml:space="preserve">Stabilisce la cornice di </w:t>
            </w:r>
            <w:proofErr w:type="spellStart"/>
            <w:r>
              <w:t>governance</w:t>
            </w:r>
            <w:proofErr w:type="spellEnd"/>
            <w:r>
              <w:t xml:space="preserve"> degli strumenti digitali impiegati come leve abilitanti.</w:t>
            </w:r>
          </w:p>
        </w:tc>
      </w:tr>
    </w:tbl>
    <w:p w14:paraId="0DAB9825" w14:textId="77777777" w:rsidR="007C4598" w:rsidRDefault="007C4598"/>
    <w:p w14:paraId="0AF87D37" w14:textId="77777777" w:rsidR="007C4598" w:rsidRDefault="00000000">
      <w:pPr>
        <w:jc w:val="both"/>
      </w:pPr>
      <w:r>
        <w:rPr>
          <w:i/>
          <w:iCs/>
        </w:rPr>
        <w:t>Fonti: legge regionale 11/2023; decreto ministeriale 77/2022; PNRR Missione 6; Accordo Collettivo Nazionale della specialistica ambulatoriale; livelli essenziali di assistenza; regolamento (UE) 2021/2282; regolamento (UE) sull’intelligenza artificiale.</w:t>
      </w:r>
    </w:p>
    <w:p w14:paraId="79E85C2D"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2B44FE99"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2252933" w14:textId="77777777" w:rsidR="007C4598" w:rsidRDefault="00000000">
            <w:pPr>
              <w:spacing w:after="40"/>
            </w:pPr>
            <w:r>
              <w:rPr>
                <w:b/>
                <w:bCs/>
                <w:color w:val="FFFFFF"/>
                <w:sz w:val="18"/>
                <w:szCs w:val="18"/>
              </w:rPr>
              <w:t xml:space="preserve">◆  SEGNALIBRO — INFOGRAFICA 2.6 · DA INSERIRE A POSTERIORI Titolo previsto: La cornice normativa su tre livelli — regionale, nazionale, europeo Contenuto da rappresentare: Rappresentazione a tre strati (regionale alla base, nazionale al centro, europeo in sommità) che colloca gli atti normativi e ne dichiara la funzione rispetto alla riforma; obiettivo: mostrare la convergenza dei tre livelli e l’iscrizione della figura nei livelli essenziali di assistenza. Codice </w:t>
            </w:r>
            <w:proofErr w:type="spellStart"/>
            <w:r>
              <w:rPr>
                <w:b/>
                <w:bCs/>
                <w:color w:val="FFFFFF"/>
                <w:sz w:val="18"/>
                <w:szCs w:val="18"/>
              </w:rPr>
              <w:t>Canva-Friendly</w:t>
            </w:r>
            <w:proofErr w:type="spellEnd"/>
            <w:r>
              <w:rPr>
                <w:b/>
                <w:bCs/>
                <w:color w:val="FFFFFF"/>
                <w:sz w:val="18"/>
                <w:szCs w:val="18"/>
              </w:rPr>
              <w:t xml:space="preserve"> (scheda di generazione) TIPO: diagramma a tre strati (stratificazione regionale → nazionale → europeo) FORMATO: 1280 × 900 </w:t>
            </w:r>
            <w:proofErr w:type="spellStart"/>
            <w:r>
              <w:rPr>
                <w:b/>
                <w:bCs/>
                <w:color w:val="FFFFFF"/>
                <w:sz w:val="18"/>
                <w:szCs w:val="18"/>
              </w:rPr>
              <w:t>px</w:t>
            </w:r>
            <w:proofErr w:type="spellEnd"/>
            <w:r>
              <w:rPr>
                <w:b/>
                <w:bCs/>
                <w:color w:val="FFFFFF"/>
                <w:sz w:val="18"/>
                <w:szCs w:val="18"/>
              </w:rPr>
              <w:t xml:space="preserve">; adatta a slide e ad A4 SFONDO: gradiente verticale bianco #FFFFFF 85% → crema #F3EAD6 15% PALETTE: strato regionale #101F3C; nazionale #244272; europeo #2E5AA0; cardine in oro #C49A48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titoli di strato </w:t>
            </w:r>
            <w:proofErr w:type="spellStart"/>
            <w:r>
              <w:rPr>
                <w:b/>
                <w:bCs/>
                <w:color w:val="FFFFFF"/>
                <w:sz w:val="18"/>
                <w:szCs w:val="18"/>
              </w:rPr>
              <w:t>SemiBold</w:t>
            </w:r>
            <w:proofErr w:type="spellEnd"/>
            <w:r>
              <w:rPr>
                <w:b/>
                <w:bCs/>
                <w:color w:val="FFFFFF"/>
                <w:sz w:val="18"/>
                <w:szCs w:val="18"/>
              </w:rPr>
              <w:t>, voci Regular TITOLO: «La cornice normativa su tre livelli» STRATO REGIONALE: «Legge regionale 11/2023 — istituzione, sedi, convenzione, filtro, Osservatorio» STRATO NAZIONALE: «DM 77/2022 (Case della Comunità) · Missione 6 PNRR · Accordo specialistica ambulatoriale · Livelli essenziali di assistenza» STRATO EUROPEO: «Regolamento (UE) 2021/2282 sulla valutazione delle tecnologie sanitarie · Regolamento (UE) sull’intelligenza artificiale» CARDINE (oro, in evidenza): «Iscrizione nei livelli essenziali → finanziabilità entro i vincoli di rientro» VARIANTE 3D (opzionale): strati a parallelepipedo sovrapposti con leggera prospettiva, etichette in piano FONTE (piè di figura): atti citati in tabella 2.7</w:t>
            </w:r>
          </w:p>
          <w:p w14:paraId="46AA774C" w14:textId="77777777" w:rsidR="007C4598" w:rsidRDefault="00000000">
            <w:pPr>
              <w:spacing w:before="120" w:after="60"/>
              <w:jc w:val="center"/>
            </w:pPr>
            <w:r>
              <w:rPr>
                <w:noProof/>
              </w:rPr>
              <w:drawing>
                <wp:inline distT="0" distB="0" distL="0" distR="0" wp14:anchorId="72D91F6F" wp14:editId="0E97E4A1">
                  <wp:extent cx="8229600" cy="4629150"/>
                  <wp:effectExtent l="0" t="0" r="0" b="0"/>
                  <wp:docPr id="113" name="Infografica13" descr="La cornice normativa su tre liv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Infografica13"/>
                          <pic:cNvPicPr>
                            <a:picLocks noChangeAspect="1" noChangeArrowheads="1"/>
                          </pic:cNvPicPr>
                        </pic:nvPicPr>
                        <pic:blipFill>
                          <a:blip r:embed="rId15">
                            <a:extLst>
                              <a:ext uri="{96DAC541-7B7A-43D3-8B79-37D633B846F1}">
                                <asvg:svgBlip xmlns:asvg="http://schemas.microsoft.com/office/drawing/2016/SVG/main" r:embed="rId16"/>
                              </a:ext>
                            </a:extLst>
                          </a:blip>
                          <a:stretch>
                            <a:fillRect/>
                          </a:stretch>
                        </pic:blipFill>
                        <pic:spPr bwMode="auto">
                          <a:xfrm>
                            <a:off x="0" y="0"/>
                            <a:ext cx="8229600" cy="4629150"/>
                          </a:xfrm>
                          <a:prstGeom prst="rect">
                            <a:avLst/>
                          </a:prstGeom>
                          <a:noFill/>
                          <a:ln>
                            <a:noFill/>
                          </a:ln>
                        </pic:spPr>
                      </pic:pic>
                    </a:graphicData>
                  </a:graphic>
                </wp:inline>
              </w:drawing>
            </w:r>
          </w:p>
          <w:p w14:paraId="14AF7C6C" w14:textId="77777777" w:rsidR="007C4598" w:rsidRDefault="00000000">
            <w:pPr>
              <w:spacing w:before="40" w:after="200"/>
              <w:jc w:val="center"/>
            </w:pPr>
            <w:r>
              <w:rPr>
                <w:i/>
                <w:color w:val="2E5A8F"/>
                <w:sz w:val="16"/>
                <w:szCs w:val="16"/>
              </w:rPr>
              <w:t>Fig. 2.6 — La cornice normativa su tre livelli. Elaborazione dello studio · Luigi De Michele · Giugno 2026.</w:t>
            </w:r>
          </w:p>
        </w:tc>
      </w:tr>
    </w:tbl>
    <w:p w14:paraId="10E7F260" w14:textId="77777777" w:rsidR="007C4598" w:rsidRDefault="007C4598"/>
    <w:p w14:paraId="2D4A0898" w14:textId="77777777" w:rsidR="007C4598" w:rsidRDefault="00000000">
      <w:pPr>
        <w:jc w:val="both"/>
      </w:pPr>
      <w:r>
        <w:t xml:space="preserve">La convergenza dei tre livelli normativi conclude la ricostruzione del bisogno e del contesto. Essa colloca la riforma pugliese all’incrocio tra una legge regionale che per prima in Italia ha istituito il servizio, una programmazione nazionale che ne predispone le sedi, le risorse e il riferimento convenzionale entro i livelli essenziali, e una cornice europea che ne fissa i criteri di valutazione e di </w:t>
      </w:r>
      <w:proofErr w:type="spellStart"/>
      <w:r>
        <w:t>governance</w:t>
      </w:r>
      <w:proofErr w:type="spellEnd"/>
      <w:r>
        <w:t xml:space="preserve"> tecnologica. È in questo quadro che le parti successive dello studio analizzano l’intervento, ne accertano l’efficacia, ne rinegoziano i costi e i benefici lungo la cascata delle figure e dei domini, e ne pianificano l’attuazione. La presente parte ha stabilito la base fattuale di tale percorso: la dimensione del bisogno, la struttura del contesto, l’adeguatezza dell’offerta, i vincoli finanziari, la mappa del carico e la cornice istituzionale. Su questa base, e secondo l’ordinamento della cascata gerarchica piramidale, procede l’opera.</w:t>
      </w:r>
    </w:p>
    <w:p w14:paraId="0C388025" w14:textId="77777777" w:rsidR="007C4598" w:rsidRDefault="007C4598"/>
    <w:p w14:paraId="6E98C582" w14:textId="77777777" w:rsidR="007C4598" w:rsidRDefault="00000000">
      <w:pPr>
        <w:pStyle w:val="Titolo2"/>
        <w:spacing w:before="200" w:after="100"/>
      </w:pPr>
      <w:r>
        <w:rPr>
          <w:sz w:val="22"/>
          <w:szCs w:val="22"/>
        </w:rPr>
        <w:t>Quadro Conclusivo economico-sociale e multidisciplinare integrale</w:t>
      </w:r>
    </w:p>
    <w:p w14:paraId="75DE03A9" w14:textId="77777777" w:rsidR="007C4598" w:rsidRDefault="007C4598"/>
    <w:p w14:paraId="613F58C3" w14:textId="77777777" w:rsidR="007C4598" w:rsidRDefault="00000000">
      <w:pPr>
        <w:jc w:val="both"/>
      </w:pPr>
      <w:r>
        <w:t xml:space="preserve">Le sei voci di questa parte, lette congiuntamente, restituiscono un quadro economico-sociale e multidisciplinare unitario, che conviene ricomporre prima di procedere. Il bisogno di salute mentale in Puglia è ampio e in larga parte sommerso, con un ordine di grandezza di 780.000 persone in disagio comune o </w:t>
      </w:r>
      <w:proofErr w:type="spellStart"/>
      <w:r>
        <w:t>sottosoglia</w:t>
      </w:r>
      <w:proofErr w:type="spellEnd"/>
      <w:r>
        <w:t xml:space="preserve"> a fronte di una presa in carico specialistica di circa 55.000 utenti; il divario tra le due grandezze, accresciuto da una sotto-rilevazione di matrice culturale e da un basso consumo di antidepressivi, definisce il problema centrale cui la riforma si rivolge. A questo bisogno si sovrappone una doppia pressione, dell’invecchiamento e della deprivazione, che ne amplifica la portata e ne sposta la composizione verso i quadri dell’età avanzata e della cronicità, concentrandolo nelle aree meno servite. L’offerta sanitaria, dal canto suo, è strutturalmente inadeguata: priva di un livello psicologico territoriale, gravata da una medicina generale in rapido arretramento, e attraversata da flussi impropri verso il pronto soccorso e fuori regione. Il tutto entro un vincolo di bilancio stringente, segnato dal disavanzo e dai vincoli di rientro, che impone a ogni impiego di risorse una giustificazione economica.</w:t>
      </w:r>
    </w:p>
    <w:p w14:paraId="563D201B" w14:textId="77777777" w:rsidR="007C4598" w:rsidRDefault="007C4598"/>
    <w:p w14:paraId="0205A1E6" w14:textId="77777777" w:rsidR="007C4598" w:rsidRDefault="00000000">
      <w:pPr>
        <w:jc w:val="both"/>
      </w:pPr>
      <w:r>
        <w:t xml:space="preserve">La lettura economica di questo quadro muove da una distinzione che i vincoli metodologici invarianti impongono e che la presente parte ha mantenuto con rigore: quella tra le grandezze direttamente fiscali e quelle sociali e indirette. Sul versante fiscale diretto, la parte ha individuato — senza quantificarli, riservandone la misura alle parti dedicate — tre margini caratteristici del caso pugliese: la spesa farmaceutica inappropriata, segnalata dal paradosso di un consumo complessivo elevato e di una bassa intercettazione del disagio; il ricorso improprio al pronto soccorso, con circa 914.000 accessi inappropriati su 1.142.448; e la mobilità sanitaria passiva, con un saldo negativo nell’ordine dei 240-253 milioni di euro, che fa della domanda trattenuta sul territorio un risparmio diretto per il bilancio. Sul versante sociale e indiretto, la mappa del carico </w:t>
      </w:r>
      <w:proofErr w:type="spellStart"/>
      <w:r>
        <w:t>multidominio</w:t>
      </w:r>
      <w:proofErr w:type="spellEnd"/>
      <w:r>
        <w:t xml:space="preserve"> ha mostrato che il costo della cattiva salute mentale, di ordine superiore al 4 per cento del prodotto secondo le stime internazionali, grava in misura prevalente non sulla sanità, ma sul lavoro, sulla previdenza, sull’assistenza e sul prodotto economico nel suo complesso.</w:t>
      </w:r>
    </w:p>
    <w:p w14:paraId="2D20B239" w14:textId="77777777" w:rsidR="007C4598" w:rsidRDefault="007C4598"/>
    <w:p w14:paraId="5A61FAFE" w14:textId="77777777" w:rsidR="007C4598" w:rsidRDefault="00000000">
      <w:pPr>
        <w:jc w:val="both"/>
      </w:pPr>
      <w:r>
        <w:t xml:space="preserve">La dimensione multidisciplinare integrale del quadro emerge precisamente da questa distribuzione del carico. La cattiva salute mentale non è un problema settoriale, ma un fenomeno che attraversa tredici domini — sanitario, lavorativo, pensionistico, produttivistico, assistenzialistico, </w:t>
      </w:r>
      <w:proofErr w:type="spellStart"/>
      <w:r>
        <w:t>welfaristico</w:t>
      </w:r>
      <w:proofErr w:type="spellEnd"/>
      <w:r>
        <w:t xml:space="preserve">, </w:t>
      </w:r>
      <w:proofErr w:type="spellStart"/>
      <w:r>
        <w:t>prevenzionalistico</w:t>
      </w:r>
      <w:proofErr w:type="spellEnd"/>
      <w:r>
        <w:t>, criminologico, burocratico, culturale, pedagogico e scolastico, sociale e finanziario — e che in ciascuno di essi genera costi distinti. La funzione dello Psicologo di Base, collocato all’apice della cascata gerarchica piramidale, agisce su questi domini non separatamente, ma per via di propagazione: intercettando il disagio a monte, attraverso la prevenzione secondaria e terziaria, essa riduce l’incidenza e la gravità dei quadri che a valle generano la spesa sanitaria, la perdita di produttività, le prestazioni previdenziali, il carico assistenziale e gli altri costi. È questa propagazione lungo la cascata che spiega come una riforma collocata nel settore sanitario, e di costo contenuto, possa produrre ricadute economico-sociali di perimetro assai più ampio del proprio.</w:t>
      </w:r>
    </w:p>
    <w:p w14:paraId="7BE6BB49" w14:textId="77777777" w:rsidR="007C4598" w:rsidRDefault="007C4598"/>
    <w:p w14:paraId="5DABD7A1" w14:textId="77777777" w:rsidR="007C4598" w:rsidRDefault="00000000">
      <w:pPr>
        <w:jc w:val="both"/>
      </w:pPr>
      <w:r>
        <w:t xml:space="preserve">Il quadro economico-sociale così composto non autorizza, in questa sede, alcuna conclusione sul saldo della riforma, che è il prodotto della rinegoziazione integrale dei costi e dei benefici sviluppata nelle parti dedicate. Esso fissa piuttosto le quantità di partenza e i margini, e ribadisce i vincoli entro cui la loro traduzione economica dovrà avvenire: il rendimento degli investimenti in salute mentale espresso nei soli intervalli corretti, compresi tra 2,3 e 3,0 a 1 per i benefici economici e tra 3,3 e 5,7 a 1 con i ritorni in salute; il </w:t>
      </w:r>
      <w:proofErr w:type="spellStart"/>
      <w:r>
        <w:t>caveat</w:t>
      </w:r>
      <w:proofErr w:type="spellEnd"/>
      <w:r>
        <w:t xml:space="preserve"> sull’assenza di significatività statistica dei risparmi sanitari; la separazione rigorosa tra ricadute fiscali e sociali, senza doppi conteggi; e l’adozione di bande prudenziali e di previsioni falsificabili per ogni proiezione. È entro questi vincoli, e non al di fuori di essi, che la portata multidisciplinare integrale della riforma sarà misurata.</w:t>
      </w:r>
    </w:p>
    <w:p w14:paraId="247C1BEC" w14:textId="77777777" w:rsidR="007C4598" w:rsidRDefault="007C4598"/>
    <w:p w14:paraId="4847FDCE" w14:textId="77777777" w:rsidR="007C4598" w:rsidRDefault="00000000">
      <w:pPr>
        <w:jc w:val="both"/>
      </w:pPr>
      <w:r>
        <w:t xml:space="preserve">La tabella seguente ricompone in un unico prospetto le grandezze cardine della parte, distinguendole secondo la loro natura — bisogno, offerta, vincolo finanziario, carico </w:t>
      </w:r>
      <w:proofErr w:type="spellStart"/>
      <w:r>
        <w:t>multidominio</w:t>
      </w:r>
      <w:proofErr w:type="spellEnd"/>
      <w:r>
        <w:t xml:space="preserve"> — e richiamando, per ciascuna, la sede in cui la sua traduzione economica sarà sviluppata. Essa costituisce il ponte tra la base fattuale qui stabilita e la valutazione economica delle parti successive.</w:t>
      </w:r>
    </w:p>
    <w:p w14:paraId="0CE0B635" w14:textId="77777777" w:rsidR="007C4598" w:rsidRDefault="007C4598"/>
    <w:p w14:paraId="23BAD816" w14:textId="77777777" w:rsidR="007C4598" w:rsidRDefault="00000000">
      <w:pPr>
        <w:jc w:val="both"/>
      </w:pPr>
      <w:r>
        <w:rPr>
          <w:b/>
          <w:bCs/>
        </w:rPr>
        <w:t>Tabella 2.8 — Quadro conclusivo: grandezze cardine della Parte II</w:t>
      </w:r>
    </w:p>
    <w:p w14:paraId="52008CBF"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0838EC56"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A246389" w14:textId="77777777" w:rsidR="007C4598" w:rsidRDefault="00000000">
            <w:pPr>
              <w:spacing w:after="40"/>
            </w:pPr>
            <w:r>
              <w:rPr>
                <w:b/>
                <w:bCs/>
                <w:color w:val="FFFFFF"/>
                <w:sz w:val="18"/>
                <w:szCs w:val="18"/>
              </w:rPr>
              <w:t>Ambito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10B6B0A" w14:textId="77777777" w:rsidR="007C4598" w:rsidRDefault="00000000">
            <w:pPr>
              <w:spacing w:after="40"/>
            </w:pPr>
            <w:r>
              <w:rPr>
                <w:b/>
                <w:bCs/>
                <w:color w:val="FFFFFF"/>
                <w:sz w:val="18"/>
                <w:szCs w:val="18"/>
              </w:rPr>
              <w:t>Grandezza cardine</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E164A9C" w14:textId="77777777" w:rsidR="007C4598" w:rsidRDefault="00000000">
            <w:pPr>
              <w:spacing w:after="40"/>
            </w:pPr>
            <w:r>
              <w:rPr>
                <w:b/>
                <w:bCs/>
                <w:color w:val="FFFFFF"/>
                <w:sz w:val="18"/>
                <w:szCs w:val="18"/>
              </w:rPr>
              <w:t>Sede della traduzione economica</w:t>
            </w:r>
          </w:p>
        </w:tc>
      </w:tr>
      <w:tr w:rsidR="007C4598" w14:paraId="45505862"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ACF526C" w14:textId="77777777" w:rsidR="007C4598" w:rsidRDefault="00000000">
            <w:pPr>
              <w:spacing w:after="40"/>
            </w:pPr>
            <w:r>
              <w:t>Bisogno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E99AF08" w14:textId="77777777" w:rsidR="007C4598" w:rsidRDefault="00000000">
            <w:pPr>
              <w:spacing w:after="40"/>
            </w:pPr>
            <w:r>
              <w:t>~ 780.000 in disagio comune; ~ 55.000 in carico ai servizi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8DCAFC7" w14:textId="77777777" w:rsidR="007C4598" w:rsidRDefault="00000000">
            <w:pPr>
              <w:spacing w:after="40"/>
            </w:pPr>
            <w:r>
              <w:t>Parti VI, IX (efficacia, domini)</w:t>
            </w:r>
          </w:p>
        </w:tc>
      </w:tr>
      <w:tr w:rsidR="007C4598" w14:paraId="5F3A0AE1"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65B8171" w14:textId="77777777" w:rsidR="007C4598" w:rsidRDefault="00000000">
            <w:pPr>
              <w:spacing w:after="40"/>
            </w:pPr>
            <w:r>
              <w:t>Bisogno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F819DB8" w14:textId="77777777" w:rsidR="007C4598" w:rsidRDefault="00000000">
            <w:pPr>
              <w:spacing w:after="40"/>
            </w:pPr>
            <w:r>
              <w:t>Divario di trattamento (sotto-intercettazione)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A8C9B98" w14:textId="77777777" w:rsidR="007C4598" w:rsidRDefault="00000000">
            <w:pPr>
              <w:spacing w:after="40"/>
            </w:pPr>
            <w:r>
              <w:t>Parti VI, IX</w:t>
            </w:r>
          </w:p>
        </w:tc>
      </w:tr>
      <w:tr w:rsidR="007C4598" w14:paraId="6484820B"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0C052D2" w14:textId="77777777" w:rsidR="007C4598" w:rsidRDefault="00000000">
            <w:pPr>
              <w:spacing w:after="40"/>
            </w:pPr>
            <w:r>
              <w:t>Contesto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D363081" w14:textId="77777777" w:rsidR="007C4598" w:rsidRDefault="00000000">
            <w:pPr>
              <w:spacing w:after="40"/>
            </w:pPr>
            <w:r>
              <w:t>Doppia pressione: invecchiamento e deprivazione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2EFCC7C" w14:textId="77777777" w:rsidR="007C4598" w:rsidRDefault="00000000">
            <w:pPr>
              <w:spacing w:after="40"/>
            </w:pPr>
            <w:r>
              <w:t>Parti IX, XII (domini, equità)</w:t>
            </w:r>
          </w:p>
        </w:tc>
      </w:tr>
      <w:tr w:rsidR="007C4598" w14:paraId="0C27C17C"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A7DC766" w14:textId="77777777" w:rsidR="007C4598" w:rsidRDefault="00000000">
            <w:pPr>
              <w:spacing w:after="40"/>
            </w:pPr>
            <w:r>
              <w:t>Offerta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6576101" w14:textId="77777777" w:rsidR="007C4598" w:rsidRDefault="00000000">
            <w:pPr>
              <w:spacing w:after="40"/>
            </w:pPr>
            <w:r>
              <w:t>&lt; 3 psicologi/100.000; medicina generale −26,3% (2019–2024)</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131521B" w14:textId="77777777" w:rsidR="007C4598" w:rsidRDefault="00000000">
            <w:pPr>
              <w:spacing w:after="40"/>
            </w:pPr>
            <w:r>
              <w:t>Parti IV, VII (modello, costi)</w:t>
            </w:r>
          </w:p>
        </w:tc>
      </w:tr>
      <w:tr w:rsidR="007C4598" w14:paraId="08FB0953"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C366645" w14:textId="77777777" w:rsidR="007C4598" w:rsidRDefault="00000000">
            <w:pPr>
              <w:spacing w:after="40"/>
            </w:pPr>
            <w:r>
              <w:t>Offerta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DFE560E" w14:textId="77777777" w:rsidR="007C4598" w:rsidRDefault="00000000">
            <w:pPr>
              <w:spacing w:after="40"/>
            </w:pPr>
            <w:r>
              <w:t>Pronto soccorso: ~ 914.000 accessi impropri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13853FE" w14:textId="77777777" w:rsidR="007C4598" w:rsidRDefault="00000000">
            <w:pPr>
              <w:spacing w:after="40"/>
            </w:pPr>
            <w:r>
              <w:t>Parte VIII (risparmi diretti)</w:t>
            </w:r>
          </w:p>
        </w:tc>
      </w:tr>
      <w:tr w:rsidR="007C4598" w14:paraId="31F87400"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1A164A9" w14:textId="77777777" w:rsidR="007C4598" w:rsidRDefault="00000000">
            <w:pPr>
              <w:spacing w:after="40"/>
            </w:pPr>
            <w:r>
              <w:t>Vincolo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79F6104" w14:textId="77777777" w:rsidR="007C4598" w:rsidRDefault="00000000">
            <w:pPr>
              <w:spacing w:after="40"/>
            </w:pPr>
            <w:r>
              <w:t>Disavanzo ~ 350 mln; vincoli di rientro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859A414" w14:textId="77777777" w:rsidR="007C4598" w:rsidRDefault="00000000">
            <w:pPr>
              <w:spacing w:after="40"/>
            </w:pPr>
            <w:r>
              <w:t>Parti X, XIV (saldo, sostenibilità)</w:t>
            </w:r>
          </w:p>
        </w:tc>
      </w:tr>
      <w:tr w:rsidR="007C4598" w14:paraId="7AB8A4AF"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386EA96" w14:textId="77777777" w:rsidR="007C4598" w:rsidRDefault="00000000">
            <w:pPr>
              <w:spacing w:after="40"/>
            </w:pPr>
            <w:r>
              <w:t>Vincolo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9E23405" w14:textId="77777777" w:rsidR="007C4598" w:rsidRDefault="00000000">
            <w:pPr>
              <w:spacing w:after="40"/>
            </w:pPr>
            <w:r>
              <w:t>Mobilità passiva ~ −240/−253 mln</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5F247C8" w14:textId="77777777" w:rsidR="007C4598" w:rsidRDefault="00000000">
            <w:pPr>
              <w:spacing w:after="40"/>
            </w:pPr>
            <w:r>
              <w:t>Parte VIII (risparmi diretti)</w:t>
            </w:r>
          </w:p>
        </w:tc>
      </w:tr>
      <w:tr w:rsidR="007C4598" w14:paraId="6C1BBFCD"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892D665" w14:textId="77777777" w:rsidR="007C4598" w:rsidRDefault="00000000">
            <w:pPr>
              <w:spacing w:after="40"/>
            </w:pPr>
            <w:r>
              <w:t>Vincolo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437AE17" w14:textId="77777777" w:rsidR="007C4598" w:rsidRDefault="00000000">
            <w:pPr>
              <w:spacing w:after="40"/>
            </w:pPr>
            <w:r>
              <w:t>Farmaceutica: alto consumo, bassa intercettazione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71E9A8B" w14:textId="77777777" w:rsidR="007C4598" w:rsidRDefault="00000000">
            <w:pPr>
              <w:spacing w:after="40"/>
            </w:pPr>
            <w:r>
              <w:t>Parte VIII (risparmi diretti)</w:t>
            </w:r>
          </w:p>
        </w:tc>
      </w:tr>
      <w:tr w:rsidR="007C4598" w14:paraId="179BBFDB"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F9A1EAB" w14:textId="77777777" w:rsidR="007C4598" w:rsidRDefault="00000000">
            <w:pPr>
              <w:spacing w:after="40"/>
            </w:pPr>
            <w:r>
              <w:t>Carico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697886C" w14:textId="77777777" w:rsidR="007C4598" w:rsidRDefault="00000000">
            <w:pPr>
              <w:spacing w:after="40"/>
            </w:pPr>
            <w:r>
              <w:t xml:space="preserve">Carico </w:t>
            </w:r>
            <w:proofErr w:type="spellStart"/>
            <w:r>
              <w:t>multidominio</w:t>
            </w:r>
            <w:proofErr w:type="spellEnd"/>
            <w:r>
              <w:t xml:space="preserve"> &gt; 4% del prodotto (stime UE)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E596C48" w14:textId="77777777" w:rsidR="007C4598" w:rsidRDefault="00000000">
            <w:pPr>
              <w:spacing w:after="40"/>
            </w:pPr>
            <w:r>
              <w:t>Parte IX (benefici indiretti)</w:t>
            </w:r>
          </w:p>
        </w:tc>
      </w:tr>
      <w:tr w:rsidR="007C4598" w14:paraId="698CDD94"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D1BE2CA" w14:textId="77777777" w:rsidR="007C4598" w:rsidRDefault="00000000">
            <w:pPr>
              <w:spacing w:after="40"/>
            </w:pPr>
            <w:r>
              <w:t>Cornice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1D83BFF" w14:textId="77777777" w:rsidR="007C4598" w:rsidRDefault="00000000">
            <w:pPr>
              <w:spacing w:after="40"/>
            </w:pPr>
            <w:r>
              <w:t>Iscrizione nei livelli essenziali; legge regionale 11/2023</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F826C99" w14:textId="77777777" w:rsidR="007C4598" w:rsidRDefault="00000000">
            <w:pPr>
              <w:spacing w:after="40"/>
            </w:pPr>
            <w:r>
              <w:t>Parti XIII, XIV (profili, attuazione)</w:t>
            </w:r>
          </w:p>
        </w:tc>
      </w:tr>
    </w:tbl>
    <w:p w14:paraId="5C1D7937" w14:textId="77777777" w:rsidR="007C4598" w:rsidRDefault="007C4598"/>
    <w:p w14:paraId="71C015E2" w14:textId="77777777" w:rsidR="007C4598" w:rsidRDefault="00000000">
      <w:pPr>
        <w:jc w:val="both"/>
      </w:pPr>
      <w:r>
        <w:rPr>
          <w:i/>
          <w:iCs/>
        </w:rPr>
        <w:t>Prospetto di raccordo. Nessuna grandezza è qui tradotta in saldo: la rinegoziazione integrale dei costi e dei benefici, distinta tra ricadute fiscali e sociali, è sviluppata nelle Parti VII–X secondo l’ordinamento della cascata.</w:t>
      </w:r>
    </w:p>
    <w:p w14:paraId="7114764F" w14:textId="77777777" w:rsidR="007C4598" w:rsidRDefault="007C4598"/>
    <w:p w14:paraId="390BB49A" w14:textId="77777777" w:rsidR="007C4598" w:rsidRDefault="00000000">
      <w:pPr>
        <w:pStyle w:val="Titolo2"/>
        <w:spacing w:before="200" w:after="100"/>
      </w:pPr>
      <w:r>
        <w:rPr>
          <w:sz w:val="22"/>
          <w:szCs w:val="22"/>
        </w:rPr>
        <w:t>Conclusione</w:t>
      </w:r>
    </w:p>
    <w:p w14:paraId="111C542F" w14:textId="77777777" w:rsidR="007C4598" w:rsidRDefault="007C4598"/>
    <w:p w14:paraId="06D6598F" w14:textId="77777777" w:rsidR="007C4598" w:rsidRDefault="00000000">
      <w:pPr>
        <w:jc w:val="both"/>
      </w:pPr>
      <w:r>
        <w:t>La Parte II ha stabilito la base fattuale dell’opera, misurando il problema di salute cui la riforma intende rispondere e ricostruendo il contesto entro cui essa opera. Ne è emerso un divario di trattamento strutturale, tra un bisogno ampio e in larga parte sommerso e una risposta esigua e tardiva; una doppia pressione, dell’invecchiamento e della deprivazione, che amplifica e ricompone quel bisogno; un’offerta sanitaria priva di un livello territoriale dedicato e indebolita dalla crisi della medicina generale; un vincolo di bilancio stringente, che impone giustificazione economica a ogni impiego di risorse; una mappa del carico che mostra come la cattiva salute mentale gravi su tredici domini e in misura prevalente al di fuori della sanità; e una cornice normativa coerente su tre livelli, che fonda la riforma e ne predispone le sedi, le risorse e i criteri di valutazione.</w:t>
      </w:r>
    </w:p>
    <w:p w14:paraId="68366530" w14:textId="77777777" w:rsidR="007C4598" w:rsidRDefault="007C4598"/>
    <w:p w14:paraId="09D4E305" w14:textId="77777777" w:rsidR="007C4598" w:rsidRDefault="00000000">
      <w:pPr>
        <w:jc w:val="both"/>
      </w:pPr>
      <w:r>
        <w:t>Questi elementi, presi insieme, definiscono la posta in gioco della decisione e ne fondano la rilevanza. Il servizio di Psicologia di Base non si configura come un’aggiunta a un sistema saturo, ma come il livello mancante di un sistema squilibrato: collocato all’apice della cascata gerarchica piramidale e nella coppia clinica con la medicina generale, esso ha la funzione di intercettare il disagio a monte, di alleggerire i livelli a maggiore intensità e costo e di propagare, attraverso la prevenzione, i propri effetti lungo l’intera piramide dei domini. La misura di tali effetti — il costo della figura lungo la cascata delle figure, i risparmi diretti per il bilancio sanitario, i benefici indiretti nei domini multidisciplinari, e il saldo che ne risulta — è l’oggetto delle parti successive, ed è ad esse che la presente parte rinvia ogni quantificazione, avendo qui stabilito, e soltanto stabilito, le quantità di partenza e i vincoli del loro impiego.</w:t>
      </w:r>
    </w:p>
    <w:p w14:paraId="4715DE9A" w14:textId="77777777" w:rsidR="007C4598" w:rsidRDefault="007C4598"/>
    <w:p w14:paraId="2D09A518" w14:textId="77777777" w:rsidR="007C4598" w:rsidRDefault="00000000">
      <w:pPr>
        <w:jc w:val="both"/>
      </w:pPr>
      <w:r>
        <w:t>In coerenza con il principio ordinatore dell’opera, la trattazione procede ora dalla base fattuale all’architettura delle figure. La Parte III muove dallo Psicologo di Base come apice e origine, e percorre l’intera cascata delle figure direttamente e indirettamente connesse alla riforma, ordinandole per influenza nel progetto e per capacità di generare rientro economico o revisione della spesa; è in quella sede che il perimetro multidisciplinare integrale, qui anticipato nella mappa del carico, riceve la propria struttura formale, e che la rinegoziazione dei costi e dei benefici trova l’ordinamento lungo il quale si svolgerà.</w:t>
      </w:r>
    </w:p>
    <w:p w14:paraId="660F59D1" w14:textId="77777777" w:rsidR="007C4598" w:rsidRDefault="007C4598"/>
    <w:p w14:paraId="75F5876E" w14:textId="77777777" w:rsidR="007C4598" w:rsidRDefault="00000000">
      <w:pPr>
        <w:pStyle w:val="Titolo2"/>
        <w:spacing w:before="200" w:after="100"/>
      </w:pPr>
      <w:r>
        <w:rPr>
          <w:sz w:val="22"/>
          <w:szCs w:val="22"/>
        </w:rPr>
        <w:t>Note Bibliografiche Integrali</w:t>
      </w:r>
    </w:p>
    <w:p w14:paraId="6759855D" w14:textId="77777777" w:rsidR="007C4598" w:rsidRDefault="007C4598"/>
    <w:p w14:paraId="705E2B1B" w14:textId="77777777" w:rsidR="007C4598" w:rsidRDefault="00000000">
      <w:pPr>
        <w:jc w:val="both"/>
      </w:pPr>
      <w:r>
        <w:t>Le note che seguono documentano in forma estesa le fonti utilizzate nell’intera Parte II, in aggiunta ai richiami sintetici riportati nelle note a piè di pagina. Ciascuna nota reca il nome della fonte, il riferimento di reperimento e un mini-riassunto del contenuto rilevante. L’ordinamento segue, per quanto possibile, la progressione delle voci.</w:t>
      </w:r>
    </w:p>
    <w:p w14:paraId="67A8A158" w14:textId="77777777" w:rsidR="007C4598" w:rsidRDefault="007C4598"/>
    <w:p w14:paraId="4B429472" w14:textId="77777777" w:rsidR="007C4598" w:rsidRDefault="00000000">
      <w:pPr>
        <w:jc w:val="both"/>
      </w:pPr>
      <w:r>
        <w:rPr>
          <w:b/>
          <w:bCs/>
        </w:rPr>
        <w:t>1. ISTAT — Censimento permanente della popolazione, Puglia (2024)</w:t>
      </w:r>
      <w:r>
        <w:t xml:space="preserve">  —  [https://www.istat.it/](https://www.istat.it/)  —  </w:t>
      </w:r>
      <w:r>
        <w:rPr>
          <w:i/>
          <w:iCs/>
        </w:rPr>
        <w:t>Rileva una popolazione residente di 3.877.395 abitanti (circa il 6,6% del totale nazionale), articolata nel Servizio sanitario regionale in 6 aziende sanitarie locali (Bari, Barletta-Andria-Trani, Brindisi, Foggia, Lecce, Taranto) e 45 distretti.</w:t>
      </w:r>
    </w:p>
    <w:p w14:paraId="5445AD55" w14:textId="77777777" w:rsidR="007C4598" w:rsidRDefault="007C4598"/>
    <w:p w14:paraId="10178081" w14:textId="77777777" w:rsidR="007C4598" w:rsidRDefault="00000000">
      <w:pPr>
        <w:jc w:val="both"/>
      </w:pPr>
      <w:r>
        <w:rPr>
          <w:b/>
          <w:bCs/>
        </w:rPr>
        <w:t>2. ISTAT — Indicatori demografici e proiezioni della popolazione</w:t>
      </w:r>
      <w:r>
        <w:t xml:space="preserve">  —  [https://www.istat.it/it/popolazione-e-famiglie](https://www.istat.it/it/popolazione-e-famiglie)  —  </w:t>
      </w:r>
      <w:r>
        <w:rPr>
          <w:i/>
          <w:iCs/>
        </w:rPr>
        <w:t>Documenta l’invecchiamento accelerato della Puglia (età media da 39,3 nel 2002 a 46,4 nel 2024; indice di vecchiaia 200,8) e proietta 3.769.000 abitanti al 2030 (−3,5%) e 3.229.000 al 2050 (−17,4% sul 2023), con la quota di ultrasessantacinquenni dal 24,2% al 37,1% e gli ultrasettantacinquenni da 461.000 a 658.000 (+43%).</w:t>
      </w:r>
    </w:p>
    <w:p w14:paraId="70A99A8B" w14:textId="77777777" w:rsidR="007C4598" w:rsidRDefault="007C4598"/>
    <w:p w14:paraId="359AC3DA" w14:textId="77777777" w:rsidR="007C4598" w:rsidRDefault="00000000">
      <w:pPr>
        <w:jc w:val="both"/>
      </w:pPr>
      <w:r>
        <w:rPr>
          <w:b/>
          <w:bCs/>
        </w:rPr>
        <w:t>3. ISTAT — Eterogeneità demografica territoriale (province pugliesi)</w:t>
      </w:r>
      <w:r>
        <w:t xml:space="preserve">  —  [https://www.istat.it/](https://www.istat.it/)  —  </w:t>
      </w:r>
      <w:r>
        <w:rPr>
          <w:i/>
          <w:iCs/>
        </w:rPr>
        <w:t>Rileva che la provincia di Lecce è la più anziana (età media 47,5 anni; indice di vecchiaia 229,8) e la provincia di Barletta-Andria-Trani la più giovane (44,9 anni; indice 169,1), a fondamento della necessità di una programmazione differenziata per area.</w:t>
      </w:r>
    </w:p>
    <w:p w14:paraId="0D5857B1" w14:textId="77777777" w:rsidR="007C4598" w:rsidRDefault="007C4598"/>
    <w:p w14:paraId="1128DE72" w14:textId="77777777" w:rsidR="007C4598" w:rsidRDefault="00000000">
      <w:pPr>
        <w:jc w:val="both"/>
      </w:pPr>
      <w:r>
        <w:rPr>
          <w:b/>
          <w:bCs/>
        </w:rPr>
        <w:t>4. Istituto Superiore di Sanità — Sorveglianza PASSI</w:t>
      </w:r>
      <w:r>
        <w:t xml:space="preserve">  —  [https://www.epicentro.iss.it/passi/](https://www.epicentro.iss.it/passi/)  —  </w:t>
      </w:r>
      <w:r>
        <w:rPr>
          <w:i/>
          <w:iCs/>
        </w:rPr>
        <w:t>Rileva per la Puglia il 3,6% degli adulti tra i 18 e i 64 anni con sintomi depressivi clinicamente rilevanti (circa 80.000 persone), valore inferiore alla media nazionale del 6,7%; la minore prevalenza riflette una sotto-rilevazione di matrice culturale più che una minore sofferenza.</w:t>
      </w:r>
    </w:p>
    <w:p w14:paraId="67EA7748" w14:textId="77777777" w:rsidR="007C4598" w:rsidRDefault="007C4598"/>
    <w:p w14:paraId="28EEE404" w14:textId="77777777" w:rsidR="007C4598" w:rsidRDefault="00000000">
      <w:pPr>
        <w:jc w:val="both"/>
      </w:pPr>
      <w:r>
        <w:rPr>
          <w:b/>
          <w:bCs/>
        </w:rPr>
        <w:t xml:space="preserve">5. Agenzia Italiana del Farmaco — Rapporto </w:t>
      </w:r>
      <w:proofErr w:type="spellStart"/>
      <w:r>
        <w:rPr>
          <w:b/>
          <w:bCs/>
        </w:rPr>
        <w:t>OsMed</w:t>
      </w:r>
      <w:proofErr w:type="spellEnd"/>
      <w:r>
        <w:rPr>
          <w:b/>
          <w:bCs/>
        </w:rPr>
        <w:t xml:space="preserve"> sull’uso dei medicinali</w:t>
      </w:r>
      <w:r>
        <w:t xml:space="preserve">  —  [https://www.aifa.gov.it/rapporti-osmed](https://www.aifa.gov.it/rapporti-osmed)  —  </w:t>
      </w:r>
      <w:r>
        <w:rPr>
          <w:i/>
          <w:iCs/>
        </w:rPr>
        <w:t>Colloca il consumo di antidepressivi in Puglia tra i più bassi d’Italia, a fronte di un consumo farmaceutico complessivo tra i più alti (1.081,9 dosi giornaliere ogni mille abitanti) e di una spesa pubblica dell’ordine del 2,3% del prodotto regionale; il divario segnala margini di appropriatezza e sotto-intercettazione del disagio.</w:t>
      </w:r>
    </w:p>
    <w:p w14:paraId="6FAE45A4" w14:textId="77777777" w:rsidR="007C4598" w:rsidRDefault="007C4598"/>
    <w:p w14:paraId="0BB29CC4" w14:textId="77777777" w:rsidR="007C4598" w:rsidRDefault="00000000">
      <w:pPr>
        <w:jc w:val="both"/>
      </w:pPr>
      <w:r>
        <w:rPr>
          <w:b/>
          <w:bCs/>
        </w:rPr>
        <w:t>6. Commissione europea — Rapporto sulla salute mentale (2024)</w:t>
      </w:r>
      <w:r>
        <w:t xml:space="preserve">  —  [https://health.ec.europa.eu/non-communicable-diseases/mental-health_it](https://health.ec.europa.eu/non-communicable-diseases/mental-health_it)  —  </w:t>
      </w:r>
      <w:r>
        <w:rPr>
          <w:i/>
          <w:iCs/>
        </w:rPr>
        <w:t>Rileva che soltanto la metà delle persone con ansia o depressione chiede aiuto e che quasi un giovane europeo su due resta privo di un supporto adeguato; individua nel divario di trattamento un fenomeno strutturale alimentato da barriere strutturali, economiche, culturali e di stigma, di conoscenza e sistemiche.</w:t>
      </w:r>
    </w:p>
    <w:p w14:paraId="5E34CC2A" w14:textId="77777777" w:rsidR="007C4598" w:rsidRDefault="007C4598"/>
    <w:p w14:paraId="2A89539B" w14:textId="77777777" w:rsidR="007C4598" w:rsidRDefault="00000000">
      <w:pPr>
        <w:jc w:val="both"/>
      </w:pPr>
      <w:r>
        <w:rPr>
          <w:b/>
          <w:bCs/>
        </w:rPr>
        <w:t>7. Sistema Informativo per la Salute Mentale — Rapporto SISM 2023</w:t>
      </w:r>
      <w:r>
        <w:t xml:space="preserve">  —  [https://www.salute.gov.it/portale/saluteMentale/](https://www.salute.gov.it/portale/saluteMentale/)  —  </w:t>
      </w:r>
      <w:r>
        <w:rPr>
          <w:i/>
          <w:iCs/>
        </w:rPr>
        <w:t xml:space="preserve">Documenta 54.946 utenti in carico ai Dipartimenti di Salute Mentale pugliesi nel 2023 (di cui 18.939 nuovi) e 18.753 accessi al pronto soccorso per cause psichiatriche (oltre 50 al giorno; +30% sul </w:t>
      </w:r>
      <w:proofErr w:type="spellStart"/>
      <w:r>
        <w:rPr>
          <w:i/>
          <w:iCs/>
        </w:rPr>
        <w:t>pre</w:t>
      </w:r>
      <w:proofErr w:type="spellEnd"/>
      <w:r>
        <w:rPr>
          <w:i/>
          <w:iCs/>
        </w:rPr>
        <w:t xml:space="preserve">-pandemia), con le sindromi nevrotiche e </w:t>
      </w:r>
      <w:proofErr w:type="spellStart"/>
      <w:r>
        <w:rPr>
          <w:i/>
          <w:iCs/>
        </w:rPr>
        <w:t>somatoformi</w:t>
      </w:r>
      <w:proofErr w:type="spellEnd"/>
      <w:r>
        <w:rPr>
          <w:i/>
          <w:iCs/>
        </w:rPr>
        <w:t xml:space="preserve"> quale causa più frequente.</w:t>
      </w:r>
    </w:p>
    <w:p w14:paraId="71592DCF" w14:textId="77777777" w:rsidR="007C4598" w:rsidRDefault="007C4598"/>
    <w:p w14:paraId="053F4980" w14:textId="77777777" w:rsidR="007C4598" w:rsidRDefault="00000000">
      <w:pPr>
        <w:jc w:val="both"/>
      </w:pPr>
      <w:r>
        <w:rPr>
          <w:b/>
          <w:bCs/>
        </w:rPr>
        <w:t>8. Meta-analisi internazionali sulla prevalenza dei disturbi mentali nell’età avanzata</w:t>
      </w:r>
      <w:r>
        <w:t xml:space="preserve">  —  [https://www.thelancet.com/journals/lanpsy](https://www.thelancet.com/journals/lanpsy)  —  </w:t>
      </w:r>
      <w:r>
        <w:rPr>
          <w:i/>
          <w:iCs/>
        </w:rPr>
        <w:t xml:space="preserve">Documentano depressione fino al 28% negli ultrasettantacinquenni con </w:t>
      </w:r>
      <w:proofErr w:type="spellStart"/>
      <w:r>
        <w:rPr>
          <w:i/>
          <w:iCs/>
        </w:rPr>
        <w:t>multimorbidità</w:t>
      </w:r>
      <w:proofErr w:type="spellEnd"/>
      <w:r>
        <w:rPr>
          <w:i/>
          <w:iCs/>
        </w:rPr>
        <w:t xml:space="preserve"> e ansia oltre il 15% nella popolazione anziana; applicati alla Puglia, i coefficienti stimano 50.649–74.640 casi depressivi e 69.150–92.200 casi d’ansia tra gli anziani.</w:t>
      </w:r>
    </w:p>
    <w:p w14:paraId="67F36B2B" w14:textId="77777777" w:rsidR="007C4598" w:rsidRDefault="007C4598"/>
    <w:p w14:paraId="00634F41" w14:textId="77777777" w:rsidR="007C4598" w:rsidRDefault="00000000">
      <w:pPr>
        <w:jc w:val="both"/>
      </w:pPr>
      <w:r>
        <w:rPr>
          <w:b/>
          <w:bCs/>
        </w:rPr>
        <w:t>9. Letteratura sui determinanti sociali della salute mentale e indice di deprivazione</w:t>
      </w:r>
      <w:r>
        <w:t xml:space="preserve">  —  [https://www.epicentro.iss.it/](https://www.epicentro.iss.it/)  —  </w:t>
      </w:r>
      <w:r>
        <w:rPr>
          <w:i/>
          <w:iCs/>
        </w:rPr>
        <w:t>Documenta che il 37,7% della popolazione pugliese è a rischio di povertà o esclusione sociale e che le popolazioni deprivate presentano prevalenze sistematicamente più elevate di disturbi mentali comuni, attraverso l’insicurezza economica, la precarietà lavorativa, le condizioni abitative inadeguate e l’accesso limitato alle risorse protettive.</w:t>
      </w:r>
    </w:p>
    <w:p w14:paraId="7CE42309" w14:textId="77777777" w:rsidR="007C4598" w:rsidRDefault="007C4598"/>
    <w:p w14:paraId="572119D7" w14:textId="77777777" w:rsidR="007C4598" w:rsidRDefault="00000000">
      <w:pPr>
        <w:jc w:val="both"/>
      </w:pPr>
      <w:r>
        <w:rPr>
          <w:b/>
          <w:bCs/>
        </w:rPr>
        <w:t xml:space="preserve">10. Ministero della Salute / WHO — Offerta psicologica e </w:t>
      </w:r>
      <w:proofErr w:type="spellStart"/>
      <w:r>
        <w:rPr>
          <w:b/>
          <w:bCs/>
        </w:rPr>
        <w:t>Mental</w:t>
      </w:r>
      <w:proofErr w:type="spellEnd"/>
      <w:r>
        <w:rPr>
          <w:b/>
          <w:bCs/>
        </w:rPr>
        <w:t xml:space="preserve"> </w:t>
      </w:r>
      <w:proofErr w:type="spellStart"/>
      <w:r>
        <w:rPr>
          <w:b/>
          <w:bCs/>
        </w:rPr>
        <w:t>Health</w:t>
      </w:r>
      <w:proofErr w:type="spellEnd"/>
      <w:r>
        <w:rPr>
          <w:b/>
          <w:bCs/>
        </w:rPr>
        <w:t xml:space="preserve"> Atlas</w:t>
      </w:r>
      <w:r>
        <w:t xml:space="preserve">  —  [https://www.who.int/teams/mental-health-and-substance-use/data-research/mental-health-atlas](https://www.who.int/teams/mental-health-and-substance-use/data-research/mental-health-atlas)  —  </w:t>
      </w:r>
      <w:r>
        <w:rPr>
          <w:i/>
          <w:iCs/>
        </w:rPr>
        <w:t>Colloca l’Italia a 8,5 psicologi ogni 100.000 abitanti nel Servizio sanitario complessivo e a meno di 3 ogni 100.000 nelle sole strutture pubbliche di salute mentale, tra le dotazioni più basse d’Europa, a fronte di sistemi che integrano la figura nelle cure primarie.</w:t>
      </w:r>
    </w:p>
    <w:p w14:paraId="2BE921DA" w14:textId="77777777" w:rsidR="007C4598" w:rsidRDefault="007C4598"/>
    <w:p w14:paraId="29C46C62" w14:textId="77777777" w:rsidR="007C4598" w:rsidRDefault="00000000">
      <w:pPr>
        <w:jc w:val="both"/>
      </w:pPr>
      <w:r>
        <w:rPr>
          <w:b/>
          <w:bCs/>
        </w:rPr>
        <w:t xml:space="preserve">11. </w:t>
      </w:r>
      <w:proofErr w:type="spellStart"/>
      <w:r>
        <w:rPr>
          <w:b/>
          <w:bCs/>
        </w:rPr>
        <w:t>Magnée</w:t>
      </w:r>
      <w:proofErr w:type="spellEnd"/>
      <w:r>
        <w:rPr>
          <w:b/>
          <w:bCs/>
        </w:rPr>
        <w:t xml:space="preserve"> e colleghi — Modello olandese di psicologo nelle cure primarie (POH-GGZ)</w:t>
      </w:r>
      <w:r>
        <w:t xml:space="preserve">  —  [https://bmjopen.bmj.com/](https://bmjopen.bmj.com/)  —  </w:t>
      </w:r>
      <w:r>
        <w:rPr>
          <w:i/>
          <w:iCs/>
        </w:rPr>
        <w:t>Documenta la crescita dell’adozione della figura da circa un terzo (2011) a circa tre quarti (2014) dei medici di medicina generale, con circa seimila psicologi delle cure primarie, finanziamento nell’assicurazione di base e ruolo complementare e non sostitutivo (BMJ Open, 2016).</w:t>
      </w:r>
    </w:p>
    <w:p w14:paraId="6F7EAA50" w14:textId="77777777" w:rsidR="007C4598" w:rsidRDefault="007C4598"/>
    <w:p w14:paraId="6958C089" w14:textId="77777777" w:rsidR="007C4598" w:rsidRDefault="00000000">
      <w:pPr>
        <w:jc w:val="both"/>
      </w:pPr>
      <w:r>
        <w:rPr>
          <w:b/>
          <w:bCs/>
        </w:rPr>
        <w:t xml:space="preserve">12. Fondazione </w:t>
      </w:r>
      <w:proofErr w:type="spellStart"/>
      <w:r>
        <w:rPr>
          <w:b/>
          <w:bCs/>
        </w:rPr>
        <w:t>Gimbe</w:t>
      </w:r>
      <w:proofErr w:type="spellEnd"/>
      <w:r>
        <w:rPr>
          <w:b/>
          <w:bCs/>
        </w:rPr>
        <w:t xml:space="preserve"> — Carenza della medicina generale</w:t>
      </w:r>
      <w:r>
        <w:t xml:space="preserve">  —  [https://www.gimbe.org/](https://www.gimbe.org/)  —  </w:t>
      </w:r>
      <w:r>
        <w:rPr>
          <w:i/>
          <w:iCs/>
        </w:rPr>
        <w:t>Documenta per la Puglia circa 279 medici di famiglia mancanti al 1° gennaio 2025 e 702 pensionamenti attesi entro il 2028, con una riduzione del 26,3% dei medici di medicina generale tra il 2019 e il 2024, quasi il doppio della media nazionale del 14,1%.</w:t>
      </w:r>
    </w:p>
    <w:p w14:paraId="0CDF432E" w14:textId="77777777" w:rsidR="007C4598" w:rsidRDefault="007C4598"/>
    <w:p w14:paraId="6C20F567" w14:textId="77777777" w:rsidR="007C4598" w:rsidRDefault="00000000">
      <w:pPr>
        <w:jc w:val="both"/>
      </w:pPr>
      <w:r>
        <w:rPr>
          <w:b/>
          <w:bCs/>
        </w:rPr>
        <w:t xml:space="preserve">13. </w:t>
      </w:r>
      <w:proofErr w:type="spellStart"/>
      <w:r>
        <w:rPr>
          <w:b/>
          <w:bCs/>
        </w:rPr>
        <w:t>Agenas</w:t>
      </w:r>
      <w:proofErr w:type="spellEnd"/>
      <w:r>
        <w:rPr>
          <w:b/>
          <w:bCs/>
        </w:rPr>
        <w:t xml:space="preserve"> — Struttura della medicina generale e mobilità sanitaria</w:t>
      </w:r>
      <w:r>
        <w:t xml:space="preserve">  —  [https://www.agenas.gov.it/](https://www.agenas.gov.it/)  —  </w:t>
      </w:r>
      <w:r>
        <w:rPr>
          <w:i/>
          <w:iCs/>
        </w:rPr>
        <w:t>Riferisce per la Puglia circa 2.811 medici di medicina generale (2023) con carico medio di 1.331 assistiti per medico, e documenta la mobilità sanitaria passiva con saldo negativo nell’ordine dei 240-253 milioni di euro, tra i peggiori risultati nazionali.</w:t>
      </w:r>
    </w:p>
    <w:p w14:paraId="47736B60" w14:textId="77777777" w:rsidR="007C4598" w:rsidRDefault="007C4598"/>
    <w:p w14:paraId="31EB1E90" w14:textId="77777777" w:rsidR="007C4598" w:rsidRDefault="00000000">
      <w:pPr>
        <w:jc w:val="both"/>
      </w:pPr>
      <w:r>
        <w:rPr>
          <w:b/>
          <w:bCs/>
        </w:rPr>
        <w:t>14. FIMMG — Forme associative e massimale della medicina generale</w:t>
      </w:r>
      <w:r>
        <w:t xml:space="preserve">  —  [https://www.fimmg.org/](https://www.fimmg.org/)  —  </w:t>
      </w:r>
      <w:r>
        <w:rPr>
          <w:i/>
          <w:iCs/>
        </w:rPr>
        <w:t>Documenta in Puglia 540 forme associative della medicina generale con circa il 74% di adesione, il rischio di chiusura per mancato raggiungimento del numero minimo di aderenti, e una quota elevata di medici prossimi al pensionamento (78% con oltre 27 anni di anzianità di laurea).</w:t>
      </w:r>
    </w:p>
    <w:p w14:paraId="2400483D" w14:textId="77777777" w:rsidR="007C4598" w:rsidRDefault="007C4598"/>
    <w:p w14:paraId="39E02267" w14:textId="77777777" w:rsidR="007C4598" w:rsidRDefault="00000000">
      <w:pPr>
        <w:jc w:val="both"/>
      </w:pPr>
      <w:r>
        <w:rPr>
          <w:b/>
          <w:bCs/>
        </w:rPr>
        <w:t>15. Decreto ministeriale 77 del 2022 — Modello dell’assistenza territoriale</w:t>
      </w:r>
      <w:r>
        <w:t xml:space="preserve">  —  [https://www.gazzettaufficiale.it/](https://www.gazzettaufficiale.it/)  —  </w:t>
      </w:r>
      <w:r>
        <w:rPr>
          <w:i/>
          <w:iCs/>
        </w:rPr>
        <w:t>Definisce il modello dell’assistenza territoriale e individua nelle Case della Comunità la sede della presa in carico di prossimità, presso la quale lo Psicologo di Base si inserisce accanto al medico di medicina generale e al pediatra di libera scelta.</w:t>
      </w:r>
    </w:p>
    <w:p w14:paraId="6694A5E1" w14:textId="77777777" w:rsidR="007C4598" w:rsidRDefault="007C4598"/>
    <w:p w14:paraId="6FAC881F" w14:textId="77777777" w:rsidR="007C4598" w:rsidRDefault="00000000">
      <w:pPr>
        <w:jc w:val="both"/>
      </w:pPr>
      <w:r>
        <w:rPr>
          <w:b/>
          <w:bCs/>
        </w:rPr>
        <w:t>16. Piano Nazionale di Ripresa e Resilienza — Missione 6 (Salute)</w:t>
      </w:r>
      <w:r>
        <w:t xml:space="preserve">  —  [https://www.italiadomani.gov.it/](https://www.italiadomani.gov.it/)  —  </w:t>
      </w:r>
      <w:r>
        <w:rPr>
          <w:i/>
          <w:iCs/>
        </w:rPr>
        <w:t>Finanzia l’infrastruttura territoriale e digitale del Servizio sanitario, comprese le Case della Comunità, predisponendo le sedi e gli strumenti su cui la figura dello Psicologo di Base opera.</w:t>
      </w:r>
    </w:p>
    <w:p w14:paraId="48EEEFDE" w14:textId="77777777" w:rsidR="007C4598" w:rsidRDefault="007C4598"/>
    <w:p w14:paraId="1174F2FD" w14:textId="77777777" w:rsidR="007C4598" w:rsidRDefault="00000000">
      <w:pPr>
        <w:jc w:val="both"/>
      </w:pPr>
      <w:r>
        <w:rPr>
          <w:b/>
          <w:bCs/>
        </w:rPr>
        <w:t>17. Piattaforma nazionale e rilevazioni sulle liste d’attesa</w:t>
      </w:r>
      <w:r>
        <w:t xml:space="preserve">  —  [https://www.salute.gov.it/](https://www.salute.gov.it/)  —  </w:t>
      </w:r>
      <w:r>
        <w:rPr>
          <w:i/>
          <w:iCs/>
        </w:rPr>
        <w:t>Documenta che le prestazioni urgenti risultano per lo più garantite nei tempi, mentre le prestazioni programmabili scontano attese lunghe, con tempi che per alcune indagini diagnostiche raggiungono diversi mesi.</w:t>
      </w:r>
    </w:p>
    <w:p w14:paraId="4E9A977F" w14:textId="77777777" w:rsidR="007C4598" w:rsidRDefault="007C4598"/>
    <w:p w14:paraId="1BB2B6D6" w14:textId="77777777" w:rsidR="007C4598" w:rsidRDefault="00000000">
      <w:pPr>
        <w:jc w:val="both"/>
      </w:pPr>
      <w:r>
        <w:rPr>
          <w:b/>
          <w:bCs/>
        </w:rPr>
        <w:t>18. Documenti regionali di bilancio del Servizio sanitario</w:t>
      </w:r>
      <w:r>
        <w:t xml:space="preserve">  —  [https://www.regione.puglia.it/](https://www.regione.puglia.it/)  —  </w:t>
      </w:r>
      <w:r>
        <w:rPr>
          <w:i/>
          <w:iCs/>
        </w:rPr>
        <w:t>Riportano per il 2025 un finanziamento del Servizio sanitario regionale nell’ordine di 8,8 miliardi di euro, con un disavanzo di esercizio di circa 350 milioni e disavanzi cumulati superiori a 480 milioni nel quadriennio.</w:t>
      </w:r>
    </w:p>
    <w:p w14:paraId="321CDF19" w14:textId="77777777" w:rsidR="007C4598" w:rsidRDefault="007C4598"/>
    <w:p w14:paraId="18A79422" w14:textId="77777777" w:rsidR="007C4598" w:rsidRDefault="00000000">
      <w:pPr>
        <w:jc w:val="both"/>
      </w:pPr>
      <w:r>
        <w:rPr>
          <w:b/>
          <w:bCs/>
        </w:rPr>
        <w:t>19. Corte costituzionale — Vincolo di destinazione delle risorse sanitarie</w:t>
      </w:r>
      <w:r>
        <w:t xml:space="preserve">  —  [https://www.cortecostituzionale.it/](https://www.cortecostituzionale.it/)  —  </w:t>
      </w:r>
      <w:r>
        <w:rPr>
          <w:i/>
          <w:iCs/>
        </w:rPr>
        <w:t>Ribadisce che una regione sottoposta a vincoli di rientro non può distrarre i fondi sanitari da finalità diverse dai livelli essenziali di assistenza, entro i quali la riforma deve essere ricondotta per risultare finanziabile.</w:t>
      </w:r>
    </w:p>
    <w:p w14:paraId="6FEA8BDA" w14:textId="77777777" w:rsidR="007C4598" w:rsidRDefault="007C4598"/>
    <w:p w14:paraId="1404308B" w14:textId="77777777" w:rsidR="007C4598" w:rsidRDefault="00000000">
      <w:pPr>
        <w:jc w:val="both"/>
      </w:pPr>
      <w:r>
        <w:rPr>
          <w:b/>
          <w:bCs/>
        </w:rPr>
        <w:t xml:space="preserve">20. OCSE-Unione europea — </w:t>
      </w:r>
      <w:proofErr w:type="spellStart"/>
      <w:r>
        <w:rPr>
          <w:b/>
          <w:bCs/>
        </w:rPr>
        <w:t>Health</w:t>
      </w:r>
      <w:proofErr w:type="spellEnd"/>
      <w:r>
        <w:rPr>
          <w:b/>
          <w:bCs/>
        </w:rPr>
        <w:t xml:space="preserve"> </w:t>
      </w:r>
      <w:proofErr w:type="spellStart"/>
      <w:r>
        <w:rPr>
          <w:b/>
          <w:bCs/>
        </w:rPr>
        <w:t>at</w:t>
      </w:r>
      <w:proofErr w:type="spellEnd"/>
      <w:r>
        <w:rPr>
          <w:b/>
          <w:bCs/>
        </w:rPr>
        <w:t xml:space="preserve"> a </w:t>
      </w:r>
      <w:proofErr w:type="spellStart"/>
      <w:r>
        <w:rPr>
          <w:b/>
          <w:bCs/>
        </w:rPr>
        <w:t>Glance</w:t>
      </w:r>
      <w:proofErr w:type="spellEnd"/>
      <w:r>
        <w:rPr>
          <w:b/>
          <w:bCs/>
        </w:rPr>
        <w:t>: Europe (carico della salute mentale)</w:t>
      </w:r>
      <w:r>
        <w:t xml:space="preserve">  —  [https://www.oecd.org/health/health-at-a-glance-europe/](https://www.oecd.org/health/health-at-a-glance-europe/)  —  </w:t>
      </w:r>
      <w:r>
        <w:rPr>
          <w:i/>
          <w:iCs/>
        </w:rPr>
        <w:t>Stima i costi totali della cattiva salute mentale oltre il 4% del prodotto interno lordo nei Paesi dell’Unione, sommando spesa sanitaria diretta, costi dei programmi di sicurezza sociale e perdite di produttività: una misura del carico, non del rendimento di un investimento.</w:t>
      </w:r>
    </w:p>
    <w:p w14:paraId="7FC71231" w14:textId="77777777" w:rsidR="007C4598" w:rsidRDefault="007C4598"/>
    <w:p w14:paraId="1311EFDE" w14:textId="77777777" w:rsidR="007C4598" w:rsidRDefault="00000000">
      <w:pPr>
        <w:jc w:val="both"/>
      </w:pPr>
      <w:r>
        <w:rPr>
          <w:b/>
          <w:bCs/>
        </w:rPr>
        <w:t xml:space="preserve">21. </w:t>
      </w:r>
      <w:proofErr w:type="spellStart"/>
      <w:r>
        <w:rPr>
          <w:b/>
          <w:bCs/>
        </w:rPr>
        <w:t>Chisholm</w:t>
      </w:r>
      <w:proofErr w:type="spellEnd"/>
      <w:r>
        <w:rPr>
          <w:b/>
          <w:bCs/>
        </w:rPr>
        <w:t xml:space="preserve"> e colleghi — Rendimento degli investimenti in salute mentale</w:t>
      </w:r>
      <w:r>
        <w:t xml:space="preserve">  —  [https://www.thelancet.com/journals/lanpsy](https://www.thelancet.com/journals/lanpsy)  —  </w:t>
      </w:r>
      <w:r>
        <w:rPr>
          <w:i/>
          <w:iCs/>
        </w:rPr>
        <w:t xml:space="preserve">Documenta che gli investimenti in salute mentale rendono entro intervalli di 2,3–3,0 a 1 per i soli benefici economici e di 3,3–5,7 a 1 con i ritorni in salute, escludendo i valori superiori non sostenuti dall’evidenza (The Lancet </w:t>
      </w:r>
      <w:proofErr w:type="spellStart"/>
      <w:r>
        <w:rPr>
          <w:i/>
          <w:iCs/>
        </w:rPr>
        <w:t>Psychiatry</w:t>
      </w:r>
      <w:proofErr w:type="spellEnd"/>
      <w:r>
        <w:rPr>
          <w:i/>
          <w:iCs/>
        </w:rPr>
        <w:t>, 2016).</w:t>
      </w:r>
    </w:p>
    <w:p w14:paraId="322BDA1C" w14:textId="77777777" w:rsidR="007C4598" w:rsidRDefault="007C4598"/>
    <w:p w14:paraId="575B426E" w14:textId="77777777" w:rsidR="007C4598" w:rsidRDefault="00000000">
      <w:pPr>
        <w:jc w:val="both"/>
      </w:pPr>
      <w:r>
        <w:rPr>
          <w:b/>
          <w:bCs/>
        </w:rPr>
        <w:t>22. IMPACT trial — Assistenza collaborativa e significatività dei risparmi</w:t>
      </w:r>
      <w:r>
        <w:t xml:space="preserve">  —  [https://jamanetwork.com/](https://jamanetwork.com/)  —  </w:t>
      </w:r>
      <w:r>
        <w:rPr>
          <w:i/>
          <w:iCs/>
        </w:rPr>
        <w:t xml:space="preserve">Documenta l’efficacia dell’assistenza collaborativa per la depressione, segnalando tuttavia che i risparmi sui costi sanitari non raggiungono la significatività statistica: </w:t>
      </w:r>
      <w:proofErr w:type="spellStart"/>
      <w:r>
        <w:rPr>
          <w:i/>
          <w:iCs/>
        </w:rPr>
        <w:t>caveat</w:t>
      </w:r>
      <w:proofErr w:type="spellEnd"/>
      <w:r>
        <w:rPr>
          <w:i/>
          <w:iCs/>
        </w:rPr>
        <w:t xml:space="preserve"> preservato lungo l’intera valutazione economica della riforma (</w:t>
      </w:r>
      <w:proofErr w:type="spellStart"/>
      <w:r>
        <w:rPr>
          <w:i/>
          <w:iCs/>
        </w:rPr>
        <w:t>Unützer</w:t>
      </w:r>
      <w:proofErr w:type="spellEnd"/>
      <w:r>
        <w:rPr>
          <w:i/>
          <w:iCs/>
        </w:rPr>
        <w:t xml:space="preserve"> e colleghi, JAMA, 2002).</w:t>
      </w:r>
    </w:p>
    <w:p w14:paraId="63106321" w14:textId="77777777" w:rsidR="007C4598" w:rsidRDefault="007C4598"/>
    <w:p w14:paraId="06B7DBC8" w14:textId="77777777" w:rsidR="007C4598" w:rsidRDefault="00000000">
      <w:pPr>
        <w:jc w:val="both"/>
      </w:pPr>
      <w:r>
        <w:rPr>
          <w:b/>
          <w:bCs/>
        </w:rPr>
        <w:t>23. Regolamenti europei sulle tecnologie sanitarie e sull’intelligenza artificiale</w:t>
      </w:r>
      <w:r>
        <w:t xml:space="preserve">  —  [https://eur-lex.europa.eu/](https://eur-lex.europa.eu/)  —  </w:t>
      </w:r>
      <w:r>
        <w:rPr>
          <w:i/>
          <w:iCs/>
        </w:rPr>
        <w:t xml:space="preserve">Il regolamento (UE) 2021/2282 sulla valutazione delle tecnologie sanitarie, applicabile dal 2025, fissa il metodo della valutazione comparativa adottato dallo studio; il regolamento (UE) sull’intelligenza artificiale stabilisce la cornice di </w:t>
      </w:r>
      <w:proofErr w:type="spellStart"/>
      <w:r>
        <w:rPr>
          <w:i/>
          <w:iCs/>
        </w:rPr>
        <w:t>governance</w:t>
      </w:r>
      <w:proofErr w:type="spellEnd"/>
      <w:r>
        <w:rPr>
          <w:i/>
          <w:iCs/>
        </w:rPr>
        <w:t xml:space="preserve"> degli strumenti digitali impiegati come leve abilitanti.</w:t>
      </w:r>
    </w:p>
    <w:p w14:paraId="5677459F" w14:textId="77777777" w:rsidR="007C4598" w:rsidRDefault="007C4598"/>
    <w:p w14:paraId="38B6C6EB" w14:textId="77777777" w:rsidR="007C4598" w:rsidRDefault="00000000">
      <w:pPr>
        <w:jc w:val="both"/>
      </w:pPr>
      <w:r>
        <w:rPr>
          <w:b/>
          <w:bCs/>
        </w:rPr>
        <w:t>24. Legge regionale della Puglia n. 11 del 2023 — Istituzione del servizio</w:t>
      </w:r>
      <w:r>
        <w:t xml:space="preserve">  —  [https://www.regione.puglia.it/](https://www.regione.puglia.it/)  —  </w:t>
      </w:r>
      <w:r>
        <w:rPr>
          <w:i/>
          <w:iCs/>
        </w:rPr>
        <w:t>Istituisce il servizio di Psicologia di Base — primo in Italia — individuandone le sedi nei distretti e nelle Case della Comunità, la convenzione, la funzione di filtro e l’Osservatorio regionale; il servizio conta circa 45 psicologi e 1,5 milioni di euro l’anno, pari a circa il 5% di un fabbisogno stimato in 800–900 psicologi, con scenari di copertura a 450, 700 e 900 incarichi.</w:t>
      </w:r>
    </w:p>
    <w:p w14:paraId="56F9FD43" w14:textId="77777777" w:rsidR="007C4598" w:rsidRDefault="007C4598"/>
    <w:p w14:paraId="4F75CFA7" w14:textId="77777777" w:rsidR="007C4598" w:rsidRDefault="00000000">
      <w:pPr>
        <w:jc w:val="both"/>
      </w:pPr>
      <w:r>
        <w:rPr>
          <w:b/>
          <w:bCs/>
        </w:rPr>
        <w:t>25. Accordo Collettivo Nazionale della specialistica ambulatoriale</w:t>
      </w:r>
      <w:r>
        <w:t xml:space="preserve">  —  [https://www.sisac.info/](https://www.sisac.info/)  —  </w:t>
      </w:r>
      <w:r>
        <w:rPr>
          <w:i/>
          <w:iCs/>
        </w:rPr>
        <w:t>Disciplina il rapporto convenzionale degli psicologi e fornisce il riferimento contrattuale del modello di costo del personale impiegato nelle parti dedicate ai costi diretti.</w:t>
      </w:r>
    </w:p>
    <w:p w14:paraId="75AC0B1D" w14:textId="77777777" w:rsidR="007C4598" w:rsidRDefault="007C4598"/>
    <w:p w14:paraId="64334262" w14:textId="77777777" w:rsidR="007C4598" w:rsidRDefault="00000000">
      <w:pPr>
        <w:jc w:val="both"/>
      </w:pPr>
      <w:r>
        <w:rPr>
          <w:b/>
          <w:bCs/>
        </w:rPr>
        <w:t>26. Livelli essenziali di assistenza e Patto per la salute</w:t>
      </w:r>
      <w:r>
        <w:t xml:space="preserve">  —  [https://www.salute.gov.it/portale/lea/](https://www.salute.gov.it/portale/lea/)  —  </w:t>
      </w:r>
      <w:r>
        <w:rPr>
          <w:i/>
          <w:iCs/>
        </w:rPr>
        <w:t>Definiscono le prestazioni garantite su tutto il territorio nazionale; la funzione di primo livello e di filtro dello Psicologo di Base vi si iscrive come strumento di più efficiente erogazione, conciliando la riforma con i vincoli di rientro e con il limite costituzionale di destinazione.</w:t>
      </w:r>
    </w:p>
    <w:p w14:paraId="1D868431" w14:textId="77777777" w:rsidR="007C4598" w:rsidRDefault="007C4598"/>
    <w:p w14:paraId="4C8A166E" w14:textId="77777777" w:rsidR="007C4598" w:rsidRDefault="00000000">
      <w:pPr>
        <w:jc w:val="both"/>
      </w:pPr>
      <w:r>
        <w:t>—  —</w:t>
      </w:r>
    </w:p>
    <w:p w14:paraId="688B5080" w14:textId="77777777" w:rsidR="007C4598" w:rsidRDefault="007C4598"/>
    <w:p w14:paraId="439C36D6" w14:textId="77777777" w:rsidR="007C4598" w:rsidRDefault="00000000">
      <w:pPr>
        <w:jc w:val="both"/>
      </w:pPr>
      <w:r>
        <w:rPr>
          <w:color w:val="555555"/>
          <w:sz w:val="16"/>
          <w:szCs w:val="16"/>
          <w:vertAlign w:val="superscript"/>
        </w:rPr>
        <w:t>[1]</w:t>
      </w:r>
      <w:r>
        <w:t xml:space="preserve">: Stime regionali sul carico di salute mentale: circa 780.000 persone con disagio psichico comune o </w:t>
      </w:r>
      <w:proofErr w:type="spellStart"/>
      <w:r>
        <w:t>sottosoglia</w:t>
      </w:r>
      <w:proofErr w:type="spellEnd"/>
      <w:r>
        <w:t xml:space="preserve">, dell’ordine del 20–30% della popolazione, a fronte di circa 55.000 utenti in carico ai Dipartimenti di Salute Mentale. Cfr. Istituto Superiore di Sanità, </w:t>
      </w:r>
      <w:proofErr w:type="spellStart"/>
      <w:r>
        <w:t>EpiCentro</w:t>
      </w:r>
      <w:proofErr w:type="spellEnd"/>
      <w:r>
        <w:t>, area salute mentale.</w:t>
      </w:r>
    </w:p>
    <w:p w14:paraId="5AF07EA4" w14:textId="77777777" w:rsidR="007C4598" w:rsidRDefault="00000000">
      <w:pPr>
        <w:jc w:val="both"/>
      </w:pPr>
      <w:r>
        <w:rPr>
          <w:color w:val="555555"/>
          <w:sz w:val="16"/>
          <w:szCs w:val="16"/>
          <w:vertAlign w:val="superscript"/>
        </w:rPr>
        <w:t>[2]</w:t>
      </w:r>
      <w:r>
        <w:t xml:space="preserve">: Meta-analisi internazionali (The Lancet </w:t>
      </w:r>
      <w:proofErr w:type="spellStart"/>
      <w:r>
        <w:t>Psychiatry</w:t>
      </w:r>
      <w:proofErr w:type="spellEnd"/>
      <w:r>
        <w:t xml:space="preserve">; JAMA </w:t>
      </w:r>
      <w:proofErr w:type="spellStart"/>
      <w:r>
        <w:t>Psychiatry</w:t>
      </w:r>
      <w:proofErr w:type="spellEnd"/>
      <w:r>
        <w:t xml:space="preserve">; World </w:t>
      </w:r>
      <w:proofErr w:type="spellStart"/>
      <w:r>
        <w:t>Psychiatry</w:t>
      </w:r>
      <w:proofErr w:type="spellEnd"/>
      <w:r>
        <w:t xml:space="preserve">): depressione fino al 28% negli ultrasettantacinquenni con </w:t>
      </w:r>
      <w:proofErr w:type="spellStart"/>
      <w:r>
        <w:t>multimorbidità</w:t>
      </w:r>
      <w:proofErr w:type="spellEnd"/>
      <w:r>
        <w:t xml:space="preserve"> e ansia oltre il 15% nella popolazione anziana; applicati alla struttura per età della Puglia, i coefficienti stimano 50.649–74.640 anziani con disturbi depressivi e 69.150–92.200 con disturbi d’ansia.</w:t>
      </w:r>
    </w:p>
    <w:p w14:paraId="57373DAE" w14:textId="77777777" w:rsidR="007C4598" w:rsidRDefault="00000000">
      <w:pPr>
        <w:jc w:val="both"/>
      </w:pPr>
      <w:r>
        <w:rPr>
          <w:color w:val="555555"/>
          <w:sz w:val="16"/>
          <w:szCs w:val="16"/>
          <w:vertAlign w:val="superscript"/>
        </w:rPr>
        <w:t>[3]</w:t>
      </w:r>
      <w:r>
        <w:t>: Istituto Superiore di Sanità, sorveglianza PASSI (strumento PHQ-2, rilevazioni 2021–2024): 3,6% degli adulti di 18–64 anni con sintomi depressivi clinicamente rilevanti (circa 80.000 persone), contro la media nazionale del 6,7%.</w:t>
      </w:r>
    </w:p>
    <w:p w14:paraId="7D462FD2" w14:textId="77777777" w:rsidR="007C4598" w:rsidRDefault="00000000">
      <w:pPr>
        <w:jc w:val="both"/>
      </w:pPr>
      <w:r>
        <w:rPr>
          <w:color w:val="555555"/>
          <w:sz w:val="16"/>
          <w:szCs w:val="16"/>
          <w:vertAlign w:val="superscript"/>
        </w:rPr>
        <w:t>[4]</w:t>
      </w:r>
      <w:r>
        <w:t xml:space="preserve">: Agenzia Italiana del Farmaco, Rapporto </w:t>
      </w:r>
      <w:proofErr w:type="spellStart"/>
      <w:r>
        <w:t>OsMed</w:t>
      </w:r>
      <w:proofErr w:type="spellEnd"/>
      <w:r>
        <w:t>: il consumo di antidepressivi in Puglia è tra i più bassi d’Italia; in concorso con la sotto-rilevazione PASSI, è segno di sotto-intercettazione del bisogno, non di minore sofferenza.</w:t>
      </w:r>
    </w:p>
    <w:p w14:paraId="08A595E9" w14:textId="77777777" w:rsidR="007C4598" w:rsidRDefault="00000000">
      <w:pPr>
        <w:jc w:val="both"/>
      </w:pPr>
      <w:r>
        <w:rPr>
          <w:color w:val="555555"/>
          <w:sz w:val="16"/>
          <w:szCs w:val="16"/>
          <w:vertAlign w:val="superscript"/>
        </w:rPr>
        <w:t>[5]</w:t>
      </w:r>
      <w:r>
        <w:t>: Commissione europea, rapporto sulla salute mentale (2024): solo la metà delle persone con ansia o depressione chiede aiuto e quasi un giovane su due resta privo di supporto adeguato; le barriere sono strutturali, economiche, culturali e di stigma, di conoscenza e sistemiche.</w:t>
      </w:r>
    </w:p>
    <w:p w14:paraId="5374C078" w14:textId="77777777" w:rsidR="007C4598" w:rsidRDefault="00000000">
      <w:pPr>
        <w:jc w:val="both"/>
      </w:pPr>
      <w:r>
        <w:rPr>
          <w:color w:val="555555"/>
          <w:sz w:val="16"/>
          <w:szCs w:val="16"/>
          <w:vertAlign w:val="superscript"/>
        </w:rPr>
        <w:t>[6]</w:t>
      </w:r>
      <w:r>
        <w:t>: Sistema Informativo per la Salute Mentale, Rapporto SISM 2023: i Dipartimenti pugliesi hanno avuto in carico 54.946 utenti (circa 106 ogni 10.000 abitanti adulti), dei quali 18.939 nuovi (circa 35 ogni 10.000).</w:t>
      </w:r>
    </w:p>
    <w:p w14:paraId="4108979B" w14:textId="77777777" w:rsidR="007C4598" w:rsidRDefault="00000000">
      <w:pPr>
        <w:jc w:val="both"/>
      </w:pPr>
      <w:r>
        <w:rPr>
          <w:color w:val="555555"/>
          <w:sz w:val="16"/>
          <w:szCs w:val="16"/>
          <w:vertAlign w:val="superscript"/>
        </w:rPr>
        <w:t>[7]</w:t>
      </w:r>
      <w:r>
        <w:t xml:space="preserve">: Accessi al pronto soccorso per cause psichiatriche (SISM 2023; fonti regionali): 18.753 nel 2023, oltre 50 al giorno, in crescita del 30% sul periodo </w:t>
      </w:r>
      <w:proofErr w:type="spellStart"/>
      <w:r>
        <w:t>pre</w:t>
      </w:r>
      <w:proofErr w:type="spellEnd"/>
      <w:r>
        <w:t xml:space="preserve">-pandemico; le sindromi nevrotiche e </w:t>
      </w:r>
      <w:proofErr w:type="spellStart"/>
      <w:r>
        <w:t>somatoformi</w:t>
      </w:r>
      <w:proofErr w:type="spellEnd"/>
      <w:r>
        <w:t xml:space="preserve"> sono la causa più frequente, con oltre 10.000 casi.</w:t>
      </w:r>
    </w:p>
    <w:p w14:paraId="01ACF140" w14:textId="77777777" w:rsidR="007C4598" w:rsidRDefault="00000000">
      <w:pPr>
        <w:jc w:val="both"/>
      </w:pPr>
      <w:r>
        <w:rPr>
          <w:color w:val="555555"/>
          <w:sz w:val="16"/>
          <w:szCs w:val="16"/>
          <w:vertAlign w:val="superscript"/>
        </w:rPr>
        <w:t>[8]</w:t>
      </w:r>
      <w:r>
        <w:t>: Legge regionale della Puglia n. 11 del 2023: il servizio conta circa 45 psicologi (uno per distretto) con uno stanziamento di 1,5 milioni di euro l’anno, pari a circa il 5% di un fabbisogno stimato in 800–900 psicologi; lo studio adotta scenari di copertura a circa 450, 700 e 900 incarichi.</w:t>
      </w:r>
    </w:p>
    <w:p w14:paraId="62AFD2DB" w14:textId="77777777" w:rsidR="007C4598" w:rsidRDefault="00000000">
      <w:pPr>
        <w:jc w:val="both"/>
      </w:pPr>
      <w:r>
        <w:rPr>
          <w:color w:val="555555"/>
          <w:sz w:val="16"/>
          <w:szCs w:val="16"/>
          <w:vertAlign w:val="superscript"/>
        </w:rPr>
        <w:t>[9]</w:t>
      </w:r>
      <w:r>
        <w:t>: ISTAT, Censimento permanente della popolazione (2024): 3.877.395 residenti in Puglia, circa il 6,6% del totale nazionale; il Servizio sanitario regionale si articola in 6 aziende sanitarie locali (Bari, Barletta-Andria-Trani, Brindisi, Foggia, Lecce, Taranto) e 45 distretti.</w:t>
      </w:r>
    </w:p>
    <w:p w14:paraId="0E38F4A7" w14:textId="77777777" w:rsidR="007C4598" w:rsidRDefault="00000000">
      <w:pPr>
        <w:jc w:val="both"/>
      </w:pPr>
      <w:r>
        <w:rPr>
          <w:color w:val="555555"/>
          <w:sz w:val="16"/>
          <w:szCs w:val="16"/>
          <w:vertAlign w:val="superscript"/>
        </w:rPr>
        <w:t>[10]</w:t>
      </w:r>
      <w:r>
        <w:t>: ISTAT, indicatori demografici e proiezioni della popolazione: età media da 39,3 anni (2002) a 46,4 (2024); indice di vecchiaia 200,8; proiezioni a 3.769.000 abitanti nel 2030 (−3,5%) e 3.229.000 nel 2050 (−17,4% sul 2023); quota di ultrasessantacinquenni dal 24,2% al 37,1%; ultrasettantacinquenni da 461.000 a 658.000 (+43%).</w:t>
      </w:r>
    </w:p>
    <w:p w14:paraId="3A0E7406" w14:textId="77777777" w:rsidR="007C4598" w:rsidRDefault="00000000">
      <w:pPr>
        <w:jc w:val="both"/>
      </w:pPr>
      <w:r>
        <w:rPr>
          <w:color w:val="555555"/>
          <w:sz w:val="16"/>
          <w:szCs w:val="16"/>
          <w:vertAlign w:val="superscript"/>
        </w:rPr>
        <w:t>[11]</w:t>
      </w:r>
      <w:r>
        <w:t>: ISTAT: la provincia di Lecce è la più anziana (età media 47,5 anni; indice di vecchiaia 229,8); la provincia di Barletta-Andria-Trani è la più giovane (44,9 anni; indice 169,1).</w:t>
      </w:r>
    </w:p>
    <w:p w14:paraId="5785DD59" w14:textId="77777777" w:rsidR="007C4598" w:rsidRDefault="00000000">
      <w:pPr>
        <w:jc w:val="both"/>
      </w:pPr>
      <w:r>
        <w:rPr>
          <w:color w:val="555555"/>
          <w:sz w:val="16"/>
          <w:szCs w:val="16"/>
          <w:vertAlign w:val="superscript"/>
        </w:rPr>
        <w:t>[12]</w:t>
      </w:r>
      <w:r>
        <w:t>: Indicatori regionali di deprivazione e letteratura epidemiologica sui determinanti sociali: il 37,7% della popolazione pugliese è a rischio di povertà o esclusione sociale; le popolazioni deprivate presentano prevalenze sistematicamente più elevate di disturbi mentali comuni.</w:t>
      </w:r>
    </w:p>
    <w:p w14:paraId="45899100" w14:textId="77777777" w:rsidR="007C4598" w:rsidRDefault="00000000">
      <w:pPr>
        <w:jc w:val="both"/>
      </w:pPr>
      <w:r>
        <w:rPr>
          <w:color w:val="555555"/>
          <w:sz w:val="16"/>
          <w:szCs w:val="16"/>
          <w:vertAlign w:val="superscript"/>
        </w:rPr>
        <w:t>[13]</w:t>
      </w:r>
      <w:r>
        <w:t xml:space="preserve">: Offerta psicologica pubblica: secondo dati del Ministero della Salute riferiti al 2017, l’Italia dispone di 8,5 psicologi ogni 100.000 abitanti nel Servizio sanitario complessivo e di meno di 3 ogni 100.000 nelle sole strutture pubbliche di salute mentale (WHO, </w:t>
      </w:r>
      <w:proofErr w:type="spellStart"/>
      <w:r>
        <w:t>Mental</w:t>
      </w:r>
      <w:proofErr w:type="spellEnd"/>
      <w:r>
        <w:t xml:space="preserve"> </w:t>
      </w:r>
      <w:proofErr w:type="spellStart"/>
      <w:r>
        <w:t>Health</w:t>
      </w:r>
      <w:proofErr w:type="spellEnd"/>
      <w:r>
        <w:t xml:space="preserve"> Atlas), tra le dotazioni più basse d’Europa.</w:t>
      </w:r>
    </w:p>
    <w:p w14:paraId="498C7588" w14:textId="77777777" w:rsidR="007C4598" w:rsidRDefault="00000000">
      <w:pPr>
        <w:jc w:val="both"/>
      </w:pPr>
      <w:r>
        <w:rPr>
          <w:color w:val="555555"/>
          <w:sz w:val="16"/>
          <w:szCs w:val="16"/>
          <w:vertAlign w:val="superscript"/>
        </w:rPr>
        <w:t>[14]</w:t>
      </w:r>
      <w:r>
        <w:t>: Modello olandese (POH-GGZ): l’adozione da parte dei medici di medicina generale è cresciuta da circa un terzo nel 2011 a circa tre quarti nel 2014, con il professionista psicologo integrato nelle cure primarie, finanziato nell’assicurazione di base e con ruolo complementare e non sostitutivo rispetto alla cura ordinaria (</w:t>
      </w:r>
      <w:proofErr w:type="spellStart"/>
      <w:r>
        <w:t>Magnée</w:t>
      </w:r>
      <w:proofErr w:type="spellEnd"/>
      <w:r>
        <w:t xml:space="preserve"> e colleghi, BMJ Open, 2016).</w:t>
      </w:r>
    </w:p>
    <w:p w14:paraId="2C85B5A7" w14:textId="77777777" w:rsidR="007C4598" w:rsidRDefault="00000000">
      <w:pPr>
        <w:jc w:val="both"/>
      </w:pPr>
      <w:r>
        <w:rPr>
          <w:color w:val="555555"/>
          <w:sz w:val="16"/>
          <w:szCs w:val="16"/>
          <w:vertAlign w:val="superscript"/>
        </w:rPr>
        <w:t>[15]</w:t>
      </w:r>
      <w:r>
        <w:t xml:space="preserve">: Carenza della medicina generale in Puglia (Fondazione </w:t>
      </w:r>
      <w:proofErr w:type="spellStart"/>
      <w:r>
        <w:t>Gimbe</w:t>
      </w:r>
      <w:proofErr w:type="spellEnd"/>
      <w:r>
        <w:t>, 2025–2026): circa 279 medici di famiglia mancanti al 1° gennaio 2025 e 702 pensionamenti attesi entro il 2028; riduzione del 26,3% dei medici di medicina generale tra il 2019 e il 2024, quasi il doppio della media nazionale del 14,1%.</w:t>
      </w:r>
    </w:p>
    <w:p w14:paraId="209699F1" w14:textId="77777777" w:rsidR="007C4598" w:rsidRDefault="00000000">
      <w:pPr>
        <w:jc w:val="both"/>
      </w:pPr>
      <w:r>
        <w:rPr>
          <w:color w:val="555555"/>
          <w:sz w:val="16"/>
          <w:szCs w:val="16"/>
          <w:vertAlign w:val="superscript"/>
        </w:rPr>
        <w:t>[16]</w:t>
      </w:r>
      <w:r>
        <w:t>: Struttura della medicina generale pugliese (</w:t>
      </w:r>
      <w:proofErr w:type="spellStart"/>
      <w:r>
        <w:t>Agenas</w:t>
      </w:r>
      <w:proofErr w:type="spellEnd"/>
      <w:r>
        <w:t xml:space="preserve"> 2023; FIMMG): circa 2.811 medici di medicina generale, con carico medio di 1.331 assistiti per medico (soglia ottimale dell’Accordo Collettivo Nazionale pari a 1.200) e 78% di medici con oltre 27 anni di anzianità di laurea; 540 forme associative con circa il 74% di adesione.</w:t>
      </w:r>
    </w:p>
    <w:p w14:paraId="4C9C76F6" w14:textId="77777777" w:rsidR="007C4598" w:rsidRDefault="00000000">
      <w:pPr>
        <w:jc w:val="both"/>
      </w:pPr>
      <w:r>
        <w:rPr>
          <w:color w:val="555555"/>
          <w:sz w:val="16"/>
          <w:szCs w:val="16"/>
          <w:vertAlign w:val="superscript"/>
        </w:rPr>
        <w:t>[17]</w:t>
      </w:r>
      <w:r>
        <w:t>: Assistenza territoriale: il decreto ministeriale 77 del 2022 individua nelle Case della Comunità la sede della presa in carico di prossimità, presso la quale lo psicologo di base si inserisce accanto al medico di medicina generale e al pediatra di libera scelta; la Missione 6 del Piano Nazionale di Ripresa e Resilienza ne finanzia l’infrastruttura fisica e digitale.</w:t>
      </w:r>
    </w:p>
    <w:p w14:paraId="298C8EFD" w14:textId="77777777" w:rsidR="007C4598" w:rsidRDefault="00000000">
      <w:pPr>
        <w:jc w:val="both"/>
      </w:pPr>
      <w:r>
        <w:rPr>
          <w:color w:val="555555"/>
          <w:sz w:val="16"/>
          <w:szCs w:val="16"/>
          <w:vertAlign w:val="superscript"/>
        </w:rPr>
        <w:t>[18]</w:t>
      </w:r>
      <w:r>
        <w:t>: Liste d’attesa: le prestazioni urgenti risultano per lo più garantite nei tempi, mentre le prestazioni programmabili scontano attese lunghe, con tempi che per alcune indagini diagnostiche raggiungono diversi mesi (Piattaforma nazionale liste d’attesa; rilevazioni regionali).</w:t>
      </w:r>
    </w:p>
    <w:p w14:paraId="10564EAA" w14:textId="77777777" w:rsidR="007C4598" w:rsidRDefault="00000000">
      <w:pPr>
        <w:jc w:val="both"/>
      </w:pPr>
      <w:r>
        <w:rPr>
          <w:color w:val="555555"/>
          <w:sz w:val="16"/>
          <w:szCs w:val="16"/>
          <w:vertAlign w:val="superscript"/>
        </w:rPr>
        <w:t>[19]</w:t>
      </w:r>
      <w:r>
        <w:t>: Pronto soccorso: 37 presidi e 1.142.448 accessi l’anno, dei quali circa 914.000 inappropriati (codici a bassa intensità, dell’ordine dell’80%); una quota è riconducibile a disagio psichico e a sintomi somatici funzionali, trattabili a un primo livello territoriale.</w:t>
      </w:r>
    </w:p>
    <w:p w14:paraId="5A147F90" w14:textId="77777777" w:rsidR="007C4598" w:rsidRDefault="00000000">
      <w:pPr>
        <w:jc w:val="both"/>
      </w:pPr>
      <w:r>
        <w:rPr>
          <w:color w:val="555555"/>
          <w:sz w:val="16"/>
          <w:szCs w:val="16"/>
          <w:vertAlign w:val="superscript"/>
        </w:rPr>
        <w:t>[20]</w:t>
      </w:r>
      <w:r>
        <w:t>: Quadro finanziario: la Puglia ha ricevuto per il 2025 un finanziamento del Servizio sanitario regionale nell’ordine di 8,8 miliardi di euro, con un disavanzo di esercizio di circa 350 milioni e disavanzi cumulati superiori a 480 milioni nel quadriennio (documenti regionali di bilancio).</w:t>
      </w:r>
    </w:p>
    <w:p w14:paraId="5F6E8CCE" w14:textId="77777777" w:rsidR="007C4598" w:rsidRDefault="00000000">
      <w:pPr>
        <w:jc w:val="both"/>
      </w:pPr>
      <w:r>
        <w:rPr>
          <w:color w:val="555555"/>
          <w:sz w:val="16"/>
          <w:szCs w:val="16"/>
          <w:vertAlign w:val="superscript"/>
        </w:rPr>
        <w:t>[21]</w:t>
      </w:r>
      <w:r>
        <w:t>: Vincolo costituzionale di destinazione: la Corte costituzionale ha ribadito che una regione sottoposta a vincoli di rientro non può distrarre i fondi sanitari da finalità diverse dai livelli essenziali di assistenza, entro i quali la riforma deve essere ricondotta per risultare finanziabile.</w:t>
      </w:r>
    </w:p>
    <w:p w14:paraId="2F1C9E58" w14:textId="77777777" w:rsidR="007C4598" w:rsidRDefault="00000000">
      <w:pPr>
        <w:jc w:val="both"/>
      </w:pPr>
      <w:r>
        <w:rPr>
          <w:color w:val="555555"/>
          <w:sz w:val="16"/>
          <w:szCs w:val="16"/>
          <w:vertAlign w:val="superscript"/>
        </w:rPr>
        <w:t>[22]</w:t>
      </w:r>
      <w:r>
        <w:t>: Mobilità sanitaria passiva (2023): saldo negativo di 253,2 milioni di euro (prestazioni in fuga 376,6 milioni; mobilità attiva circa 123 milioni), confermato nell’ordine dei 240 milioni nel 2024; tratto distintivo del caso pugliese, poiché ogni quota di domanda trattenuta sul territorio si traduce in risparmio diretto (</w:t>
      </w:r>
      <w:proofErr w:type="spellStart"/>
      <w:r>
        <w:t>Agenas</w:t>
      </w:r>
      <w:proofErr w:type="spellEnd"/>
      <w:r>
        <w:t>; bilanci regionali).</w:t>
      </w:r>
    </w:p>
    <w:p w14:paraId="77F351D5" w14:textId="77777777" w:rsidR="007C4598" w:rsidRDefault="00000000">
      <w:pPr>
        <w:jc w:val="both"/>
      </w:pPr>
      <w:r>
        <w:rPr>
          <w:color w:val="555555"/>
          <w:sz w:val="16"/>
          <w:szCs w:val="16"/>
          <w:vertAlign w:val="superscript"/>
        </w:rPr>
        <w:t>[23]</w:t>
      </w:r>
      <w:r>
        <w:t xml:space="preserve">: Consumo farmaceutico: la Puglia presenta tra i più alti consumi complessivi d’Italia (1.081,9 dosi giornaliere ogni mille abitanti) e una spesa pubblica dell’ordine del 2,3% del prodotto regionale, a fronte di un consumo di antidepressivi tra i più bassi; il divario segnala margini di appropriatezza (AIFA, Rapporto </w:t>
      </w:r>
      <w:proofErr w:type="spellStart"/>
      <w:r>
        <w:t>OsMed</w:t>
      </w:r>
      <w:proofErr w:type="spellEnd"/>
      <w:r>
        <w:t>).</w:t>
      </w:r>
    </w:p>
    <w:p w14:paraId="4C975D9A" w14:textId="77777777" w:rsidR="007C4598" w:rsidRDefault="00000000">
      <w:pPr>
        <w:jc w:val="both"/>
      </w:pPr>
      <w:r>
        <w:rPr>
          <w:color w:val="555555"/>
          <w:sz w:val="16"/>
          <w:szCs w:val="16"/>
          <w:vertAlign w:val="superscript"/>
        </w:rPr>
        <w:t>[25]</w:t>
      </w:r>
      <w:r>
        <w:t xml:space="preserve">: Carico complessivo della cattiva salute mentale: le stime degli organismi internazionali (OCSE-Unione europea, </w:t>
      </w:r>
      <w:proofErr w:type="spellStart"/>
      <w:r>
        <w:t>Health</w:t>
      </w:r>
      <w:proofErr w:type="spellEnd"/>
      <w:r>
        <w:t xml:space="preserve"> </w:t>
      </w:r>
      <w:proofErr w:type="spellStart"/>
      <w:r>
        <w:t>at</w:t>
      </w:r>
      <w:proofErr w:type="spellEnd"/>
      <w:r>
        <w:t xml:space="preserve"> a </w:t>
      </w:r>
      <w:proofErr w:type="spellStart"/>
      <w:r>
        <w:t>Glance</w:t>
      </w:r>
      <w:proofErr w:type="spellEnd"/>
      <w:r>
        <w:t>: Europe) collocano i costi totali oltre il 4% del prodotto interno lordo nei Paesi dell’Unione, sommando spesa sanitaria diretta, costi dei programmi di sicurezza sociale e perdite di produttività; si tratta di una misura del carico, non del rendimento di un investimento.</w:t>
      </w:r>
    </w:p>
    <w:p w14:paraId="65EEB522" w14:textId="77777777" w:rsidR="007C4598" w:rsidRDefault="00000000">
      <w:pPr>
        <w:jc w:val="both"/>
      </w:pPr>
      <w:r>
        <w:rPr>
          <w:color w:val="555555"/>
          <w:sz w:val="16"/>
          <w:szCs w:val="16"/>
          <w:vertAlign w:val="superscript"/>
        </w:rPr>
        <w:t>[26]</w:t>
      </w:r>
      <w:r>
        <w:t xml:space="preserve">: Dominio lavorativo: la cattiva salute mentale incide sul lavoro mediante assenteismo (giornate perdute) e </w:t>
      </w:r>
      <w:proofErr w:type="spellStart"/>
      <w:r>
        <w:t>presenteismo</w:t>
      </w:r>
      <w:proofErr w:type="spellEnd"/>
      <w:r>
        <w:t xml:space="preserve"> (produttività ridotta in presenza di sofferenza); la letteratura indica nel </w:t>
      </w:r>
      <w:proofErr w:type="spellStart"/>
      <w:r>
        <w:t>presenteismo</w:t>
      </w:r>
      <w:proofErr w:type="spellEnd"/>
      <w:r>
        <w:t xml:space="preserve"> la componente più onerosa. Il carico grava sul sistema produttivo e, per la parte indennizzata, sui bilanci previdenziali.</w:t>
      </w:r>
    </w:p>
    <w:p w14:paraId="11A7D18A" w14:textId="77777777" w:rsidR="007C4598" w:rsidRDefault="00000000">
      <w:pPr>
        <w:jc w:val="both"/>
      </w:pPr>
      <w:r>
        <w:rPr>
          <w:color w:val="555555"/>
          <w:sz w:val="16"/>
          <w:szCs w:val="16"/>
          <w:vertAlign w:val="superscript"/>
        </w:rPr>
        <w:t>[27]</w:t>
      </w:r>
      <w:r>
        <w:t>: Dominio pensionistico: i disturbi mentali figurano tra le principali cause di erogazione di prestazioni di invalidità e inabilità nei sistemi previdenziali; l’insorgenza in età lavorativa ne amplifica il costo. La connessione con la figura è indiretta e differita e la stima adotta bande prudenziali per la lunghezza del nesso causale.</w:t>
      </w:r>
    </w:p>
    <w:p w14:paraId="6E1E5C18" w14:textId="77777777" w:rsidR="007C4598" w:rsidRDefault="00000000">
      <w:pPr>
        <w:jc w:val="both"/>
      </w:pPr>
      <w:r>
        <w:rPr>
          <w:color w:val="555555"/>
          <w:sz w:val="16"/>
          <w:szCs w:val="16"/>
          <w:vertAlign w:val="superscript"/>
        </w:rPr>
        <w:t>[28]</w:t>
      </w:r>
      <w:r>
        <w:t xml:space="preserve">: Dominio </w:t>
      </w:r>
      <w:proofErr w:type="spellStart"/>
      <w:r>
        <w:t>prevenzionalistico</w:t>
      </w:r>
      <w:proofErr w:type="spellEnd"/>
      <w:r>
        <w:t>: la presa in carico psicologica di prossimità realizza prevenzione secondaria (intercettazione prima della cronicizzazione) e terziaria (contenimento delle ricadute); ogni ricaduta o cronicizzazione evitata sottrae carico agli altri domini, costituendo il meccanismo di propagazione lungo la cascata.</w:t>
      </w:r>
    </w:p>
    <w:p w14:paraId="1DBFF111" w14:textId="77777777" w:rsidR="007C4598" w:rsidRDefault="00000000">
      <w:pPr>
        <w:jc w:val="both"/>
      </w:pPr>
      <w:r>
        <w:rPr>
          <w:color w:val="555555"/>
          <w:sz w:val="16"/>
          <w:szCs w:val="16"/>
          <w:vertAlign w:val="superscript"/>
        </w:rPr>
        <w:t>[29]</w:t>
      </w:r>
      <w:r>
        <w:t>: Vincoli invarianti sul rendimento: gli investimenti in salute mentale rendono, secondo la letteratura (</w:t>
      </w:r>
      <w:proofErr w:type="spellStart"/>
      <w:r>
        <w:t>Chisholm</w:t>
      </w:r>
      <w:proofErr w:type="spellEnd"/>
      <w:r>
        <w:t xml:space="preserve"> e colleghi, The Lancet </w:t>
      </w:r>
      <w:proofErr w:type="spellStart"/>
      <w:r>
        <w:t>Psychiatry</w:t>
      </w:r>
      <w:proofErr w:type="spellEnd"/>
      <w:r>
        <w:t xml:space="preserve">, 2016), entro intervalli di 2,3–3,0 a 1 per i soli benefici economici e di 3,3–5,7 a 1 con i ritorni in salute; i valori superiori non sono sostenuti dall’evidenza. È preservato il </w:t>
      </w:r>
      <w:proofErr w:type="spellStart"/>
      <w:r>
        <w:t>caveat</w:t>
      </w:r>
      <w:proofErr w:type="spellEnd"/>
      <w:r>
        <w:t xml:space="preserve"> dell’IMPACT trial, secondo cui i risparmi sui costi sanitari non raggiungono la significatività statistica.</w:t>
      </w:r>
    </w:p>
    <w:p w14:paraId="678FE5AD" w14:textId="77777777" w:rsidR="007C4598" w:rsidRDefault="00000000">
      <w:pPr>
        <w:jc w:val="both"/>
      </w:pPr>
      <w:r>
        <w:rPr>
          <w:color w:val="555555"/>
          <w:sz w:val="16"/>
          <w:szCs w:val="16"/>
          <w:vertAlign w:val="superscript"/>
        </w:rPr>
        <w:t>[30]</w:t>
      </w:r>
      <w:r>
        <w:t>: Domini sociali e istituzionali: criminologico (disagio non trattato e devianza, costi della giustizia e recidiva), burocratico (adempimenti e frammentazione), culturale (</w:t>
      </w:r>
      <w:proofErr w:type="spellStart"/>
      <w:r>
        <w:t>destigmatizzazione</w:t>
      </w:r>
      <w:proofErr w:type="spellEnd"/>
      <w:r>
        <w:t xml:space="preserve"> e alfabetizzazione psicologica), pedagogico-scolastico (dispersione e rendimento), sociale (capitale sociale e legami di comunità); connessioni indirette e di lungo periodo, valutate con espressa dichiarazione dei limiti.</w:t>
      </w:r>
    </w:p>
    <w:p w14:paraId="166B0926" w14:textId="77777777" w:rsidR="007C4598" w:rsidRDefault="00000000">
      <w:pPr>
        <w:jc w:val="both"/>
      </w:pPr>
      <w:r>
        <w:rPr>
          <w:color w:val="555555"/>
          <w:sz w:val="16"/>
          <w:szCs w:val="16"/>
          <w:vertAlign w:val="superscript"/>
        </w:rPr>
        <w:t>[31]</w:t>
      </w:r>
      <w:r>
        <w:t>: Livello regionale: la legge della Regione Puglia n. 11 del 2023, prima in Italia, istituisce il servizio individuandone le sedi nei distretti e nelle Case della Comunità, la forma del rapporto nella convenzione, la funzione di filtro verso i servizi specialistici e il pronto soccorso e l’organo di governo nell’Osservatorio regionale; la decisione verte sul portare il servizio a regime.</w:t>
      </w:r>
    </w:p>
    <w:p w14:paraId="234AAE7A" w14:textId="77777777" w:rsidR="007C4598" w:rsidRDefault="00000000">
      <w:pPr>
        <w:jc w:val="both"/>
      </w:pPr>
      <w:r>
        <w:rPr>
          <w:color w:val="555555"/>
          <w:sz w:val="16"/>
          <w:szCs w:val="16"/>
          <w:vertAlign w:val="superscript"/>
        </w:rPr>
        <w:t>[32]</w:t>
      </w:r>
      <w:r>
        <w:t>: Livello nazionale (assistenza territoriale): il decreto ministeriale 77 del 2022 definisce il modello dell’assistenza territoriale e individua nelle Case della Comunità la sede della presa in carico di prossimità; la Missione 6 del Piano Nazionale di Ripresa e Resilienza ne finanzia l’infrastruttura fisica e digitale.</w:t>
      </w:r>
    </w:p>
    <w:p w14:paraId="03145697" w14:textId="77777777" w:rsidR="007C4598" w:rsidRDefault="00000000">
      <w:pPr>
        <w:jc w:val="both"/>
      </w:pPr>
      <w:r>
        <w:rPr>
          <w:color w:val="555555"/>
          <w:sz w:val="16"/>
          <w:szCs w:val="16"/>
          <w:vertAlign w:val="superscript"/>
        </w:rPr>
        <w:t>[33]</w:t>
      </w:r>
      <w:r>
        <w:t>: Livello nazionale (rapporto convenzionale): l’Accordo Collettivo Nazionale della specialistica ambulatoriale disciplina il rapporto convenzionale degli psicologi e fornisce il riferimento contrattuale del modello di costo del personale impiegato nelle parti dedicate ai costi diretti.</w:t>
      </w:r>
    </w:p>
    <w:p w14:paraId="3E4A9148" w14:textId="77777777" w:rsidR="007C4598" w:rsidRDefault="00000000">
      <w:pPr>
        <w:jc w:val="both"/>
      </w:pPr>
      <w:r>
        <w:rPr>
          <w:color w:val="555555"/>
          <w:sz w:val="16"/>
          <w:szCs w:val="16"/>
          <w:vertAlign w:val="superscript"/>
        </w:rPr>
        <w:t>[34]</w:t>
      </w:r>
      <w:r>
        <w:t>: Livelli essenziali di assistenza: definiscono le prestazioni garantite su tutto il territorio nazionale; la funzione di primo livello e di filtro dello Psicologo di Base vi si iscrive come strumento di più efficiente erogazione, conciliando la riforma con il limite costituzionale di destinazione delle risorse e con i vincoli di rientro.</w:t>
      </w:r>
    </w:p>
    <w:p w14:paraId="4DB45A5D" w14:textId="77777777" w:rsidR="007C4598" w:rsidRDefault="00000000">
      <w:pPr>
        <w:jc w:val="both"/>
      </w:pPr>
      <w:r>
        <w:rPr>
          <w:color w:val="555555"/>
          <w:sz w:val="16"/>
          <w:szCs w:val="16"/>
          <w:vertAlign w:val="superscript"/>
        </w:rPr>
        <w:t>[35]</w:t>
      </w:r>
      <w:r>
        <w:t xml:space="preserve">: Livello europeo: il regolamento (UE) 2021/2282 sulla valutazione delle tecnologie sanitarie, applicabile dal 2025, fissa il metodo della valutazione comparativa di cui lo studio adotta il telaio; il regolamento (UE) sull’intelligenza artificiale stabilisce la cornice di </w:t>
      </w:r>
      <w:proofErr w:type="spellStart"/>
      <w:r>
        <w:t>governance</w:t>
      </w:r>
      <w:proofErr w:type="spellEnd"/>
      <w:r>
        <w:t xml:space="preserve"> degli strumenti digitali impiegati come leve abilitanti della figura.</w:t>
      </w:r>
    </w:p>
    <w:p w14:paraId="1AFB7F26" w14:textId="77777777" w:rsidR="007C4598" w:rsidRDefault="00000000">
      <w:r>
        <w:br w:type="page"/>
      </w:r>
    </w:p>
    <w:p w14:paraId="3D4994B8" w14:textId="77777777" w:rsidR="007C4598" w:rsidRDefault="00000000">
      <w:pPr>
        <w:spacing w:before="1200" w:after="200"/>
        <w:jc w:val="center"/>
      </w:pPr>
      <w:r>
        <w:rPr>
          <w:b/>
          <w:bCs/>
          <w:color w:val="C49A48"/>
          <w:sz w:val="64"/>
          <w:szCs w:val="64"/>
        </w:rPr>
        <w:t>PARTE III</w:t>
      </w:r>
    </w:p>
    <w:p w14:paraId="4ADB2E5C" w14:textId="77777777" w:rsidR="007C4598" w:rsidRDefault="00000000">
      <w:pPr>
        <w:spacing w:after="600"/>
        <w:jc w:val="center"/>
      </w:pPr>
      <w:r>
        <w:rPr>
          <w:b/>
          <w:bCs/>
          <w:color w:val="16264B"/>
          <w:sz w:val="32"/>
          <w:szCs w:val="32"/>
        </w:rPr>
        <w:t>L'architettura delle figure a cascata gerarchica piramidale</w:t>
      </w:r>
    </w:p>
    <w:p w14:paraId="558E5F41" w14:textId="77777777" w:rsidR="007C4598" w:rsidRDefault="007C4598">
      <w:pPr>
        <w:pBdr>
          <w:bottom w:val="single" w:sz="6" w:space="1" w:color="C49A48"/>
        </w:pBdr>
        <w:spacing w:after="200"/>
      </w:pPr>
    </w:p>
    <w:p w14:paraId="51E926AA" w14:textId="77777777" w:rsidR="007C4598" w:rsidRDefault="00000000">
      <w:pPr>
        <w:jc w:val="both"/>
      </w:pPr>
      <w:r>
        <w:t>Studio Integrale, Finale e Definitivo  ·  Parte III  ·  Progetto «Psicologo di Base» · Puglia</w:t>
      </w:r>
    </w:p>
    <w:p w14:paraId="787D30BB" w14:textId="77777777" w:rsidR="007C4598" w:rsidRDefault="007C4598"/>
    <w:p w14:paraId="75C36221" w14:textId="77777777" w:rsidR="007C4598" w:rsidRDefault="00000000">
      <w:pPr>
        <w:jc w:val="both"/>
      </w:pPr>
      <w:r>
        <w:rPr>
          <w:b/>
          <w:bCs/>
        </w:rPr>
        <w:t>PROGETTO «PSICOLOGO DI BASE»  ·  REGIONE PUGLIA</w:t>
      </w:r>
    </w:p>
    <w:p w14:paraId="639870EA" w14:textId="77777777" w:rsidR="007C4598" w:rsidRDefault="007C4598"/>
    <w:p w14:paraId="6A30B49F" w14:textId="77777777" w:rsidR="007C4598" w:rsidRDefault="00000000">
      <w:pPr>
        <w:jc w:val="both"/>
      </w:pPr>
      <w:r>
        <w:rPr>
          <w:b/>
          <w:bCs/>
        </w:rPr>
        <w:t>Studio Integrale, Finale e Definitivo</w:t>
      </w:r>
    </w:p>
    <w:p w14:paraId="698E1C03" w14:textId="77777777" w:rsidR="007C4598" w:rsidRDefault="007C4598"/>
    <w:p w14:paraId="0BD5A0A5" w14:textId="77777777" w:rsidR="007C4598" w:rsidRDefault="00000000">
      <w:pPr>
        <w:jc w:val="both"/>
      </w:pPr>
      <w:r>
        <w:rPr>
          <w:b/>
          <w:bCs/>
        </w:rPr>
        <w:t>PARTE III</w:t>
      </w:r>
    </w:p>
    <w:p w14:paraId="1D808F98" w14:textId="77777777" w:rsidR="007C4598" w:rsidRDefault="007C4598"/>
    <w:p w14:paraId="68116FCA" w14:textId="77777777" w:rsidR="007C4598" w:rsidRDefault="00000000">
      <w:pPr>
        <w:jc w:val="both"/>
      </w:pPr>
      <w:r>
        <w:rPr>
          <w:i/>
          <w:iCs/>
        </w:rPr>
        <w:t>L’architettura delle figure a cascata gerarchica piramidale</w:t>
      </w:r>
    </w:p>
    <w:p w14:paraId="7FFA93B6" w14:textId="77777777" w:rsidR="007C4598" w:rsidRDefault="007C4598"/>
    <w:p w14:paraId="4B01AC92" w14:textId="77777777" w:rsidR="007C4598" w:rsidRDefault="00000000">
      <w:pPr>
        <w:jc w:val="both"/>
      </w:pPr>
      <w:r>
        <w:rPr>
          <w:i/>
          <w:iCs/>
        </w:rPr>
        <w:t>La riforma del Servizio di Psicologia di Base in Puglia: rinegoziazione integrale dei costi e dei benefici, diretti e indiretti, lungo la cascata gerarchica delle figure e dei domini</w:t>
      </w:r>
    </w:p>
    <w:p w14:paraId="1A4635D5" w14:textId="77777777" w:rsidR="007C4598" w:rsidRDefault="007C4598"/>
    <w:p w14:paraId="128BE939" w14:textId="77777777" w:rsidR="007C4598" w:rsidRDefault="00000000">
      <w:pPr>
        <w:jc w:val="both"/>
      </w:pPr>
      <w:r>
        <w:rPr>
          <w:b/>
          <w:bCs/>
        </w:rPr>
        <w:t>Perimetro multidisciplinare integrale  ·  Cascata gerarchica piramidale dallo Psicologo di Base</w:t>
      </w:r>
    </w:p>
    <w:p w14:paraId="1C7EF611" w14:textId="77777777" w:rsidR="007C4598" w:rsidRDefault="007C4598"/>
    <w:p w14:paraId="4DB2B328" w14:textId="77777777" w:rsidR="007C4598" w:rsidRDefault="00000000">
      <w:pPr>
        <w:jc w:val="both"/>
      </w:pPr>
      <w:r>
        <w:rPr>
          <w:i/>
          <w:iCs/>
        </w:rPr>
        <w:t>L’Intelligenza Artificiale come leva abilitante, non come oggetto centrale</w:t>
      </w:r>
    </w:p>
    <w:p w14:paraId="5B8FDC39" w14:textId="77777777" w:rsidR="007C4598" w:rsidRDefault="007C4598"/>
    <w:p w14:paraId="3900569E" w14:textId="77777777" w:rsidR="007C4598" w:rsidRDefault="00000000">
      <w:pPr>
        <w:jc w:val="both"/>
      </w:pPr>
      <w:r>
        <w:rPr>
          <w:i/>
          <w:iCs/>
        </w:rPr>
        <w:t xml:space="preserve">Telaio HTA · </w:t>
      </w:r>
      <w:proofErr w:type="spellStart"/>
      <w:r>
        <w:rPr>
          <w:i/>
          <w:iCs/>
        </w:rPr>
        <w:t>Five</w:t>
      </w:r>
      <w:proofErr w:type="spellEnd"/>
      <w:r>
        <w:rPr>
          <w:i/>
          <w:iCs/>
        </w:rPr>
        <w:t xml:space="preserve"> Case Model · CHEERS 2022 · criteri OCSE-DAC</w:t>
      </w:r>
    </w:p>
    <w:p w14:paraId="5D07B20E" w14:textId="77777777" w:rsidR="007C4598" w:rsidRDefault="007C4598"/>
    <w:p w14:paraId="0B46A7F1" w14:textId="77777777" w:rsidR="007C4598" w:rsidRDefault="00000000">
      <w:pPr>
        <w:jc w:val="both"/>
      </w:pPr>
      <w:r>
        <w:t>Autore intellettuale della riforma: Luigi De Michele</w:t>
      </w:r>
    </w:p>
    <w:p w14:paraId="30A58EC3" w14:textId="77777777" w:rsidR="007C4598" w:rsidRDefault="007C4598"/>
    <w:p w14:paraId="5A6289E2" w14:textId="77777777" w:rsidR="007C4598" w:rsidRDefault="00000000">
      <w:pPr>
        <w:jc w:val="both"/>
      </w:pPr>
      <w:r>
        <w:t>Codice fiscale DMCLGU82E11Z112C  ·  PEC luigidemichele@legalmail.it</w:t>
      </w:r>
    </w:p>
    <w:p w14:paraId="1150820A" w14:textId="77777777" w:rsidR="007C4598" w:rsidRDefault="007C4598"/>
    <w:p w14:paraId="5899726D" w14:textId="77777777" w:rsidR="007C4598" w:rsidRDefault="00000000">
      <w:pPr>
        <w:jc w:val="both"/>
      </w:pPr>
      <w:r>
        <w:t>Giugno 2026</w:t>
      </w:r>
    </w:p>
    <w:p w14:paraId="11C7B3AA" w14:textId="77777777" w:rsidR="007C4598" w:rsidRDefault="007C4598"/>
    <w:p w14:paraId="35444219" w14:textId="77777777" w:rsidR="007C4598" w:rsidRDefault="00000000">
      <w:pPr>
        <w:jc w:val="both"/>
      </w:pPr>
      <w:r>
        <w:rPr>
          <w:b/>
          <w:bCs/>
        </w:rPr>
        <w:t>AVVERTENZA</w:t>
      </w:r>
    </w:p>
    <w:p w14:paraId="16A87B8C" w14:textId="77777777" w:rsidR="007C4598" w:rsidRDefault="007C4598"/>
    <w:p w14:paraId="589861C1" w14:textId="77777777" w:rsidR="007C4598" w:rsidRDefault="00000000">
      <w:pPr>
        <w:jc w:val="both"/>
      </w:pPr>
      <w:r>
        <w:rPr>
          <w:b/>
          <w:bCs/>
        </w:rPr>
        <w:t>Avvertenza sui vincoli metodologici invarianti</w:t>
      </w:r>
    </w:p>
    <w:p w14:paraId="68EB1648" w14:textId="77777777" w:rsidR="007C4598" w:rsidRDefault="007C4598"/>
    <w:p w14:paraId="1DC2BAF3" w14:textId="77777777" w:rsidR="007C4598" w:rsidRDefault="00000000">
      <w:pPr>
        <w:jc w:val="both"/>
      </w:pPr>
      <w:r>
        <w:t>La presente Parte si inscrive nello studio integrale, finale e definitivo sulla riforma del Servizio di Psicologia di Base in Puglia ed è vincolata, come ogni altra, ai principi metodologici invarianti del Progetto, che qui si richiamano e che nessuna stima potrà violare. Il ritorno economico degli investimenti in salute mentale è espresso nei soli intervalli sostenuti dalla letteratura, compresi tra 2,3 e 3,0 a 1 per i soli benefici economici e tra 3,3 e 5,7 a 1 con l’inclusione dei ritorni in salute. Il monito dello studio IMPACT, secondo cui i risparmi diretti sui costi sanitari non raggiungono, isolatamente, la significatività statistica, è preservato in ogni passaggio pertinente. Le grandezze fiscali dirette e quelle sociali e indirette sono mantenute rigorosamente distinte, senza duplicazioni tra le categorie, e il medesimo risparmio non è mai imputato a più di una causa. Ogni proiezione adotta bande prudenziali e previsioni falsificabili, e ogni evidenza, comprese quelle relative all’Intelligenza Artificiale, è graduata secondo la sua qualità con il rigore applicato alle affermazioni cliniche.</w:t>
      </w:r>
    </w:p>
    <w:p w14:paraId="528ABA3E" w14:textId="77777777" w:rsidR="007C4598" w:rsidRDefault="007C4598"/>
    <w:p w14:paraId="2F17BEAE" w14:textId="77777777" w:rsidR="007C4598" w:rsidRDefault="00000000">
      <w:pPr>
        <w:jc w:val="both"/>
      </w:pPr>
      <w:r>
        <w:rPr>
          <w:b/>
          <w:bCs/>
        </w:rPr>
        <w:t>INDICE DELLA PARTE</w:t>
      </w:r>
    </w:p>
    <w:p w14:paraId="3CFAF11A" w14:textId="77777777" w:rsidR="007C4598" w:rsidRDefault="007C4598"/>
    <w:p w14:paraId="02004EC3" w14:textId="77777777" w:rsidR="007C4598" w:rsidRDefault="00000000">
      <w:pPr>
        <w:jc w:val="both"/>
      </w:pPr>
      <w:r>
        <w:rPr>
          <w:b/>
          <w:bCs/>
        </w:rPr>
        <w:t>Parte III — Indice</w:t>
      </w:r>
    </w:p>
    <w:p w14:paraId="60DA39EC" w14:textId="77777777" w:rsidR="007C4598" w:rsidRDefault="007C4598"/>
    <w:p w14:paraId="2EECFD96" w14:textId="77777777" w:rsidR="007C4598" w:rsidRDefault="00000000">
      <w:pPr>
        <w:jc w:val="both"/>
      </w:pPr>
      <w:r>
        <w:rPr>
          <w:b/>
          <w:bCs/>
        </w:rPr>
        <w:t>Premessa e criterio ordinatore della Parte</w:t>
      </w:r>
    </w:p>
    <w:p w14:paraId="54C92EB8" w14:textId="77777777" w:rsidR="007C4598" w:rsidRDefault="007C4598"/>
    <w:p w14:paraId="451230C5" w14:textId="77777777" w:rsidR="007C4598" w:rsidRDefault="00000000">
      <w:pPr>
        <w:jc w:val="both"/>
      </w:pPr>
      <w:r>
        <w:rPr>
          <w:b/>
          <w:bCs/>
        </w:rPr>
        <w:t>Introduzione: la cascata come strumento di attribuzione del valore</w:t>
      </w:r>
    </w:p>
    <w:p w14:paraId="65E5CCEE" w14:textId="77777777" w:rsidR="007C4598" w:rsidRDefault="007C4598"/>
    <w:p w14:paraId="3BF3BEB9" w14:textId="77777777" w:rsidR="007C4598" w:rsidRDefault="00000000">
      <w:pPr>
        <w:jc w:val="both"/>
      </w:pPr>
      <w:r>
        <w:rPr>
          <w:b/>
          <w:bCs/>
        </w:rPr>
        <w:t xml:space="preserve">3.1   </w:t>
      </w:r>
      <w:r>
        <w:t>L’apice: lo Psicologo di Base come attore sistemico e origine della cascata</w:t>
      </w:r>
    </w:p>
    <w:p w14:paraId="10E88724" w14:textId="77777777" w:rsidR="007C4598" w:rsidRDefault="007C4598"/>
    <w:p w14:paraId="439531F1" w14:textId="77777777" w:rsidR="007C4598" w:rsidRDefault="00000000">
      <w:pPr>
        <w:jc w:val="both"/>
      </w:pPr>
      <w:r>
        <w:rPr>
          <w:b/>
          <w:bCs/>
        </w:rPr>
        <w:t xml:space="preserve">3.2   </w:t>
      </w:r>
      <w:r>
        <w:t>Il medico di medicina generale e la coppia clinica nelle Case della Comunità</w:t>
      </w:r>
    </w:p>
    <w:p w14:paraId="4DA9B76D" w14:textId="77777777" w:rsidR="007C4598" w:rsidRDefault="007C4598"/>
    <w:p w14:paraId="02EEB861" w14:textId="77777777" w:rsidR="007C4598" w:rsidRDefault="00000000">
      <w:pPr>
        <w:jc w:val="both"/>
      </w:pPr>
      <w:r>
        <w:rPr>
          <w:b/>
          <w:bCs/>
        </w:rPr>
        <w:t xml:space="preserve">3.3   </w:t>
      </w:r>
      <w:r>
        <w:t>Il pediatra di libera scelta</w:t>
      </w:r>
    </w:p>
    <w:p w14:paraId="1B24044F" w14:textId="77777777" w:rsidR="007C4598" w:rsidRDefault="007C4598"/>
    <w:p w14:paraId="4FC5FE7A" w14:textId="77777777" w:rsidR="007C4598" w:rsidRDefault="00000000">
      <w:pPr>
        <w:jc w:val="both"/>
      </w:pPr>
      <w:r>
        <w:rPr>
          <w:b/>
          <w:bCs/>
        </w:rPr>
        <w:t xml:space="preserve">3.4   </w:t>
      </w:r>
      <w:r>
        <w:t>Il neurologo e le neuroscienze territoriali</w:t>
      </w:r>
    </w:p>
    <w:p w14:paraId="79C06C81" w14:textId="77777777" w:rsidR="007C4598" w:rsidRDefault="007C4598"/>
    <w:p w14:paraId="660F7710" w14:textId="77777777" w:rsidR="007C4598" w:rsidRDefault="00000000">
      <w:pPr>
        <w:jc w:val="both"/>
      </w:pPr>
      <w:r>
        <w:rPr>
          <w:b/>
          <w:bCs/>
        </w:rPr>
        <w:t xml:space="preserve">3.5   </w:t>
      </w:r>
      <w:r>
        <w:t>L’infermiere di famiglia e di comunità e la funzione di care manager</w:t>
      </w:r>
    </w:p>
    <w:p w14:paraId="7A5797B8" w14:textId="77777777" w:rsidR="007C4598" w:rsidRDefault="007C4598"/>
    <w:p w14:paraId="0D64782A" w14:textId="77777777" w:rsidR="007C4598" w:rsidRDefault="00000000">
      <w:pPr>
        <w:jc w:val="both"/>
      </w:pPr>
      <w:r>
        <w:rPr>
          <w:b/>
          <w:bCs/>
        </w:rPr>
        <w:t xml:space="preserve">3.6   </w:t>
      </w:r>
      <w:r>
        <w:t>Lo psichiatra consulente e i Centri di Salute Mentale</w:t>
      </w:r>
    </w:p>
    <w:p w14:paraId="6262A292" w14:textId="77777777" w:rsidR="007C4598" w:rsidRDefault="007C4598"/>
    <w:p w14:paraId="7D03A788" w14:textId="77777777" w:rsidR="007C4598" w:rsidRDefault="00000000">
      <w:pPr>
        <w:jc w:val="both"/>
      </w:pPr>
      <w:r>
        <w:rPr>
          <w:b/>
          <w:bCs/>
        </w:rPr>
        <w:t xml:space="preserve">3.7   </w:t>
      </w:r>
      <w:r>
        <w:t>L’assistente sociale e il servizio sociale territoriale  ·  [tranche successiva]</w:t>
      </w:r>
    </w:p>
    <w:p w14:paraId="103F0D36" w14:textId="77777777" w:rsidR="007C4598" w:rsidRDefault="007C4598"/>
    <w:p w14:paraId="5DEA8D62" w14:textId="77777777" w:rsidR="007C4598" w:rsidRDefault="00000000">
      <w:pPr>
        <w:jc w:val="both"/>
      </w:pPr>
      <w:r>
        <w:rPr>
          <w:b/>
          <w:bCs/>
        </w:rPr>
        <w:t xml:space="preserve">3.8   </w:t>
      </w:r>
      <w:r>
        <w:t>Le ulteriori figure sanitarie e socio-sanitarie  ·  [tranche successiva]</w:t>
      </w:r>
    </w:p>
    <w:p w14:paraId="0A3ECE5C" w14:textId="77777777" w:rsidR="007C4598" w:rsidRDefault="007C4598"/>
    <w:p w14:paraId="267F4629" w14:textId="77777777" w:rsidR="007C4598" w:rsidRDefault="00000000">
      <w:pPr>
        <w:jc w:val="both"/>
      </w:pPr>
      <w:r>
        <w:rPr>
          <w:b/>
          <w:bCs/>
        </w:rPr>
        <w:t xml:space="preserve">3.9   </w:t>
      </w:r>
      <w:r>
        <w:t>Le figure educative e scolastiche  ·  [tranche successiva]</w:t>
      </w:r>
    </w:p>
    <w:p w14:paraId="7BB36935" w14:textId="77777777" w:rsidR="007C4598" w:rsidRDefault="007C4598"/>
    <w:p w14:paraId="2CD8200C" w14:textId="77777777" w:rsidR="007C4598" w:rsidRDefault="00000000">
      <w:pPr>
        <w:jc w:val="both"/>
      </w:pPr>
      <w:r>
        <w:rPr>
          <w:b/>
          <w:bCs/>
        </w:rPr>
        <w:t xml:space="preserve">3.10   </w:t>
      </w:r>
      <w:r>
        <w:t>Gli attori istituzionali e amministrativi regionali  ·  [tranche successiva]</w:t>
      </w:r>
    </w:p>
    <w:p w14:paraId="7A5247B2" w14:textId="77777777" w:rsidR="007C4598" w:rsidRDefault="007C4598"/>
    <w:p w14:paraId="4195619D" w14:textId="77777777" w:rsidR="007C4598" w:rsidRDefault="00000000">
      <w:pPr>
        <w:jc w:val="both"/>
      </w:pPr>
      <w:r>
        <w:rPr>
          <w:b/>
          <w:bCs/>
        </w:rPr>
        <w:t xml:space="preserve">3.11   </w:t>
      </w:r>
      <w:r>
        <w:t>Gli attori extra-sanitari  ·  [tranche successiva]</w:t>
      </w:r>
    </w:p>
    <w:p w14:paraId="1ACE97BC" w14:textId="77777777" w:rsidR="007C4598" w:rsidRDefault="007C4598"/>
    <w:p w14:paraId="029FB6A8" w14:textId="77777777" w:rsidR="007C4598" w:rsidRDefault="00000000">
      <w:pPr>
        <w:jc w:val="both"/>
      </w:pPr>
      <w:r>
        <w:rPr>
          <w:b/>
          <w:bCs/>
        </w:rPr>
        <w:t xml:space="preserve">3.12   </w:t>
      </w:r>
      <w:r>
        <w:t>La matrice di influenza e di capacità di rientro: l’ordinamento formale della cascata  ·  [tranche successiva]</w:t>
      </w:r>
    </w:p>
    <w:p w14:paraId="442EF6B7" w14:textId="77777777" w:rsidR="007C4598" w:rsidRDefault="007C4598"/>
    <w:p w14:paraId="58BBA059" w14:textId="77777777" w:rsidR="007C4598" w:rsidRDefault="00000000">
      <w:pPr>
        <w:jc w:val="both"/>
      </w:pPr>
      <w:r>
        <w:rPr>
          <w:b/>
          <w:bCs/>
        </w:rPr>
        <w:t>Quadro Conclusivo economico-sociale e multidisciplinare integrale</w:t>
      </w:r>
    </w:p>
    <w:p w14:paraId="31036D52" w14:textId="77777777" w:rsidR="007C4598" w:rsidRDefault="007C4598"/>
    <w:p w14:paraId="6B85A759" w14:textId="77777777" w:rsidR="007C4598" w:rsidRDefault="00000000">
      <w:pPr>
        <w:jc w:val="both"/>
      </w:pPr>
      <w:r>
        <w:rPr>
          <w:b/>
          <w:bCs/>
        </w:rPr>
        <w:t>Conclusione</w:t>
      </w:r>
    </w:p>
    <w:p w14:paraId="0171E2E5" w14:textId="77777777" w:rsidR="007C4598" w:rsidRDefault="007C4598"/>
    <w:p w14:paraId="091A0B57" w14:textId="77777777" w:rsidR="007C4598" w:rsidRDefault="00000000">
      <w:pPr>
        <w:jc w:val="both"/>
      </w:pPr>
      <w:r>
        <w:rPr>
          <w:b/>
          <w:bCs/>
        </w:rPr>
        <w:t>Note Bibliografiche Integrali</w:t>
      </w:r>
    </w:p>
    <w:p w14:paraId="4731B929" w14:textId="77777777" w:rsidR="007C4598" w:rsidRDefault="007C4598"/>
    <w:p w14:paraId="599933D8" w14:textId="77777777" w:rsidR="007C4598" w:rsidRDefault="00000000">
      <w:pPr>
        <w:pStyle w:val="Titolo1"/>
        <w:pageBreakBefore/>
      </w:pPr>
      <w:r>
        <w:rPr>
          <w:sz w:val="22"/>
          <w:szCs w:val="22"/>
        </w:rPr>
        <w:t>Parte III — L’architettura delle figure a cascata gerarchica piramidale</w:t>
      </w:r>
    </w:p>
    <w:p w14:paraId="6566D4CF" w14:textId="77777777" w:rsidR="007C4598" w:rsidRDefault="007C4598"/>
    <w:p w14:paraId="34FF0641" w14:textId="77777777" w:rsidR="007C4598" w:rsidRDefault="00000000">
      <w:pPr>
        <w:pStyle w:val="Titolo2"/>
        <w:spacing w:before="200" w:after="100"/>
      </w:pPr>
      <w:r>
        <w:rPr>
          <w:sz w:val="22"/>
          <w:szCs w:val="22"/>
        </w:rPr>
        <w:t>Premessa e criterio ordinatore della Parte</w:t>
      </w:r>
    </w:p>
    <w:p w14:paraId="369FCB86" w14:textId="77777777" w:rsidR="007C4598" w:rsidRDefault="007C4598"/>
    <w:p w14:paraId="2B4F9A57" w14:textId="77777777" w:rsidR="007C4598" w:rsidRDefault="00000000">
      <w:pPr>
        <w:jc w:val="both"/>
      </w:pPr>
      <w:r>
        <w:t>La terza Parte dello studio costituisce l’innovazione strutturale dell’intera opera, poiché traduce in disegno analitico il principio ordinatore che le Parti precedenti hanno enunciato e che le Parti successive presupporranno. Mentre la Parte prima ha fissato il mandato, il metodo e i vincoli, e la Parte seconda ha ricostruito il bisogno e il contesto entro cui la riforma opera, la Parte terza dà forma all’ordine richiesto: muove dallo Psicologo di Base, collocato all’apice, e percorre l’intera cascata delle figure, delle istituzioni e degli attori che alla riforma sono connessi in modo diretto o indiretto, ordinandoli secondo due criteri congiunti, l’influenza che ciascuno esercita nel progetto e la capacità che ciascuno possiede di generare un rientro economico o una revisione della spesa pubblica.</w:t>
      </w:r>
    </w:p>
    <w:p w14:paraId="27E0BA19" w14:textId="77777777" w:rsidR="007C4598" w:rsidRDefault="007C4598"/>
    <w:p w14:paraId="73501749" w14:textId="77777777" w:rsidR="007C4598" w:rsidRDefault="00000000">
      <w:pPr>
        <w:jc w:val="both"/>
      </w:pPr>
      <w:r>
        <w:t>Il presente impianto supera in via definitiva il perimetro ristretto alle sole quattro figure dello psicologo, del medico di medicina generale, del pediatra e del neurologo, che nelle prime elaborazioni del Progetto aveva fornito un nucleo di analisi necessariamente parziale. L’analisi che qui si svolge abbraccia l’intera architettura professionale, socio-sanitaria, educativa, istituzionale ed extra-sanitaria che la riforma mette in movimento, e per ciascuna figura definisce quattro elementi costanti: il ruolo che essa assume nel servizio riformato; la connessione, diretta e indiretta, che essa intrattiene con lo Psicologo di Base; il peso d’influenza che essa esercita nel progetto; e la capacità di rientro economico o di revisione della spesa che da essa promana. Questi quattro elementi compongono, per ogni figura, una scheda di profilo omogenea, e l’insieme delle schede costituisce la materia su cui le Parti applicative dello studio fonderanno la quantificazione dei costi e dei benefici.</w:t>
      </w:r>
    </w:p>
    <w:p w14:paraId="629A534A" w14:textId="77777777" w:rsidR="007C4598" w:rsidRDefault="007C4598"/>
    <w:p w14:paraId="557A1CD1" w14:textId="77777777" w:rsidR="007C4598" w:rsidRDefault="00000000">
      <w:pPr>
        <w:jc w:val="both"/>
      </w:pPr>
      <w:r>
        <w:t>È opportuno chiarire fin da subito la natura di questa Parte e i suoi confini. La Parte terza stabilisce l’architettura e l’ordine delle figure, non la quantificazione monetaria dei loro effetti; essa fissa la posizione di ciascun attore nella piramide e la qualità del valore che esso genera, ma rinvia alle Parti settima, ottava, nona e decima la determinazione numerica dei costi diretti, dei risparmi diretti, dei costi e dei benefici indiretti e del saldo consolidato. Tale rinvio non è una reticenza, ma una garanzia di rigore: l’attribuzione del valore a ciascuna figura presuppone un ordinamento stabile, ed è precisamente questo ordinamento che la Parte terza ha il compito di costruire. Senza la cascata, la valutazione integrale rischierebbe di sommare grandezze sovrapposte e di imputare un medesimo risparmio a più cause; con la cascata, ogni effetto trova la propria collocazione e ogni grandezza la propria attribuzione esclusiva.</w:t>
      </w:r>
    </w:p>
    <w:p w14:paraId="48B05D16" w14:textId="77777777" w:rsidR="007C4598" w:rsidRDefault="007C4598"/>
    <w:p w14:paraId="30EFE2B2" w14:textId="77777777" w:rsidR="007C4598" w:rsidRDefault="00000000">
      <w:pPr>
        <w:jc w:val="both"/>
      </w:pPr>
      <w:r>
        <w:t>In coerenza con i vincoli invarianti dell’opera, ogni affermazione che in questa Parte tocchi l’ordine di grandezza del rendimento economico della riforma è ricondotta agli intervalli validati e ai moniti già richiamati, e la posizione dell’Intelligenza Artificiale è mantenuta, una volta per tutte, subordinata: essa compare come una delle leve che rendono più funzionale la figura dello Psicologo di Base, accanto alle leve organizzative, di processo e formative, e non come oggetto autonomo dell’analisi. La trattazione procede ora dalla giustificazione metodologica della cascata, esposta nell’Introduzione, alla descrizione analitica delle singole figure, che ne occupa il corpo, fino alla matrice formale che ne ordina l’insieme e che chiude la Parte.</w:t>
      </w:r>
    </w:p>
    <w:p w14:paraId="7DD88800" w14:textId="77777777" w:rsidR="007C4598" w:rsidRDefault="007C4598"/>
    <w:p w14:paraId="76E650D2" w14:textId="77777777" w:rsidR="007C4598" w:rsidRDefault="00000000">
      <w:pPr>
        <w:pStyle w:val="Titolo2"/>
        <w:spacing w:before="200" w:after="100"/>
      </w:pPr>
      <w:r>
        <w:rPr>
          <w:sz w:val="22"/>
          <w:szCs w:val="22"/>
        </w:rPr>
        <w:t>Introduzione: la cascata come strumento di attribuzione del valore</w:t>
      </w:r>
    </w:p>
    <w:p w14:paraId="7CB78CFC" w14:textId="77777777" w:rsidR="007C4598" w:rsidRDefault="007C4598"/>
    <w:p w14:paraId="28A893C3" w14:textId="77777777" w:rsidR="007C4598" w:rsidRDefault="00000000">
      <w:pPr>
        <w:jc w:val="both"/>
      </w:pPr>
      <w:r>
        <w:t xml:space="preserve">Il principio che governa la Parte terza è la cascata gerarchica piramidale. Esso non è un artificio espositivo, ma uno strumento metodologico che assolve una funzione precisa: ordinare gli attori della riforma secondo la loro posizione nella catena causale degli effetti e, attraverso tale ordinamento, rendere possibile l’attribuzione non </w:t>
      </w:r>
      <w:proofErr w:type="spellStart"/>
      <w:r>
        <w:t>duplicativa</w:t>
      </w:r>
      <w:proofErr w:type="spellEnd"/>
      <w:r>
        <w:t xml:space="preserve"> del valore generato. La cascata muove dall’apice, occupato dallo Psicologo di Base, e discende verso i livelli inferiori, ciascuno dei quali raccoglie, traduce e amplifica gli effetti prodotti ai livelli superiori, fino agli attori di sistema che ne ricevono le ricadute previdenziali, lavorative, giudiziarie, scolastiche e finanziarie. La piramide si articola, secondo l’architettura fissata nella Parte prima, in cinque livelli: l’apice, occupato dallo Psicologo di Base; il secondo livello delle figure cliniche di primo contatto, costituito dal medico di medicina generale, dal pediatra di libera scelta e dal neurologo; il terzo livello delle ulteriori figure sanitarie e socio-sanitarie, tra cui l’infermiere di famiglia e di comunità, lo psichiatra consulente, l’assistente sociale e il farmacista di comunità; il quarto livello delle figure educative e degli attori istituzionali e amministrativi regionali; e la base, costituita dagli attori extra-sanitari, dall’Istituto nazionale della previdenza sociale all’Istituto nazionale per l’assicurazione contro gli infortuni sul lavoro, dal sistema giudiziario alle imprese, dalle organizzazioni sindacali alle università e al terzo settore.</w:t>
      </w:r>
    </w:p>
    <w:p w14:paraId="66396F30" w14:textId="77777777" w:rsidR="007C4598" w:rsidRDefault="007C4598"/>
    <w:p w14:paraId="446B6BFD" w14:textId="77777777" w:rsidR="007C4598" w:rsidRDefault="00000000">
      <w:pPr>
        <w:jc w:val="both"/>
      </w:pPr>
      <w:r>
        <w:t>La gerarchia dei livelli riposa su un duplice criterio, che è necessario esplicitare perché su di esso si fonda l’intero ordinamento delle valutazioni economiche. Il primo criterio è l’influenza nel progetto, intesa come la misura in cui l’azione di una figura condiziona il prodursi degli effetti complessivi della riforma; il secondo criterio è la capacità di generare rientro economico o revisione della spesa, intesa come la misura del valore fiscale o sociale che una figura contribuisce a liberare. I due criteri non coincidono e non si ordinano nel medesimo modo. Lo Psicologo di Base possiede la massima influenza, poiché è l’origine senza la quale nessun effetto a valle si produrrebbe, ma la sua capacità di rientro, pur elevata, è di natura indiretta, perché si esercita attivando e ordinando il valore generato dalle figure sottostanti. Le figure cliniche di primo contatto possiedono un’influenza elevata e una capacità di rientro diretta e immediata, ed è nella loro azione che si producono i risparmi diretti meglio documentati. Gli attori di sistema, infine, possiedono un’influenza più mediata, ma in aggregato la più ampia capacità di rientro economico e sociale, poiché su di essi gravano i costi che la riforma può ridurre.</w:t>
      </w:r>
    </w:p>
    <w:p w14:paraId="681AA3CC" w14:textId="77777777" w:rsidR="007C4598" w:rsidRDefault="007C4598"/>
    <w:p w14:paraId="610AAF9C" w14:textId="77777777" w:rsidR="007C4598" w:rsidRDefault="00000000">
      <w:pPr>
        <w:jc w:val="both"/>
      </w:pPr>
      <w:r>
        <w:t>Il rendimento economico complessivo della riforma, che ciascuna figura concorre a determinare lungo la cascata, è espresso negli intervalli che la letteratura internazionale ha validato e che costituiscono l’ancoraggio invariante dello studio: il rapporto tra benefici e costi è compreso tra 2,3 e 3,0 a 1 quando si considerino i soli benefici economici, e sale a un valore compreso tra 3,3 e 5,7 a 1 quando si includano anche i ritorni in salute.</w:t>
      </w:r>
      <w:r>
        <w:rPr>
          <w:color w:val="555555"/>
          <w:sz w:val="16"/>
          <w:szCs w:val="16"/>
          <w:vertAlign w:val="superscript"/>
        </w:rPr>
        <w:t>[1]</w:t>
      </w:r>
      <w:r>
        <w:t xml:space="preserve"> Tali intervalli, ricavati dall’analisi del ritorno sull’investimento nell’ampliamento dei trattamenti per la depressione e l’ansia, non sono attribuiti a una singola figura, ma misurano il rendimento del sistema riformato nel suo insieme; la cascata serve appunto a distribuire questo rendimento tra gli attori senza che alcuna quota sia contabilizzata due volte. È necessario, in proposito, conservare per intero il monito metodologico secondo cui i risparmi diretti sui costi sanitari, considerati isolatamente, non raggiungono in tutti gli studi la significatività statistica: la giustificazione economica della riforma poggia sul valore complessivo, fiscale e sociale, e non su un risparmio sanitario diretto che la prudenza impone di non sopravvalutare.</w:t>
      </w:r>
      <w:r>
        <w:rPr>
          <w:color w:val="555555"/>
          <w:sz w:val="16"/>
          <w:szCs w:val="16"/>
          <w:vertAlign w:val="superscript"/>
        </w:rPr>
        <w:t>[2]</w:t>
      </w:r>
    </w:p>
    <w:p w14:paraId="71FFE017" w14:textId="77777777" w:rsidR="007C4598" w:rsidRDefault="007C4598"/>
    <w:p w14:paraId="0044CC31" w14:textId="77777777" w:rsidR="007C4598" w:rsidRDefault="00000000">
      <w:pPr>
        <w:jc w:val="both"/>
      </w:pPr>
      <w:r>
        <w:t xml:space="preserve">La cascata delle figure si compone, infine, con la matrice degli ambiti, che la Parte nona svilupperà dominio per dominio. Ogni figura della piramide opera entro più ambiti del perimetro integrale — salutistico, economico, sociale, lavorativo, pensionistico, produttivistico, assistenzialistico, </w:t>
      </w:r>
      <w:proofErr w:type="spellStart"/>
      <w:r>
        <w:t>welfaristico</w:t>
      </w:r>
      <w:proofErr w:type="spellEnd"/>
      <w:r>
        <w:t xml:space="preserve">, </w:t>
      </w:r>
      <w:proofErr w:type="spellStart"/>
      <w:r>
        <w:t>prevenzionalistico</w:t>
      </w:r>
      <w:proofErr w:type="spellEnd"/>
      <w:r>
        <w:t>, criminologico, burocratico, sanitario, culturale, formativo, antropologico, pedagogico e scolastico, accademico, industriale, sindacale e finanziario — e ogni ambito riceve contributi da più livelli della piramide. Lo Psicologo di Base, all’apice, incide in modo diretto sull’ambito salutistico e, per il suo tramite, in modo indiretto su tutti gli altri; le figure dei livelli inferiori traducono e amplificano questo effetto nei rispettivi ambiti, fino agli attori di sistema che ne raccolgono le ricadute economiche e sociali. La presente Parte fissa la dimensione verticale di questa relazione, ossia l’ordine delle figure; la Parte nona ne svilupperà la dimensione orizzontale, ossia la distribuzione degli effetti tra i domini. La riforma del Servizio di Psicologia di Base in Puglia, istituito dalla legge regionale che ne ha definito la cornice, trova così nell’architettura della cascata la propria struttura analitica, e in essa la condizione che rende l’integralità del perimetro compatibile con la prudenza delle stime.</w:t>
      </w:r>
      <w:r>
        <w:rPr>
          <w:color w:val="555555"/>
          <w:sz w:val="16"/>
          <w:szCs w:val="16"/>
          <w:vertAlign w:val="superscript"/>
        </w:rPr>
        <w:t>[3]</w:t>
      </w:r>
    </w:p>
    <w:p w14:paraId="6A5A349D" w14:textId="77777777" w:rsidR="007C4598" w:rsidRDefault="007C4598"/>
    <w:p w14:paraId="21A14973" w14:textId="77777777" w:rsidR="007C4598" w:rsidRDefault="00000000">
      <w:pPr>
        <w:pStyle w:val="Titolo2"/>
        <w:spacing w:before="200" w:after="100"/>
      </w:pPr>
      <w:r>
        <w:rPr>
          <w:sz w:val="22"/>
          <w:szCs w:val="22"/>
        </w:rPr>
        <w:t>3.1  L’apice: lo Psicologo di Base come attore sistemico e origine della cascata</w:t>
      </w:r>
    </w:p>
    <w:p w14:paraId="438B7D8B" w14:textId="77777777" w:rsidR="007C4598" w:rsidRDefault="007C4598"/>
    <w:p w14:paraId="595C233F" w14:textId="77777777" w:rsidR="007C4598" w:rsidRDefault="00000000">
      <w:pPr>
        <w:jc w:val="both"/>
      </w:pPr>
      <w:r>
        <w:t>Allo Psicologo di Base spetta, nell’architettura della riforma, la posizione dell’apice, ed è da questa posizione che discende l’intera cascata delle figure. Tale collocazione non è onorifica ma funzionale: lo Psicologo di Base non è una figura aggiunta a un sistema saturo, bensì il livello mancante di un sistema squilibrato, quel primo livello di ascolto, di intercettazione precoce e di filtro che le cure primarie italiane, costruite attorno alla medicina generale e alla pediatria di libera scelta, non hanno mai posseduto in forma stabile. La funzione che esso assume è insieme clinica e di sistema. Sul piano clinico, lo Psicologo di Base accoglie la domanda di disagio psichico comune nella fase in cui essa è ancora indistinta, fornisce un primo inquadramento e un intervento breve a bassa intensità, stratifica il rischio e regola, secondo criteri di appropriatezza, l’invio ai livelli a maggiore intensità. Sul piano di sistema, esso costituisce il nodo che attiva e ordina il valore generato dalle figure sottostanti, indirizzando la domanda lungo il percorso più efficiente e impedendo che essa si scarichi, come avviene oggi, sui livelli a maggiore costo.</w:t>
      </w:r>
    </w:p>
    <w:p w14:paraId="3EC11B5A" w14:textId="77777777" w:rsidR="007C4598" w:rsidRDefault="007C4598"/>
    <w:p w14:paraId="11432204" w14:textId="77777777" w:rsidR="007C4598" w:rsidRDefault="00000000">
      <w:pPr>
        <w:jc w:val="both"/>
      </w:pPr>
      <w:r>
        <w:t>La ragione per cui allo Psicologo di Base è attribuita la massima influenza nel progetto è di natura controfattuale, e merita di essere enunciata con precisione perché su di essa poggia l’ordinamento dell’intera Parte. L’influenza di una figura, come si è chiarito nell’Introduzione, misura la misura in cui la sua azione condiziona il prodursi degli effetti complessivi della riforma; e la riforma, per definizione, non esisterebbe senza l’introduzione della figura che le dà nome. Ogni grandezza che le Parti applicative misureranno — la riduzione della spesa farmaceutica inappropriata, la riduzione degli accessi impropri al pronto soccorso, la riduzione degli invii non necessari ai servizi specialistici, i benefici nei domini lavorativo, previdenziale e sociale — è, in ultima analisi, riconducibile all’azione dello Psicologo di Base, poiché è la sua introduzione a innescare la catena causale che le produce. In questo senso preciso lo Psicologo di Base è l’origine della cascata, e la sua influenza è massima non perché esso esegua direttamente ogni operazione di risparmio, ma perché ne è la condizione necessaria.</w:t>
      </w:r>
    </w:p>
    <w:p w14:paraId="577CB085" w14:textId="77777777" w:rsidR="007C4598" w:rsidRDefault="007C4598"/>
    <w:p w14:paraId="658CB994" w14:textId="77777777" w:rsidR="007C4598" w:rsidRDefault="00000000">
      <w:pPr>
        <w:jc w:val="both"/>
      </w:pPr>
      <w:r>
        <w:t>La capacità di rientro economico dello Psicologo di Base presenta una caratteristica che ne definisce la natura e che è necessario non equivocare: essa è elevata ma indiretta. Lo Psicologo di Base non genera il proprio valore principalmente attraverso operazioni di risparmio che gli siano direttamente imputabili, ma attivando e ordinando il valore generato dalle figure a valle. È la coppia clinica con il medico di medicina generale a produrre la riduzione delle prescrizioni inappropriate; è la regolazione dell’invio a contenere il carico dei servizi specialistici; è l’intercettazione precoce a evitare la cronicizzazione e a liberare, nei domini sociali, i benefici di maggiore entità. Questa mediazione del valore impone una cautela metodologica che la presente opera adotta integralmente. L’evidenza che sostiene l’efficacia dell’integrazione della psicologia nelle cure primarie è solida e proviene da sperimentazioni controllate e da revisioni sistematiche di elevata qualità, segnatamente dagli studi sul modello di assistenza collaborativa, che ne hanno documentato il beneficio clinico in modo robusto.</w:t>
      </w:r>
      <w:r>
        <w:rPr>
          <w:color w:val="555555"/>
          <w:sz w:val="16"/>
          <w:szCs w:val="16"/>
          <w:vertAlign w:val="superscript"/>
        </w:rPr>
        <w:t>[4][6]</w:t>
      </w:r>
      <w:r>
        <w:t xml:space="preserve"> Tuttavia, il risparmio sui costi sanitari diretti, considerato isolatamente, non raggiunge in tutti gli studi la significatività statistica, come l’analisi di lungo periodo dello studio IMPACT ha mostrato con franchezza;</w:t>
      </w:r>
      <w:r>
        <w:rPr>
          <w:color w:val="555555"/>
          <w:sz w:val="16"/>
          <w:szCs w:val="16"/>
          <w:vertAlign w:val="superscript"/>
        </w:rPr>
        <w:t>[5]</w:t>
      </w:r>
      <w:r>
        <w:t xml:space="preserve"> sicché la giustificazione economica della figura non poggia su un risparmio sanitario diretto da sopravvalutare, ma sul valore complessivo, fiscale e sociale, che la sua azione libera lungo l’intera cascata, nei limiti degli intervalli validati di rendimento.</w:t>
      </w:r>
    </w:p>
    <w:p w14:paraId="62B845BE" w14:textId="77777777" w:rsidR="007C4598" w:rsidRDefault="007C4598"/>
    <w:p w14:paraId="52588834" w14:textId="77777777" w:rsidR="007C4598" w:rsidRDefault="00000000">
      <w:pPr>
        <w:jc w:val="both"/>
      </w:pPr>
      <w:r>
        <w:t xml:space="preserve">Il dimensionamento della figura in Puglia fornisce la base quantitativa su cui le Parti successive eserciteranno la valutazione economica. Sulla popolazione residente regionale, prossima a tre milioni e </w:t>
      </w:r>
      <w:proofErr w:type="spellStart"/>
      <w:r>
        <w:t>ottocentocinquantamila</w:t>
      </w:r>
      <w:proofErr w:type="spellEnd"/>
      <w:r>
        <w:t xml:space="preserve"> abitanti, e adottando un rapporto di copertura compreso tra uno psicologo di base ogni </w:t>
      </w:r>
      <w:proofErr w:type="spellStart"/>
      <w:r>
        <w:t>quattromilaquattrocento</w:t>
      </w:r>
      <w:proofErr w:type="spellEnd"/>
      <w:r>
        <w:t xml:space="preserve"> e uno ogni </w:t>
      </w:r>
      <w:proofErr w:type="spellStart"/>
      <w:r>
        <w:t>quattromilanovecento</w:t>
      </w:r>
      <w:proofErr w:type="spellEnd"/>
      <w:r>
        <w:t xml:space="preserve"> abitanti, il fabbisogno regionale a regime si colloca in un intervallo prudenziale compreso, in cifra tonda, tra ottocento e </w:t>
      </w:r>
      <w:proofErr w:type="spellStart"/>
      <w:r>
        <w:t>ottocentottanta</w:t>
      </w:r>
      <w:proofErr w:type="spellEnd"/>
      <w:r>
        <w:t xml:space="preserve"> professionisti, distribuiti nelle sei aziende sanitarie locali e nei quarantacinque distretti in cui il Servizio sanitario regionale si articola.</w:t>
      </w:r>
      <w:r>
        <w:rPr>
          <w:color w:val="555555"/>
          <w:sz w:val="16"/>
          <w:szCs w:val="16"/>
          <w:vertAlign w:val="superscript"/>
        </w:rPr>
        <w:t>[8]</w:t>
      </w:r>
      <w:r>
        <w:t xml:space="preserve"> Su questa base è possibile formulare una prima previsione falsificabile, che le Parti undicesima e quindicesima sottoporranno a verifica: a regime, una quota prevalente del disagio psichico comune — collocabile, in via prudenziale e con banda di oscillazione, in un intervallo tra tre quinti e sette decimi dei casi intercettati — dovrebbe trovare risoluzione o gestione al primo livello, senza ricorso ai servizi specialistici, con corrispondente riduzione degli invii impropri. La previsione è enunciata in forma di banda e con indicazione delle soglie il cui mancato raggiungimento ne segnalerebbe la confutazione, in coerenza con il vincolo di falsificabilità che governa l’opera.</w:t>
      </w:r>
    </w:p>
    <w:p w14:paraId="296E083C" w14:textId="77777777" w:rsidR="007C4598" w:rsidRDefault="007C4598"/>
    <w:p w14:paraId="7D3EBB5D" w14:textId="77777777" w:rsidR="007C4598" w:rsidRDefault="00000000">
      <w:pPr>
        <w:jc w:val="both"/>
      </w:pPr>
      <w:r>
        <w:t xml:space="preserve">In questa posizione apicale l’Intelligenza Artificiale trova la propria collocazione, che è quella di una leva abilitante e subordinata, non di un oggetto autonomo dell’analisi. Lo strumento computazionale può sostenere lo Psicologo di Base nella stratificazione del rischio, nel triage della domanda e nel monitoraggio degli esiti, accrescendo la capacità della figura di indirizzare la domanda lungo il percorso più appropriato; ma esso opera sempre sotto la supervisione umana, entro la cornice di </w:t>
      </w:r>
      <w:proofErr w:type="spellStart"/>
      <w:r>
        <w:t>governance</w:t>
      </w:r>
      <w:proofErr w:type="spellEnd"/>
      <w:r>
        <w:t xml:space="preserve"> prudenziale che il quadro normativo europeo sull’intelligenza artificiale prescrive per i sistemi impiegati in ambito sanitario, e la sua evidenza è graduata con il medesimo rigore applicato alle affermazioni cliniche, riconoscendo che per numerosi strumenti la qualità delle prove disponibili è ancora moderata o bassa.</w:t>
      </w:r>
      <w:r>
        <w:rPr>
          <w:color w:val="555555"/>
          <w:sz w:val="16"/>
          <w:szCs w:val="16"/>
          <w:vertAlign w:val="superscript"/>
        </w:rPr>
        <w:t>[7][9]</w:t>
      </w:r>
      <w:r>
        <w:t xml:space="preserve"> L’Intelligenza Artificiale, in altri termini, rende più funzionale la figura senza sostituirla né modificarne la posizione nella cascata: l’apice resta umano, e la leva digitale ne amplifica l’azione entro i limiti della responsabilità professionale.</w:t>
      </w:r>
    </w:p>
    <w:p w14:paraId="6AA6C942"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5770"/>
        <w:gridCol w:w="3256"/>
      </w:tblGrid>
      <w:tr w:rsidR="007C4598" w14:paraId="297C5619" w14:textId="77777777">
        <w:trPr>
          <w:gridAfter w:val="1"/>
          <w:wAfter w:w="360" w:type="dxa"/>
        </w:trPr>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B83C72A" w14:textId="77777777" w:rsidR="007C4598" w:rsidRDefault="00000000">
            <w:pPr>
              <w:spacing w:after="40"/>
            </w:pPr>
            <w:r>
              <w:rPr>
                <w:b/>
                <w:bCs/>
                <w:color w:val="FFFFFF"/>
                <w:sz w:val="18"/>
                <w:szCs w:val="18"/>
              </w:rPr>
              <w:t>3.1 — Profilo dell’apice: lo Psicologo di Base</w:t>
            </w:r>
          </w:p>
        </w:tc>
      </w:tr>
      <w:tr w:rsidR="007C4598" w14:paraId="75593DBA"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1FFCDA2" w14:textId="77777777" w:rsidR="007C4598" w:rsidRDefault="00000000">
            <w:pPr>
              <w:spacing w:after="40"/>
            </w:pPr>
            <w:r>
              <w:t>Ruolo nella riforma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D807D71" w14:textId="77777777" w:rsidR="007C4598" w:rsidRDefault="00000000">
            <w:pPr>
              <w:spacing w:after="40"/>
            </w:pPr>
            <w:r>
              <w:t>Primo livello di ascolto, intercettazione precoce, intervento breve a bassa intensità, stratificazione del rischio e regolazione dell’invio; nodo che attiva e ordina il valore lungo la cascata.</w:t>
            </w:r>
          </w:p>
        </w:tc>
      </w:tr>
      <w:tr w:rsidR="007C4598" w14:paraId="16341EEE"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BA1F523" w14:textId="77777777" w:rsidR="007C4598" w:rsidRDefault="00000000">
            <w:pPr>
              <w:spacing w:after="40"/>
            </w:pPr>
            <w:r>
              <w:t>Connessione con lo Psicologo di Base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F464790" w14:textId="77777777" w:rsidR="007C4598" w:rsidRDefault="00000000">
            <w:pPr>
              <w:spacing w:after="40"/>
            </w:pPr>
            <w:r>
              <w:t>Origine della cascata: non è connesso, ma è la figura che istituisce e ordina ogni connessione a valle, a partire dalla coppia clinica con la medicina generale.</w:t>
            </w:r>
          </w:p>
        </w:tc>
      </w:tr>
      <w:tr w:rsidR="007C4598" w14:paraId="7EA82A64"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8934C1A" w14:textId="77777777" w:rsidR="007C4598" w:rsidRDefault="00000000">
            <w:pPr>
              <w:spacing w:after="40"/>
            </w:pPr>
            <w:r>
              <w:t>Peso d’influenza nel progetto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5DB71C3" w14:textId="77777777" w:rsidR="007C4598" w:rsidRDefault="00000000">
            <w:pPr>
              <w:spacing w:after="40"/>
            </w:pPr>
            <w:r>
              <w:t>Massimo. Condizione necessaria controfattuale di ogni effetto della riforma; senza la sua introduzione nessuna grandezza a valle si produrrebbe.</w:t>
            </w:r>
          </w:p>
        </w:tc>
      </w:tr>
      <w:tr w:rsidR="007C4598" w14:paraId="444376DD"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46F3564" w14:textId="77777777" w:rsidR="007C4598" w:rsidRDefault="00000000">
            <w:pPr>
              <w:spacing w:after="40"/>
            </w:pPr>
            <w:r>
              <w:t>Capacità di rientro economico o di revisione della spesa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96008EF" w14:textId="77777777" w:rsidR="007C4598" w:rsidRDefault="00000000">
            <w:pPr>
              <w:spacing w:after="40"/>
            </w:pPr>
            <w:r>
              <w:t>Elevata ma indiretta: si esercita attivando il valore generato dalle figure sottostanti. Si applica il monito sulla non significatività isolata dei risparmi sanitari diretti.</w:t>
            </w:r>
          </w:p>
        </w:tc>
      </w:tr>
    </w:tbl>
    <w:p w14:paraId="6B33E568"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1CF89E1A"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0F4C0EA" w14:textId="77777777" w:rsidR="007C4598" w:rsidRDefault="00000000">
            <w:pPr>
              <w:spacing w:after="40"/>
            </w:pPr>
            <w:r>
              <w:rPr>
                <w:b/>
                <w:bCs/>
                <w:color w:val="FFFFFF"/>
                <w:sz w:val="18"/>
                <w:szCs w:val="18"/>
              </w:rPr>
              <w:t xml:space="preserve">SEGNAPOSTO INFOGRAFICA — CODICE CANVA-FRIENDLY La cascata gerarchica piramidale — dallo Psicologo di Base agli attori di sistema Tipo grafico:  Piramide a 5 bande orizzontali (apice in alto, base in basso), stile piatto e preciso Dimensioni:  1080 × 1350 </w:t>
            </w:r>
            <w:proofErr w:type="spellStart"/>
            <w:r>
              <w:rPr>
                <w:b/>
                <w:bCs/>
                <w:color w:val="FFFFFF"/>
                <w:sz w:val="18"/>
                <w:szCs w:val="18"/>
              </w:rPr>
              <w:t>px</w:t>
            </w:r>
            <w:proofErr w:type="spellEnd"/>
            <w:r>
              <w:rPr>
                <w:b/>
                <w:bCs/>
                <w:color w:val="FFFFFF"/>
                <w:sz w:val="18"/>
                <w:szCs w:val="18"/>
              </w:rPr>
              <w:t xml:space="preserve"> (verticale) — variante 1920 × 1080 </w:t>
            </w:r>
            <w:proofErr w:type="spellStart"/>
            <w:r>
              <w:rPr>
                <w:b/>
                <w:bCs/>
                <w:color w:val="FFFFFF"/>
                <w:sz w:val="18"/>
                <w:szCs w:val="18"/>
              </w:rPr>
              <w:t>px</w:t>
            </w:r>
            <w:proofErr w:type="spellEnd"/>
            <w:r>
              <w:rPr>
                <w:b/>
                <w:bCs/>
                <w:color w:val="FFFFFF"/>
                <w:sz w:val="18"/>
                <w:szCs w:val="18"/>
              </w:rPr>
              <w:t xml:space="preserve"> (orizzontale) Sfondo:  Gradiente bianco 85% (#FFFFFF) → crema 15% (#FBF7EE), verticale dall’alto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44 </w:t>
            </w:r>
            <w:proofErr w:type="spellStart"/>
            <w:r>
              <w:rPr>
                <w:b/>
                <w:bCs/>
                <w:color w:val="FFFFFF"/>
                <w:sz w:val="18"/>
                <w:szCs w:val="18"/>
              </w:rPr>
              <w:t>pt</w:t>
            </w:r>
            <w:proofErr w:type="spellEnd"/>
            <w:r>
              <w:rPr>
                <w:b/>
                <w:bCs/>
                <w:color w:val="FFFFFF"/>
                <w:sz w:val="18"/>
                <w:szCs w:val="18"/>
              </w:rPr>
              <w:t xml:space="preserve"> </w:t>
            </w:r>
            <w:proofErr w:type="spellStart"/>
            <w:r>
              <w:rPr>
                <w:b/>
                <w:bCs/>
                <w:color w:val="FFFFFF"/>
                <w:sz w:val="18"/>
                <w:szCs w:val="18"/>
              </w:rPr>
              <w:t>Bold</w:t>
            </w:r>
            <w:proofErr w:type="spellEnd"/>
            <w:r>
              <w:rPr>
                <w:b/>
                <w:bCs/>
                <w:color w:val="FFFFFF"/>
                <w:sz w:val="18"/>
                <w:szCs w:val="18"/>
              </w:rPr>
              <w:t xml:space="preserve">, etichette banda 22 </w:t>
            </w:r>
            <w:proofErr w:type="spellStart"/>
            <w:r>
              <w:rPr>
                <w:b/>
                <w:bCs/>
                <w:color w:val="FFFFFF"/>
                <w:sz w:val="18"/>
                <w:szCs w:val="18"/>
              </w:rPr>
              <w:t>pt</w:t>
            </w:r>
            <w:proofErr w:type="spellEnd"/>
            <w:r>
              <w:rPr>
                <w:b/>
                <w:bCs/>
                <w:color w:val="FFFFFF"/>
                <w:sz w:val="18"/>
                <w:szCs w:val="18"/>
              </w:rPr>
              <w:t xml:space="preserve"> </w:t>
            </w:r>
            <w:proofErr w:type="spellStart"/>
            <w:r>
              <w:rPr>
                <w:b/>
                <w:bCs/>
                <w:color w:val="FFFFFF"/>
                <w:sz w:val="18"/>
                <w:szCs w:val="18"/>
              </w:rPr>
              <w:t>SemiBold</w:t>
            </w:r>
            <w:proofErr w:type="spellEnd"/>
            <w:r>
              <w:rPr>
                <w:b/>
                <w:bCs/>
                <w:color w:val="FFFFFF"/>
                <w:sz w:val="18"/>
                <w:szCs w:val="18"/>
              </w:rPr>
              <w:t xml:space="preserve">, esempi 14 </w:t>
            </w:r>
            <w:proofErr w:type="spellStart"/>
            <w:r>
              <w:rPr>
                <w:b/>
                <w:bCs/>
                <w:color w:val="FFFFFF"/>
                <w:sz w:val="18"/>
                <w:szCs w:val="18"/>
              </w:rPr>
              <w:t>pt</w:t>
            </w:r>
            <w:proofErr w:type="spellEnd"/>
            <w:r>
              <w:rPr>
                <w:b/>
                <w:bCs/>
                <w:color w:val="FFFFFF"/>
                <w:sz w:val="18"/>
                <w:szCs w:val="18"/>
              </w:rPr>
              <w:t xml:space="preserve"> Regular Banda 1 · Apice:  Etichetta «Psicologo di Base» — colore #16264B — testo #FFFFFF Banda 2:  «Medico di medicina generale · Pediatra · Neurologo» — colore #1E3A6B — testo #FFFFFF Banda 3:  «Infermiere di comunità · Psichiatra consulente · Assistente sociale · Farmacista» — #2E5A8F — testo #FFFFFF Banda 4:  «Psicologo scolastico · ASL · Distretti · Azienda Zero · Regione» — #16264B — testo #FFFFFF Banda 5 · Base:  «INPS · INAIL · Giustizia · Imprese · Sindacati · Università · Terzo settore» — #101F3C — testo #FBF7EE Accenti:  Filo oro #C49A48 sotto il titolo e linea oro alla base della banda apicale Numerazione livelli:  Cifre 1–5 a sinistra di ciascuna banda, colore #2E5A8F Nota variante 3D:  Effetto rilievo leggero sulle bande (ombra morbida 8% verso il basso), mantenendo leggibilità piatta</w:t>
            </w:r>
          </w:p>
          <w:p w14:paraId="0899ADB3" w14:textId="77777777" w:rsidR="007C4598" w:rsidRDefault="00000000">
            <w:pPr>
              <w:spacing w:before="120" w:after="60"/>
              <w:jc w:val="center"/>
            </w:pPr>
            <w:r>
              <w:rPr>
                <w:noProof/>
              </w:rPr>
              <w:drawing>
                <wp:inline distT="0" distB="0" distL="0" distR="0" wp14:anchorId="742ABF57" wp14:editId="26FB580E">
                  <wp:extent cx="8229600" cy="4629150"/>
                  <wp:effectExtent l="0" t="0" r="0" b="0"/>
                  <wp:docPr id="114" name="Infografica14" descr="La cascata gerarchica piramidale — dallo Psicologo di Base agli attori di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nfografica14"/>
                          <pic:cNvPicPr>
                            <a:picLocks noChangeAspect="1" noChangeArrowheads="1"/>
                          </pic:cNvPicPr>
                        </pic:nvPicPr>
                        <pic:blipFill>
                          <a:blip r:embed="rId17">
                            <a:extLst>
                              <a:ext uri="{96DAC541-7B7A-43D3-8B79-37D633B846F1}">
                                <asvg:svgBlip xmlns:asvg="http://schemas.microsoft.com/office/drawing/2016/SVG/main" r:embed="rId18"/>
                              </a:ext>
                            </a:extLst>
                          </a:blip>
                          <a:stretch>
                            <a:fillRect/>
                          </a:stretch>
                        </pic:blipFill>
                        <pic:spPr bwMode="auto">
                          <a:xfrm>
                            <a:off x="0" y="0"/>
                            <a:ext cx="8229600" cy="4629150"/>
                          </a:xfrm>
                          <a:prstGeom prst="rect">
                            <a:avLst/>
                          </a:prstGeom>
                          <a:noFill/>
                          <a:ln>
                            <a:noFill/>
                          </a:ln>
                        </pic:spPr>
                      </pic:pic>
                    </a:graphicData>
                  </a:graphic>
                </wp:inline>
              </w:drawing>
            </w:r>
          </w:p>
          <w:p w14:paraId="0AA95398" w14:textId="77777777" w:rsidR="007C4598" w:rsidRDefault="00000000">
            <w:pPr>
              <w:spacing w:before="40" w:after="200"/>
              <w:jc w:val="center"/>
            </w:pPr>
            <w:r>
              <w:rPr>
                <w:i/>
                <w:color w:val="2E5A8F"/>
                <w:sz w:val="16"/>
                <w:szCs w:val="16"/>
              </w:rPr>
              <w:t>Fig. 3.1 — La cascata gerarchica piramidale — dallo Psicologo di Base agli attori di sistema. Elaborazione dello studio · Luigi De Michele · Giugno 2026.</w:t>
            </w:r>
          </w:p>
        </w:tc>
      </w:tr>
    </w:tbl>
    <w:p w14:paraId="08D6018C" w14:textId="77777777" w:rsidR="007C4598" w:rsidRDefault="007C4598"/>
    <w:p w14:paraId="150610E2" w14:textId="77777777" w:rsidR="007C4598" w:rsidRDefault="00000000">
      <w:pPr>
        <w:pStyle w:val="Titolo2"/>
        <w:spacing w:before="200" w:after="100"/>
      </w:pPr>
      <w:r>
        <w:rPr>
          <w:sz w:val="22"/>
          <w:szCs w:val="22"/>
        </w:rPr>
        <w:t>3.2  Il medico di medicina generale e la coppia clinica nelle Case della Comunità</w:t>
      </w:r>
    </w:p>
    <w:p w14:paraId="24C26A59" w14:textId="77777777" w:rsidR="007C4598" w:rsidRDefault="007C4598"/>
    <w:p w14:paraId="51768D4E" w14:textId="77777777" w:rsidR="007C4598" w:rsidRDefault="00000000">
      <w:pPr>
        <w:jc w:val="both"/>
      </w:pPr>
      <w:r>
        <w:t>Il medico di medicina generale occupa il secondo livello della cascata e, insieme allo Psicologo di Base, costituisce il fulcro operativo della riforma. La sua posizione è quella della figura clinica di primo contatto, il professionista cui la popolazione si rivolge per primo e che, nell’assetto attuale, gestisce di fatto la quota prevalente della domanda di disagio psichico comune. Tale gestione, tuttavia, avviene oggi in condizioni di strutturale inadeguatezza dello strumento: priva di una figura psicologica con cui condividere la presa in carico, e gravata da una carenza di organico che la Parte seconda ha documentato nel contesto pugliese, la medicina generale risponde alla domanda psichica con i mezzi di cui dispone, che sono prevalentemente la prescrizione farmacologica e l’invio allo specialista, l’una e l’altro non di rado inappropriati rispetto alla natura del bisogno. È in questa inadeguatezza dello strumento, e non in una insufficienza del professionista, che risiede lo spazio di valore che la riforma intende liberare.</w:t>
      </w:r>
    </w:p>
    <w:p w14:paraId="4C17D349" w14:textId="77777777" w:rsidR="007C4598" w:rsidRDefault="007C4598"/>
    <w:p w14:paraId="49116B37" w14:textId="77777777" w:rsidR="007C4598" w:rsidRDefault="00000000">
      <w:pPr>
        <w:jc w:val="both"/>
      </w:pPr>
      <w:r>
        <w:t xml:space="preserve">La riforma trasforma questa condizione attraverso la coppia clinica tra medico di medicina generale e Psicologo di Base, collocata nelle Case della Comunità che la programmazione territoriale ha posto al centro dell’assistenza di prossimità. La coppia clinica non è una giustapposizione di competenze, ma un dispositivo organizzato di integrazione funzionale, che ridefinisce il primo contatto secondo la logica della cura per intensità crescente: il medico di medicina generale conserva la </w:t>
      </w:r>
      <w:proofErr w:type="spellStart"/>
      <w:r>
        <w:t>governance</w:t>
      </w:r>
      <w:proofErr w:type="spellEnd"/>
      <w:r>
        <w:t xml:space="preserve"> clinica e somatica del paziente e la responsabilità del percorso, mentre lo Psicologo di Base assorbe la domanda di disagio psichico comune che oggi affluisce impropriamente nei soli studi della medicina generale, fornendo l’ascolto, l’inquadramento e l’intervento breve che la condizione richiede.</w:t>
      </w:r>
      <w:r>
        <w:rPr>
          <w:color w:val="555555"/>
          <w:sz w:val="16"/>
          <w:szCs w:val="16"/>
          <w:vertAlign w:val="superscript"/>
        </w:rPr>
        <w:t>[10]</w:t>
      </w:r>
      <w:r>
        <w:t xml:space="preserve"> La domanda viene così intercettata e trattata al livello appropriato, e i livelli a maggiore intensità e costo sono riservati ai casi che effettivamente li richiedono. La coppia clinica è, in questo senso, il luogo in cui l’influenza apicale dello Psicologo di Base si converte in azione clinica quotidiana, e il punto della cascata in cui si producono i risparmi diretti meglio documentati.</w:t>
      </w:r>
    </w:p>
    <w:p w14:paraId="3C4AF2B3" w14:textId="77777777" w:rsidR="007C4598" w:rsidRDefault="007C4598"/>
    <w:p w14:paraId="224D8F13" w14:textId="77777777" w:rsidR="007C4598" w:rsidRDefault="00000000">
      <w:pPr>
        <w:jc w:val="both"/>
      </w:pPr>
      <w:r>
        <w:t>La capacità di rientro economico associata alla coppia clinica è diretta e immediata, e si articola in tre canali principali, che le Parti settima e ottava quantificheranno e che qui si enunciano nella loro qualità. Il primo canale è la riduzione della spesa farmaceutica inappropriata: la disponibilità di una risposta psicologica al primo contatto consente di ridurre la prescrizione di ansiolitici e antidepressivi nei casi in cui essa non sia indicata o sia anteposta a un trattamento psicologico più appropriato, fenomeno che i rapporti nazionali sull’uso dei medicinali documentano come rilevante per le benzodiazepine in particolare.</w:t>
      </w:r>
      <w:r>
        <w:rPr>
          <w:color w:val="555555"/>
          <w:sz w:val="16"/>
          <w:szCs w:val="16"/>
          <w:vertAlign w:val="superscript"/>
        </w:rPr>
        <w:t>[12]</w:t>
      </w:r>
      <w:r>
        <w:t xml:space="preserve"> Il secondo canale è la riduzione degli accessi impropri al pronto soccorso e dei ricoveri evitabili per condizioni psichiche non urgenti, che trovano nella presa in carico di prossimità un’alternativa più appropriata e meno costosa. Il terzo canale è la riduzione degli invii non necessari ai servizi specialistici e degli esami e delle visite che ne conseguono, resa possibile dalla regolazione dell’accesso operata dalla coppia clinica.</w:t>
      </w:r>
    </w:p>
    <w:p w14:paraId="1476A1C6" w14:textId="77777777" w:rsidR="007C4598" w:rsidRDefault="007C4598"/>
    <w:p w14:paraId="2628E28D" w14:textId="77777777" w:rsidR="007C4598" w:rsidRDefault="00000000">
      <w:pPr>
        <w:jc w:val="both"/>
      </w:pPr>
      <w:r>
        <w:t>Sul piano dell’evidenza, la coppia clinica si fonda su una base documentale di elevata qualità. Il modello dell’assistenza collaborativa, di cui la coppia clinica costituisce l’applicazione al contesto delle cure primarie italiane, è sostenuto da numerose sperimentazioni controllate randomizzate e da revisioni sistematiche che ne attestano l’efficacia clinica con un grado di certezza elevato; e l’esperienza dei programmi nazionali di accesso ai trattamenti psicologici, segnatamente quella maturata nel sistema sanitario inglese, ne ha confermato la sostenibilità su larga scala e l’apprezzabile ritorno in termini di esiti e di costi sociali evitati.</w:t>
      </w:r>
      <w:r>
        <w:rPr>
          <w:color w:val="555555"/>
          <w:sz w:val="16"/>
          <w:szCs w:val="16"/>
          <w:vertAlign w:val="superscript"/>
        </w:rPr>
        <w:t>[11][13][14]</w:t>
      </w:r>
      <w:r>
        <w:t xml:space="preserve"> È in questa sede, tuttavia, che il monito metodologico sulla non significatività isolata dei risparmi sanitari diretti spiega per intero la propria portata: il valore della coppia clinica non si misura sul solo risparmio sanitario diretto, che la prudenza impone di non sovrastimare, ma sul concorso di tale risparmio con i benefici sociali e indiretti che la riforma libera, entro gli intervalli di rendimento validati e nel rispetto della regola di non duplicazione tra grandezze fiscali e sociali.</w:t>
      </w:r>
    </w:p>
    <w:p w14:paraId="098808DA" w14:textId="77777777" w:rsidR="007C4598" w:rsidRDefault="007C4598"/>
    <w:p w14:paraId="42C84D91" w14:textId="77777777" w:rsidR="007C4598" w:rsidRDefault="00000000">
      <w:pPr>
        <w:jc w:val="both"/>
      </w:pPr>
      <w:r>
        <w:t>Su questa base è possibile formulare una seconda previsione falsificabile, riferita specificamente all’azione della coppia clinica e verificabile ex post sui dati regionali. A regime, l’introduzione della coppia clinica nelle Case della Comunità dovrebbe produrre una riduzione misurabile della prescrizione inappropriata di psicofarmaci nella popolazione assistita e una corrispondente riduzione degli invii della medicina generale ai servizi specialistici per disagio psichico comune, collocabili, in via prudenziale e con banda di oscillazione, in un intervallo di riduzione compreso tra un decimo e un quinto dei volumi attuali nell’orizzonte di consolidamento. La previsione è enunciata in forma di banda, con indicazione delle soglie di confutazione, e sarà sottoposta a verifica nel sistema di monitoraggio regionale, in coerenza con il vincolo di falsificabilità dell’opera.</w:t>
      </w:r>
    </w:p>
    <w:p w14:paraId="19547A43"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5770"/>
        <w:gridCol w:w="3256"/>
      </w:tblGrid>
      <w:tr w:rsidR="007C4598" w14:paraId="1A7DCF9E" w14:textId="77777777">
        <w:trPr>
          <w:gridAfter w:val="1"/>
          <w:wAfter w:w="360" w:type="dxa"/>
        </w:trPr>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8E313DC" w14:textId="77777777" w:rsidR="007C4598" w:rsidRDefault="00000000">
            <w:pPr>
              <w:spacing w:after="40"/>
            </w:pPr>
            <w:r>
              <w:rPr>
                <w:b/>
                <w:bCs/>
                <w:color w:val="FFFFFF"/>
                <w:sz w:val="18"/>
                <w:szCs w:val="18"/>
              </w:rPr>
              <w:t>3.2 — Profilo del medico di medicina generale e della coppia clinica</w:t>
            </w:r>
          </w:p>
        </w:tc>
      </w:tr>
      <w:tr w:rsidR="007C4598" w14:paraId="6D9EBD40"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7929B11" w14:textId="77777777" w:rsidR="007C4598" w:rsidRDefault="00000000">
            <w:pPr>
              <w:spacing w:after="40"/>
            </w:pPr>
            <w:r>
              <w:t>Ruolo nella riforma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E53BDA1" w14:textId="77777777" w:rsidR="007C4598" w:rsidRDefault="00000000">
            <w:pPr>
              <w:spacing w:after="40"/>
            </w:pPr>
            <w:r>
              <w:t xml:space="preserve">Figura clinica di primo contatto; conserva la </w:t>
            </w:r>
            <w:proofErr w:type="spellStart"/>
            <w:r>
              <w:t>governance</w:t>
            </w:r>
            <w:proofErr w:type="spellEnd"/>
            <w:r>
              <w:t xml:space="preserve"> clinica e somatica del percorso. In coppia clinica con lo Psicologo di Base ridefinisce il primo contatto secondo la cura per intensità crescente.</w:t>
            </w:r>
          </w:p>
        </w:tc>
      </w:tr>
      <w:tr w:rsidR="007C4598" w14:paraId="5B89BC3C"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DCF3283" w14:textId="77777777" w:rsidR="007C4598" w:rsidRDefault="00000000">
            <w:pPr>
              <w:spacing w:after="40"/>
            </w:pPr>
            <w:r>
              <w:t>Connessione con lo Psicologo di Base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0D1CBF2" w14:textId="77777777" w:rsidR="007C4598" w:rsidRDefault="00000000">
            <w:pPr>
              <w:spacing w:after="40"/>
            </w:pPr>
            <w:r>
              <w:t>Diretta e quotidiana: la coppia clinica nelle Case della Comunità è il luogo in cui l’influenza apicale si converte in azione clinica e in risparmio diretto.</w:t>
            </w:r>
          </w:p>
        </w:tc>
      </w:tr>
      <w:tr w:rsidR="007C4598" w14:paraId="3C085B5F"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E0721E9" w14:textId="77777777" w:rsidR="007C4598" w:rsidRDefault="00000000">
            <w:pPr>
              <w:spacing w:after="40"/>
            </w:pPr>
            <w:r>
              <w:t>Peso d’influenza nel progetto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2ACD8DE" w14:textId="77777777" w:rsidR="007C4598" w:rsidRDefault="00000000">
            <w:pPr>
              <w:spacing w:after="40"/>
            </w:pPr>
            <w:r>
              <w:t>Elevato. Punto di conversione del valore: la trasformazione del primo contatto è la condizione operativa dell’intera riforma.</w:t>
            </w:r>
          </w:p>
        </w:tc>
      </w:tr>
      <w:tr w:rsidR="007C4598" w14:paraId="76301C5A"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7A61120" w14:textId="77777777" w:rsidR="007C4598" w:rsidRDefault="00000000">
            <w:pPr>
              <w:spacing w:after="40"/>
            </w:pPr>
            <w:r>
              <w:t>Capacità di rientro economico o di revisione della spesa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8EBB94A" w14:textId="77777777" w:rsidR="007C4598" w:rsidRDefault="00000000">
            <w:pPr>
              <w:spacing w:after="40"/>
            </w:pPr>
            <w:r>
              <w:t>Diretta e immediata, su tre canali: appropriatezza farmaceutica; riduzione di accessi impropri al pronto soccorso e ricoveri evitabili; riduzione di invii ed esami non necessari. Con monito sulla significatività isolata.</w:t>
            </w:r>
          </w:p>
        </w:tc>
      </w:tr>
    </w:tbl>
    <w:p w14:paraId="2EBCAC0C"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69BE622B"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7210BDF" w14:textId="77777777" w:rsidR="007C4598" w:rsidRDefault="00000000">
            <w:pPr>
              <w:spacing w:after="40"/>
            </w:pPr>
            <w:r>
              <w:rPr>
                <w:b/>
                <w:bCs/>
                <w:color w:val="FFFFFF"/>
                <w:sz w:val="18"/>
                <w:szCs w:val="18"/>
              </w:rPr>
              <w:t xml:space="preserve">SEGNAPOSTO INFOGRAFICA — CODICE CANVA-FRIENDLY I tre canali del risparmio diretto della coppia clinica Tipo grafico:  Barre orizzontali a tre voci con icona a sinistra di ciascuna barra, stile piatto Dimensioni:  1080 × 1080 </w:t>
            </w:r>
            <w:proofErr w:type="spellStart"/>
            <w:r>
              <w:rPr>
                <w:b/>
                <w:bCs/>
                <w:color w:val="FFFFFF"/>
                <w:sz w:val="18"/>
                <w:szCs w:val="18"/>
              </w:rPr>
              <w:t>px</w:t>
            </w:r>
            <w:proofErr w:type="spellEnd"/>
            <w:r>
              <w:rPr>
                <w:b/>
                <w:bCs/>
                <w:color w:val="FFFFFF"/>
                <w:sz w:val="18"/>
                <w:szCs w:val="18"/>
              </w:rPr>
              <w:t xml:space="preserve"> (quadrato) — variante 1920 × 1080 </w:t>
            </w:r>
            <w:proofErr w:type="spellStart"/>
            <w:r>
              <w:rPr>
                <w:b/>
                <w:bCs/>
                <w:color w:val="FFFFFF"/>
                <w:sz w:val="18"/>
                <w:szCs w:val="18"/>
              </w:rPr>
              <w:t>px</w:t>
            </w:r>
            <w:proofErr w:type="spellEnd"/>
            <w:r>
              <w:rPr>
                <w:b/>
                <w:bCs/>
                <w:color w:val="FFFFFF"/>
                <w:sz w:val="18"/>
                <w:szCs w:val="18"/>
              </w:rPr>
              <w:t xml:space="preserve"> Sfondo:  Gradiente bianco 85% (#FFFFFF) → crema 15% (#FBF7EE)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40 </w:t>
            </w:r>
            <w:proofErr w:type="spellStart"/>
            <w:r>
              <w:rPr>
                <w:b/>
                <w:bCs/>
                <w:color w:val="FFFFFF"/>
                <w:sz w:val="18"/>
                <w:szCs w:val="18"/>
              </w:rPr>
              <w:t>pt</w:t>
            </w:r>
            <w:proofErr w:type="spellEnd"/>
            <w:r>
              <w:rPr>
                <w:b/>
                <w:bCs/>
                <w:color w:val="FFFFFF"/>
                <w:sz w:val="18"/>
                <w:szCs w:val="18"/>
              </w:rPr>
              <w:t xml:space="preserve"> </w:t>
            </w:r>
            <w:proofErr w:type="spellStart"/>
            <w:r>
              <w:rPr>
                <w:b/>
                <w:bCs/>
                <w:color w:val="FFFFFF"/>
                <w:sz w:val="18"/>
                <w:szCs w:val="18"/>
              </w:rPr>
              <w:t>Bold</w:t>
            </w:r>
            <w:proofErr w:type="spellEnd"/>
            <w:r>
              <w:rPr>
                <w:b/>
                <w:bCs/>
                <w:color w:val="FFFFFF"/>
                <w:sz w:val="18"/>
                <w:szCs w:val="18"/>
              </w:rPr>
              <w:t xml:space="preserve">, etichette barre 22 </w:t>
            </w:r>
            <w:proofErr w:type="spellStart"/>
            <w:r>
              <w:rPr>
                <w:b/>
                <w:bCs/>
                <w:color w:val="FFFFFF"/>
                <w:sz w:val="18"/>
                <w:szCs w:val="18"/>
              </w:rPr>
              <w:t>pt</w:t>
            </w:r>
            <w:proofErr w:type="spellEnd"/>
            <w:r>
              <w:rPr>
                <w:b/>
                <w:bCs/>
                <w:color w:val="FFFFFF"/>
                <w:sz w:val="18"/>
                <w:szCs w:val="18"/>
              </w:rPr>
              <w:t xml:space="preserve"> </w:t>
            </w:r>
            <w:proofErr w:type="spellStart"/>
            <w:r>
              <w:rPr>
                <w:b/>
                <w:bCs/>
                <w:color w:val="FFFFFF"/>
                <w:sz w:val="18"/>
                <w:szCs w:val="18"/>
              </w:rPr>
              <w:t>SemiBold</w:t>
            </w:r>
            <w:proofErr w:type="spellEnd"/>
            <w:r>
              <w:rPr>
                <w:b/>
                <w:bCs/>
                <w:color w:val="FFFFFF"/>
                <w:sz w:val="18"/>
                <w:szCs w:val="18"/>
              </w:rPr>
              <w:t xml:space="preserve">, note 14 </w:t>
            </w:r>
            <w:proofErr w:type="spellStart"/>
            <w:r>
              <w:rPr>
                <w:b/>
                <w:bCs/>
                <w:color w:val="FFFFFF"/>
                <w:sz w:val="18"/>
                <w:szCs w:val="18"/>
              </w:rPr>
              <w:t>pt</w:t>
            </w:r>
            <w:proofErr w:type="spellEnd"/>
            <w:r>
              <w:rPr>
                <w:b/>
                <w:bCs/>
                <w:color w:val="FFFFFF"/>
                <w:sz w:val="18"/>
                <w:szCs w:val="18"/>
              </w:rPr>
              <w:t xml:space="preserve"> Regular Barra 1:  «Appropriatezza farmaceutica» (riduzione prescrizioni inappropriate) — riempimento #16264B Barra 2:  «Accessi impropri al PS e ricoveri evitabili» — riempimento #2E5A8F Barra 3:  «Invii ed esami non necessari» — riempimento #1E3A6B Etichetta dato:  Banda prudenziale «−10% / −20%» a fine barra, colore #C49A48 </w:t>
            </w:r>
            <w:proofErr w:type="spellStart"/>
            <w:r>
              <w:rPr>
                <w:b/>
                <w:bCs/>
                <w:color w:val="FFFFFF"/>
                <w:sz w:val="18"/>
                <w:szCs w:val="18"/>
              </w:rPr>
              <w:t>Bold</w:t>
            </w:r>
            <w:proofErr w:type="spellEnd"/>
            <w:r>
              <w:rPr>
                <w:b/>
                <w:bCs/>
                <w:color w:val="FFFFFF"/>
                <w:sz w:val="18"/>
                <w:szCs w:val="18"/>
              </w:rPr>
              <w:t>; dicitura «proiezione falsificabile» Accenti:  Filo oro #C49A48 sotto il titolo; nota a piè «valori di banda, verifica ex post» Nota variante 3D:  Barre con leggero spessore prospettico (estrusione 6%), mantenendo lettura piatta dei valori</w:t>
            </w:r>
          </w:p>
          <w:p w14:paraId="69D136BC" w14:textId="77777777" w:rsidR="007C4598" w:rsidRDefault="00000000">
            <w:pPr>
              <w:spacing w:before="120" w:after="60"/>
              <w:jc w:val="center"/>
            </w:pPr>
            <w:r>
              <w:rPr>
                <w:noProof/>
              </w:rPr>
              <w:drawing>
                <wp:inline distT="0" distB="0" distL="0" distR="0" wp14:anchorId="136DD6B3" wp14:editId="77D23AAF">
                  <wp:extent cx="8229600" cy="4629150"/>
                  <wp:effectExtent l="0" t="0" r="0" b="0"/>
                  <wp:docPr id="115" name="Infografica15" descr="I tre canali del risparmio diretto della coppia cli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Infografica15"/>
                          <pic:cNvPicPr>
                            <a:picLocks noChangeAspect="1" noChangeArrowheads="1"/>
                          </pic:cNvPicPr>
                        </pic:nvPicPr>
                        <pic:blipFill>
                          <a:blip r:embed="rId19">
                            <a:extLst>
                              <a:ext uri="{96DAC541-7B7A-43D3-8B79-37D633B846F1}">
                                <asvg:svgBlip xmlns:asvg="http://schemas.microsoft.com/office/drawing/2016/SVG/main" r:embed="rId20"/>
                              </a:ext>
                            </a:extLst>
                          </a:blip>
                          <a:stretch>
                            <a:fillRect/>
                          </a:stretch>
                        </pic:blipFill>
                        <pic:spPr bwMode="auto">
                          <a:xfrm>
                            <a:off x="0" y="0"/>
                            <a:ext cx="8229600" cy="4629150"/>
                          </a:xfrm>
                          <a:prstGeom prst="rect">
                            <a:avLst/>
                          </a:prstGeom>
                          <a:noFill/>
                          <a:ln>
                            <a:noFill/>
                          </a:ln>
                        </pic:spPr>
                      </pic:pic>
                    </a:graphicData>
                  </a:graphic>
                </wp:inline>
              </w:drawing>
            </w:r>
          </w:p>
          <w:p w14:paraId="1A2DCA80" w14:textId="77777777" w:rsidR="007C4598" w:rsidRDefault="00000000">
            <w:pPr>
              <w:spacing w:before="40" w:after="200"/>
              <w:jc w:val="center"/>
            </w:pPr>
            <w:r>
              <w:rPr>
                <w:i/>
                <w:color w:val="2E5A8F"/>
                <w:sz w:val="16"/>
                <w:szCs w:val="16"/>
              </w:rPr>
              <w:t>Fig. 3.2 — I tre canali del risparmio diretto della coppia clinica. Elaborazione dello studio · Luigi De Michele · Giugno 2026.</w:t>
            </w:r>
          </w:p>
        </w:tc>
      </w:tr>
    </w:tbl>
    <w:p w14:paraId="47C90B60" w14:textId="77777777" w:rsidR="007C4598" w:rsidRDefault="007C4598"/>
    <w:p w14:paraId="06C6301B" w14:textId="77777777" w:rsidR="007C4598" w:rsidRDefault="00000000">
      <w:pPr>
        <w:pStyle w:val="Titolo2"/>
        <w:spacing w:before="200" w:after="100"/>
      </w:pPr>
      <w:r>
        <w:rPr>
          <w:sz w:val="22"/>
          <w:szCs w:val="22"/>
        </w:rPr>
        <w:t>3.3  Il pediatra di libera scelta</w:t>
      </w:r>
    </w:p>
    <w:p w14:paraId="7C302132" w14:textId="77777777" w:rsidR="007C4598" w:rsidRDefault="007C4598"/>
    <w:p w14:paraId="5D766D81" w14:textId="77777777" w:rsidR="007C4598" w:rsidRDefault="00000000">
      <w:pPr>
        <w:jc w:val="both"/>
      </w:pPr>
      <w:r>
        <w:t xml:space="preserve">Il pediatra di libera scelta occupa, accanto al medico di medicina generale, il secondo livello della cascata, e ne costituisce il corrispondente per l’età evolutiva. La sua posizione è quella della figura clinica di primo contatto per la popolazione dei minori, dalla nascita all’età della transizione alle cure dell’adulto, e il suo ruolo nella riforma discende dalla peculiarità del bisogno che essa intercetta. Il disagio psichico dell’età evolutiva si manifesta in forme che richiedono un’osservazione specifica — disturbi del </w:t>
      </w:r>
      <w:proofErr w:type="spellStart"/>
      <w:r>
        <w:t>neurosviluppo</w:t>
      </w:r>
      <w:proofErr w:type="spellEnd"/>
      <w:r>
        <w:t>, difficoltà emotive e comportamentali, sofferenza relazionale e familiare — e che il pediatra, in virtù della continuità della relazione di cura e della sorveglianza periodica dello sviluppo affidata ai bilanci di salute, è nella posizione privilegiata di rilevare per primo. La riforma riconosce a questa figura una funzione di intercettazione precoce nell’età in cui essa è più preziosa, poiché è nell’infanzia e nell’adolescenza che l’intervento tempestivo produce i ritorni più ampi, prevenendo la cronicizzazione e l’evoluzione del disagio in patologia conclamata nell’età adulta.</w:t>
      </w:r>
      <w:r>
        <w:rPr>
          <w:color w:val="555555"/>
          <w:sz w:val="16"/>
          <w:szCs w:val="16"/>
          <w:vertAlign w:val="superscript"/>
        </w:rPr>
        <w:t>[15]</w:t>
      </w:r>
    </w:p>
    <w:p w14:paraId="2353CEBF" w14:textId="77777777" w:rsidR="007C4598" w:rsidRDefault="007C4598"/>
    <w:p w14:paraId="612F49E7" w14:textId="77777777" w:rsidR="007C4598" w:rsidRDefault="00000000">
      <w:pPr>
        <w:jc w:val="both"/>
      </w:pPr>
      <w:r>
        <w:t>La connessione del pediatra di libera scelta con lo Psicologo di Base è diretta e si esercita sulla popolazione dei minori e sulle loro famiglie. Il pediatra è il primo osservatore non solo del disagio del bambino e dell’adolescente, ma anche delle difficoltà genitoriali e relazionali che ne costituiscono spesso il contesto, e la disponibilità di una figura psicologica nelle cure primarie gli consente di tradurre l’osservazione in presa in carico, attraverso una coppia clinica analoga a quella della medicina generale ma orientata alla specificità dell’età evolutiva e al sostegno alla genitorialità. Il pediatra costituisce inoltre il nodo che connette il primo livello con due ambiti contigui della cascata e del perimetro integrale: da un lato il mondo della scuola e la figura dello psicologo scolastico, con cui condivide l’osservazione del benessere e delle difficoltà del minore; dall’altro la neuropsichiatria dell’infanzia e dell’adolescenza, cui indirizza, secondo criteri di appropriatezza, i casi che richiedono una valutazione specialistica. La sua azione, in questo senso, è insieme di intercettazione e di regolazione dell’accesso ai livelli a maggiore intensità.</w:t>
      </w:r>
    </w:p>
    <w:p w14:paraId="6E331EEC" w14:textId="77777777" w:rsidR="007C4598" w:rsidRDefault="007C4598"/>
    <w:p w14:paraId="3A36352D" w14:textId="77777777" w:rsidR="007C4598" w:rsidRDefault="00000000">
      <w:pPr>
        <w:jc w:val="both"/>
      </w:pPr>
      <w:r>
        <w:t>La capacità di rientro economico del pediatra di libera scelta è di natura prevalentemente preventiva, ed è per questa via che essa si distingue da quella, più immediata, della medicina generale. L’intercettazione precoce del disagio nell’età evolutiva non produce un risparmio diretto di pari evidenza rispetto alla riduzione della prescrizione farmacologica nell’adulto, ma genera un valore differito di entità potenzialmente maggiore, evitando i costi che la cronicizzazione del disagio infantile e adolescenziale comporterebbe nel corso dell’intera vita del soggetto: i costi sanitari della patologia conclamata, i costi sociali della dispersione scolastica e dell’esclusione, i costi previdenziali e lavorativi della ridotta partecipazione. L’evidenza che sostiene l’efficacia dell’intervento precoce in età evolutiva è apprezzabile ma di qualità non uniforme, collocabile in un grado da moderato a basso a seconda degli esiti considerati, e impone perciò una graduazione attenta e una proiezione prudenziale dei ritorni;</w:t>
      </w:r>
      <w:r>
        <w:rPr>
          <w:color w:val="555555"/>
          <w:sz w:val="16"/>
          <w:szCs w:val="16"/>
          <w:vertAlign w:val="superscript"/>
        </w:rPr>
        <w:t>[16][17]</w:t>
      </w:r>
      <w:r>
        <w:t xml:space="preserve"> in coerenza con i vincoli dell’opera, il valore preventivo della figura è enunciato come beneficio differito, distinto dai risparmi diretti e non con essi cumulato, e ricondotto agli intervalli di rendimento validati.</w:t>
      </w:r>
    </w:p>
    <w:p w14:paraId="4CA2D956" w14:textId="77777777" w:rsidR="007C4598" w:rsidRDefault="007C4598"/>
    <w:p w14:paraId="1E7897DA" w14:textId="77777777" w:rsidR="007C4598" w:rsidRDefault="00000000">
      <w:pPr>
        <w:jc w:val="both"/>
      </w:pPr>
      <w:r>
        <w:t xml:space="preserve">Gli ambiti del perimetro integrale su cui il pediatra di libera scelta incide in modo più diretto sono, di conseguenza, quello pedagogico e scolastico, quello </w:t>
      </w:r>
      <w:proofErr w:type="spellStart"/>
      <w:r>
        <w:t>prevenzionalistico</w:t>
      </w:r>
      <w:proofErr w:type="spellEnd"/>
      <w:r>
        <w:t xml:space="preserve"> e quello assistenzialistico, quest’ultimo in ragione del sostegno alla genitorialità e dell’alleggerimento del carico che grava sulle famiglie dei minori in difficoltà. Su questa base è possibile formulare una previsione falsificabile riferita alla figura: a regime, la coppia clinica tra pediatra e Psicologo di Base dovrebbe produrre una riduzione dell’età media alla prima rilevazione del disagio emotivo e comportamentale e un incremento della quota di tali difficoltà gestita al primo livello senza ricorso alla neuropsichiatria specialistica, con corrispondente riduzione dei tempi di attesa per la valutazione specialistica. La previsione è enunciata in forma di banda prudenziale, con indicazione delle soglie di confutazione, e sarà sottoposta a verifica nel sistema di monitoraggio regionale, nel rispetto del vincolo di falsificabilità che governa l’intera opera.</w:t>
      </w:r>
    </w:p>
    <w:p w14:paraId="13665758"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5720"/>
        <w:gridCol w:w="3306"/>
      </w:tblGrid>
      <w:tr w:rsidR="007C4598" w14:paraId="01EB9DA1" w14:textId="77777777">
        <w:trPr>
          <w:gridAfter w:val="1"/>
          <w:wAfter w:w="360" w:type="dxa"/>
        </w:trPr>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83199F1" w14:textId="77777777" w:rsidR="007C4598" w:rsidRDefault="00000000">
            <w:pPr>
              <w:spacing w:after="40"/>
            </w:pPr>
            <w:r>
              <w:rPr>
                <w:b/>
                <w:bCs/>
                <w:color w:val="FFFFFF"/>
                <w:sz w:val="18"/>
                <w:szCs w:val="18"/>
              </w:rPr>
              <w:t>3.3 — Profilo del pediatra di libera scelta</w:t>
            </w:r>
          </w:p>
        </w:tc>
      </w:tr>
      <w:tr w:rsidR="007C4598" w14:paraId="42713F31"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70ACC41" w14:textId="77777777" w:rsidR="007C4598" w:rsidRDefault="00000000">
            <w:pPr>
              <w:spacing w:after="40"/>
            </w:pPr>
            <w:r>
              <w:t>Ruolo nella riforma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44ABE40" w14:textId="77777777" w:rsidR="007C4598" w:rsidRDefault="00000000">
            <w:pPr>
              <w:spacing w:after="40"/>
            </w:pPr>
            <w:r>
              <w:t xml:space="preserve">Figura clinica di primo contatto per l’età evolutiva; intercettazione precoce di disturbi del </w:t>
            </w:r>
            <w:proofErr w:type="spellStart"/>
            <w:r>
              <w:t>neurosviluppo</w:t>
            </w:r>
            <w:proofErr w:type="spellEnd"/>
            <w:r>
              <w:t>, difficoltà emotive e comportamentali e sofferenza relazionale attraverso la sorveglianza dello sviluppo e i bilanci di salute.</w:t>
            </w:r>
          </w:p>
        </w:tc>
      </w:tr>
      <w:tr w:rsidR="007C4598" w14:paraId="6701CFC9"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D921F82" w14:textId="77777777" w:rsidR="007C4598" w:rsidRDefault="00000000">
            <w:pPr>
              <w:spacing w:after="40"/>
            </w:pPr>
            <w:r>
              <w:t>Connessione con lo Psicologo di Base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9CF7680" w14:textId="77777777" w:rsidR="007C4598" w:rsidRDefault="00000000">
            <w:pPr>
              <w:spacing w:after="40"/>
            </w:pPr>
            <w:r>
              <w:t>Diretta, sulla popolazione dei minori e sulle famiglie; coppia clinica orientata all’età evolutiva e al sostegno alla genitorialità; nodo verso la scuola e verso la neuropsichiatria dell’infanzia e dell’adolescenza.</w:t>
            </w:r>
          </w:p>
        </w:tc>
      </w:tr>
      <w:tr w:rsidR="007C4598" w14:paraId="62256644"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B8D3034" w14:textId="77777777" w:rsidR="007C4598" w:rsidRDefault="00000000">
            <w:pPr>
              <w:spacing w:after="40"/>
            </w:pPr>
            <w:r>
              <w:t>Peso d’influenza nel progetto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27F2119" w14:textId="77777777" w:rsidR="007C4598" w:rsidRDefault="00000000">
            <w:pPr>
              <w:spacing w:after="40"/>
            </w:pPr>
            <w:r>
              <w:t>Medio-elevato. Presidio dell’età in cui l’intervento precoce produce i ritorni più ampi e differiti.</w:t>
            </w:r>
          </w:p>
        </w:tc>
      </w:tr>
      <w:tr w:rsidR="007C4598" w14:paraId="1168C08D"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FD122A9" w14:textId="77777777" w:rsidR="007C4598" w:rsidRDefault="00000000">
            <w:pPr>
              <w:spacing w:after="40"/>
            </w:pPr>
            <w:r>
              <w:t>Capacità di rientro economico o di revisione della spesa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52B83B7" w14:textId="77777777" w:rsidR="007C4598" w:rsidRDefault="00000000">
            <w:pPr>
              <w:spacing w:after="40"/>
            </w:pPr>
            <w:r>
              <w:t>Prevalentemente preventiva e differita: evita costi sanitari, scolastici, previdenziali e lavorativi della cronicizzazione. Enunciata come beneficio differito, distinto dai risparmi diretti.</w:t>
            </w:r>
          </w:p>
        </w:tc>
      </w:tr>
    </w:tbl>
    <w:p w14:paraId="7AAF961E" w14:textId="77777777" w:rsidR="007C4598" w:rsidRDefault="007C4598"/>
    <w:p w14:paraId="3D1F063E" w14:textId="77777777" w:rsidR="007C4598" w:rsidRDefault="00000000">
      <w:pPr>
        <w:pStyle w:val="Titolo2"/>
        <w:spacing w:before="200" w:after="100"/>
      </w:pPr>
      <w:r>
        <w:rPr>
          <w:sz w:val="22"/>
          <w:szCs w:val="22"/>
        </w:rPr>
        <w:t>3.4  Il neurologo e le neuroscienze territoriali</w:t>
      </w:r>
    </w:p>
    <w:p w14:paraId="6A3F5069" w14:textId="77777777" w:rsidR="007C4598" w:rsidRDefault="007C4598"/>
    <w:p w14:paraId="19FCCED2" w14:textId="77777777" w:rsidR="007C4598" w:rsidRDefault="00000000">
      <w:pPr>
        <w:jc w:val="both"/>
      </w:pPr>
      <w:r>
        <w:t xml:space="preserve">Il neurologo completa, accanto al medico di medicina generale e al pediatra di libera scelta, la triade delle figure cliniche di primo livello specialistico che la cascata colloca al secondo livello. La sua posizione nella riforma discende da una caratteristica peculiare della domanda neurologica, che la rende un terreno di intersezione privilegiato con la psicologia delle cure primarie. Una quota rilevante della domanda che </w:t>
      </w:r>
      <w:proofErr w:type="spellStart"/>
      <w:r>
        <w:t>afflusce</w:t>
      </w:r>
      <w:proofErr w:type="spellEnd"/>
      <w:r>
        <w:t xml:space="preserve"> agli ambulatori di neurologia è costituita da sintomi funzionali o medicalmente inspiegati — cefalee, vertigini, episodi non epilettici, disturbi della sensibilità e del movimento privi di substrato lesionale — che presentano un fondamento psicologico e che gli studi sulla composizione della casistica neurologica documentano come parte cospicua dei nuovi accessi.</w:t>
      </w:r>
      <w:r>
        <w:rPr>
          <w:color w:val="555555"/>
          <w:sz w:val="16"/>
          <w:szCs w:val="16"/>
          <w:vertAlign w:val="superscript"/>
        </w:rPr>
        <w:t>[18]</w:t>
      </w:r>
      <w:r>
        <w:t xml:space="preserve"> A ciò si aggiunge la frequente </w:t>
      </w:r>
      <w:proofErr w:type="spellStart"/>
      <w:r>
        <w:t>comorbilità</w:t>
      </w:r>
      <w:proofErr w:type="spellEnd"/>
      <w:r>
        <w:t xml:space="preserve"> tra le patologie neurologiche conclamate e i disturbi dell’umore, dalla depressione post-ictus alla sofferenza depressiva nell’epilessia, nella malattia di Parkinson e nelle patologie demielinizzanti, </w:t>
      </w:r>
      <w:proofErr w:type="spellStart"/>
      <w:r>
        <w:t>comorbilità</w:t>
      </w:r>
      <w:proofErr w:type="spellEnd"/>
      <w:r>
        <w:t xml:space="preserve"> che incide sull’esito clinico e sui costi e che richiede una competenza psicologica integrata.</w:t>
      </w:r>
      <w:r>
        <w:rPr>
          <w:color w:val="555555"/>
          <w:sz w:val="16"/>
          <w:szCs w:val="16"/>
          <w:vertAlign w:val="superscript"/>
        </w:rPr>
        <w:t>[19]</w:t>
      </w:r>
      <w:r>
        <w:t xml:space="preserve"> Il neurologo, in questo quadro, è la figura che presidia il confine tra l’organico e il funzionale, e la riforma ne valorizza il ruolo collegandolo alla competenza psicologica del primo livello.</w:t>
      </w:r>
    </w:p>
    <w:p w14:paraId="12971FBD" w14:textId="77777777" w:rsidR="007C4598" w:rsidRDefault="007C4598"/>
    <w:p w14:paraId="4AA95A25" w14:textId="77777777" w:rsidR="007C4598" w:rsidRDefault="00000000">
      <w:pPr>
        <w:jc w:val="both"/>
      </w:pPr>
      <w:r>
        <w:t xml:space="preserve">La connessione del neurologo con lo Psicologo di Base è diretta e si esercita lungo questo confine. Da un lato, la disponibilità di una risposta psicologica nelle cure primarie consente di intercettare e indirizzare appropriatamente la domanda di natura funzionale prima che essa si traduca in un percorso diagnostico specialistico costoso e talora iatrogeno; dall’altro, la collaborazione tra il neurologo e lo Psicologo di Base permette di gestire la </w:t>
      </w:r>
      <w:proofErr w:type="spellStart"/>
      <w:r>
        <w:t>comorbilità</w:t>
      </w:r>
      <w:proofErr w:type="spellEnd"/>
      <w:r>
        <w:t xml:space="preserve"> psichica delle patologie neurologiche all’interno di un percorso integrato, in cui il neurologo conserva la </w:t>
      </w:r>
      <w:proofErr w:type="spellStart"/>
      <w:r>
        <w:t>governance</w:t>
      </w:r>
      <w:proofErr w:type="spellEnd"/>
      <w:r>
        <w:t xml:space="preserve"> della patologia organica e lo Psicologo di Base assume la presa in carico della sofferenza psichica associata. Il neurologo svolge inoltre una funzione di regolazione dell’accesso alle neuroscienze territoriali, indirizzando ai livelli a maggiore intensità soltanto i casi che richiedono effettivamente una valutazione e un trattamento specialistici, e restituendo al primo livello la gestione delle condizioni a prevalente componente psicologica.</w:t>
      </w:r>
    </w:p>
    <w:p w14:paraId="5DF41807" w14:textId="77777777" w:rsidR="007C4598" w:rsidRDefault="007C4598"/>
    <w:p w14:paraId="784AB588" w14:textId="77777777" w:rsidR="007C4598" w:rsidRDefault="00000000">
      <w:pPr>
        <w:jc w:val="both"/>
      </w:pPr>
      <w:r>
        <w:t>La capacità di rientro economico del neurologo si esercita prevalentemente attraverso il canale dell’appropriatezza diagnostica, e si distingue per questo dalla capacità, immediata, della coppia clinica della medicina generale e da quella, differita, del pediatra. L’intercettazione precoce della domanda funzionale da parte del primo livello consente di ridurre il ricorso inappropriato alla diagnostica per immagini — tomografia computerizzata e risonanza magnetica — e alle indagini neurofisiologiche, nonché la reiterazione di visite specialistiche per condizioni a prevalente fondamento psicologico, con corrispondente riduzione anche della mobilità sanitaria passiva verso strutture extraregionali per prestazioni neurologiche. Il nesso tra i sintomi funzionali e il loro substrato psicologico è documentato con un grado di certezza da moderato a elevato, mentre la stima del risparmio conseguente al filtro operato dal primo livello richiede una proiezione prudenziale e una graduazione attenta; in coerenza con i vincoli dell’opera, tale risparmio è ricondotto al canale dell’appropriatezza, distinto dagli altri canali del risparmio diretto e non con essi cumulato, e mantenuto entro gli intervalli di rendimento validati.</w:t>
      </w:r>
    </w:p>
    <w:p w14:paraId="65231F4F" w14:textId="77777777" w:rsidR="007C4598" w:rsidRDefault="007C4598"/>
    <w:p w14:paraId="0F75121D" w14:textId="77777777" w:rsidR="007C4598" w:rsidRDefault="00000000">
      <w:pPr>
        <w:jc w:val="both"/>
      </w:pPr>
      <w:r>
        <w:t xml:space="preserve">Gli ambiti del perimetro integrale su cui il neurologo incide in modo più diretto sono quello salutistico e quello sanitario, in particolare nella dimensione dell’appropriatezza prescrittiva e diagnostica, e quello </w:t>
      </w:r>
      <w:proofErr w:type="spellStart"/>
      <w:r>
        <w:t>prevenzionalistico</w:t>
      </w:r>
      <w:proofErr w:type="spellEnd"/>
      <w:r>
        <w:t xml:space="preserve">, nella misura in cui la gestione integrata della </w:t>
      </w:r>
      <w:proofErr w:type="spellStart"/>
      <w:r>
        <w:t>comorbilità</w:t>
      </w:r>
      <w:proofErr w:type="spellEnd"/>
      <w:r>
        <w:t xml:space="preserve"> psichica delle patologie neurologiche previene il loro aggravamento; vi si aggiunge l’ambito assistenzialistico, in ragione del carico che le patologie neurologiche croniche fanno gravare sulle famiglie e sui </w:t>
      </w:r>
      <w:proofErr w:type="spellStart"/>
      <w:r>
        <w:t>caregiver</w:t>
      </w:r>
      <w:proofErr w:type="spellEnd"/>
      <w:r>
        <w:t>. Su questa base è possibile formulare una previsione falsificabile riferita alla figura: a regime, l’intercettazione della domanda funzionale da parte del primo livello dovrebbe produrre una riduzione misurabile delle richieste inappropriate di diagnostica per immagini e di indagini neurofisiologiche per presentazioni a prevalente fondamento psicologico, collocabile in via prudenziale in una banda di riduzione e accompagnata dall’indicazione delle soglie il cui mancato raggiungimento ne segnalerebbe la confutazione, secondo il vincolo di falsificabilità dell’opera.</w:t>
      </w:r>
    </w:p>
    <w:p w14:paraId="1944920B"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5714"/>
        <w:gridCol w:w="3312"/>
      </w:tblGrid>
      <w:tr w:rsidR="007C4598" w14:paraId="7617A005" w14:textId="77777777">
        <w:trPr>
          <w:gridAfter w:val="1"/>
          <w:wAfter w:w="360" w:type="dxa"/>
        </w:trPr>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6A3699D" w14:textId="77777777" w:rsidR="007C4598" w:rsidRDefault="00000000">
            <w:pPr>
              <w:spacing w:after="40"/>
            </w:pPr>
            <w:r>
              <w:rPr>
                <w:b/>
                <w:bCs/>
                <w:color w:val="FFFFFF"/>
                <w:sz w:val="18"/>
                <w:szCs w:val="18"/>
              </w:rPr>
              <w:t>3.4 — Profilo del neurologo e delle neuroscienze territoriali</w:t>
            </w:r>
          </w:p>
        </w:tc>
      </w:tr>
      <w:tr w:rsidR="007C4598" w14:paraId="5BE60F9C"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362E6EB" w14:textId="77777777" w:rsidR="007C4598" w:rsidRDefault="00000000">
            <w:pPr>
              <w:spacing w:after="40"/>
            </w:pPr>
            <w:r>
              <w:t>Ruolo nella riforma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44165AB" w14:textId="77777777" w:rsidR="007C4598" w:rsidRDefault="00000000">
            <w:pPr>
              <w:spacing w:after="40"/>
            </w:pPr>
            <w:r>
              <w:t xml:space="preserve">Figura specialistica di primo livello che presidia il confine tra patologia organica e sintomi funzionali; gestione integrata della </w:t>
            </w:r>
            <w:proofErr w:type="spellStart"/>
            <w:r>
              <w:t>comorbilità</w:t>
            </w:r>
            <w:proofErr w:type="spellEnd"/>
            <w:r>
              <w:t xml:space="preserve"> psichica delle patologie neurologiche; regolazione dell’accesso alle neuroscienze territoriali.</w:t>
            </w:r>
          </w:p>
        </w:tc>
      </w:tr>
      <w:tr w:rsidR="007C4598" w14:paraId="302FE865"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3F1C03F" w14:textId="77777777" w:rsidR="007C4598" w:rsidRDefault="00000000">
            <w:pPr>
              <w:spacing w:after="40"/>
            </w:pPr>
            <w:r>
              <w:t>Connessione con lo Psicologo di Base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C68EBEF" w14:textId="77777777" w:rsidR="007C4598" w:rsidRDefault="00000000">
            <w:pPr>
              <w:spacing w:after="40"/>
            </w:pPr>
            <w:r>
              <w:t xml:space="preserve">Diretta lungo il confine organico-funzionale: il primo livello intercetta la domanda funzionale e gestisce la sofferenza psichica associata, mentre il neurologo conserva la </w:t>
            </w:r>
            <w:proofErr w:type="spellStart"/>
            <w:r>
              <w:t>governance</w:t>
            </w:r>
            <w:proofErr w:type="spellEnd"/>
            <w:r>
              <w:t xml:space="preserve"> della patologia organica.</w:t>
            </w:r>
          </w:p>
        </w:tc>
      </w:tr>
      <w:tr w:rsidR="007C4598" w14:paraId="056D21E5"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8F349DA" w14:textId="77777777" w:rsidR="007C4598" w:rsidRDefault="00000000">
            <w:pPr>
              <w:spacing w:after="40"/>
            </w:pPr>
            <w:r>
              <w:t>Peso d’influenza nel progetto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864FDE5" w14:textId="77777777" w:rsidR="007C4598" w:rsidRDefault="00000000">
            <w:pPr>
              <w:spacing w:after="40"/>
            </w:pPr>
            <w:r>
              <w:t>Medio. Presidio di un’area di domanda ad alta intersezione con la psicologia delle cure primarie.</w:t>
            </w:r>
          </w:p>
        </w:tc>
      </w:tr>
      <w:tr w:rsidR="007C4598" w14:paraId="6DB2D544"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6BA10A7" w14:textId="77777777" w:rsidR="007C4598" w:rsidRDefault="00000000">
            <w:pPr>
              <w:spacing w:after="40"/>
            </w:pPr>
            <w:r>
              <w:t>Capacità di rientro economico o di revisione della spesa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B1DB4ED" w14:textId="77777777" w:rsidR="007C4598" w:rsidRDefault="00000000">
            <w:pPr>
              <w:spacing w:after="40"/>
            </w:pPr>
            <w:r>
              <w:t>Prevalentemente di appropriatezza diagnostica: riduzione di diagnostica per immagini e indagini neurofisiologiche inappropriate e della mobilità passiva neurologica. Canale distinto, non cumulato.</w:t>
            </w:r>
          </w:p>
        </w:tc>
      </w:tr>
    </w:tbl>
    <w:p w14:paraId="00AC8493" w14:textId="77777777" w:rsidR="007C4598" w:rsidRDefault="007C4598"/>
    <w:p w14:paraId="75669A0C" w14:textId="77777777" w:rsidR="007C4598" w:rsidRDefault="00000000">
      <w:pPr>
        <w:pStyle w:val="Titolo2"/>
        <w:spacing w:before="200" w:after="100"/>
      </w:pPr>
      <w:r>
        <w:rPr>
          <w:sz w:val="22"/>
          <w:szCs w:val="22"/>
        </w:rPr>
        <w:t>3.5  L’infermiere di famiglia e di comunità e la funzione di care manager</w:t>
      </w:r>
    </w:p>
    <w:p w14:paraId="7C30A35C" w14:textId="77777777" w:rsidR="007C4598" w:rsidRDefault="007C4598"/>
    <w:p w14:paraId="70F80677" w14:textId="77777777" w:rsidR="007C4598" w:rsidRDefault="00000000">
      <w:pPr>
        <w:jc w:val="both"/>
      </w:pPr>
      <w:r>
        <w:t>L’infermiere di famiglia e di comunità apre il terzo livello della cascata, quello delle ulteriori figure sanitarie e socio-sanitarie la cui connessione con lo Psicologo di Base è mediata ma essenziale per la continuità del percorso e per la prevenzione delle ricadute. La figura ha ricevuto un riconoscimento istituzionale dal modello di assistenza territoriale definito dalla normativa nazionale, che le ha attribuito una funzione di prossimità e di presa in carico continuativa nella comunità.</w:t>
      </w:r>
      <w:r>
        <w:rPr>
          <w:color w:val="555555"/>
          <w:sz w:val="16"/>
          <w:szCs w:val="16"/>
          <w:vertAlign w:val="superscript"/>
        </w:rPr>
        <w:t>[21]</w:t>
      </w:r>
      <w:r>
        <w:t xml:space="preserve"> Nell’architettura della riforma, l’infermiere di famiglia e di comunità incarna una funzione che la letteratura internazionale ha identificato come uno dei componenti più solidi ed efficaci del modello di assistenza collaborativa: la funzione di care manager, ossia di gestore organizzato del percorso di cura, cui spettano la programmazione del follow-up, il monitoraggio strutturato dei sintomi, il sostegno all’aderenza, la rilevazione precoce delle ricadute e il ricontatto dei pazienti che interrompono il percorso.</w:t>
      </w:r>
      <w:r>
        <w:rPr>
          <w:color w:val="555555"/>
          <w:sz w:val="16"/>
          <w:szCs w:val="16"/>
          <w:vertAlign w:val="superscript"/>
        </w:rPr>
        <w:t>[20]</w:t>
      </w:r>
    </w:p>
    <w:p w14:paraId="761D01C8" w14:textId="77777777" w:rsidR="007C4598" w:rsidRDefault="007C4598"/>
    <w:p w14:paraId="51DA4DEA" w14:textId="77777777" w:rsidR="007C4598" w:rsidRDefault="00000000">
      <w:pPr>
        <w:jc w:val="both"/>
      </w:pPr>
      <w:r>
        <w:t>La connessione dell’infermiere di famiglia e di comunità con lo Psicologo di Base è mediata, perché non si colloca nel momento del primo contatto e della valutazione, ma nel tempo successivo della presa in carico e della continuità; ed è precisamente questa collocazione a renderla essenziale. Il valore del modello di assistenza collaborativa non risiede soltanto nell’intercettazione della domanda al primo livello, ma nella capacità di mantenere il paziente all’interno di un percorso strutturato e di evitare le dispersioni che, nell’assetto attuale, conducono all’abbandono del trattamento e alla ricaduta. La funzione di care manager assolve a questo compito: l’infermiere di famiglia e di comunità opera come il punto di continuità tra lo Psicologo di Base, il medico di medicina generale e i livelli specialistici, traducendo l’intercettazione in presa in carico effettiva e prevenendo la perdita di pazienti tra i livelli del sistema. In questo senso, la figura non aggiunge un nuovo punto di ingresso, ma consolida l’efficacia dei punti di ingresso esistenti, ed è la condizione organizzativa che converte l’efficacia clinica in continuità assistenziale.</w:t>
      </w:r>
    </w:p>
    <w:p w14:paraId="3EEBF861" w14:textId="77777777" w:rsidR="007C4598" w:rsidRDefault="007C4598"/>
    <w:p w14:paraId="7DA46A11" w14:textId="77777777" w:rsidR="007C4598" w:rsidRDefault="00000000">
      <w:pPr>
        <w:jc w:val="both"/>
      </w:pPr>
      <w:r>
        <w:t>La capacità di rientro economico dell’infermiere di famiglia e di comunità è orientata al contenimento dei costi assistenziali e alla prevenzione delle ricadute, e si distingue per questo dai canali diretti delle figure cliniche di primo contatto. La continuità assistenziale e il monitoraggio strutturato riducono le ricadute, le crisi e i conseguenti accessi non programmati ai livelli a maggiore intensità, e consentono una più efficiente allocazione delle competenze, liberando il tempo dello Psicologo di Base e dello specialista dalle attività di monitoraggio che la funzione di care manager assorbe. L’evidenza che sostiene l’efficacia di questa funzione è tra le più robuste dell’intero modello di assistenza collaborativa, ed è documentata da revisioni sistematiche e da meta-analisi di elevata qualità che ne attestano il contributo al miglioramento degli esiti e alla continuità del percorso.</w:t>
      </w:r>
      <w:r>
        <w:rPr>
          <w:color w:val="555555"/>
          <w:sz w:val="16"/>
          <w:szCs w:val="16"/>
          <w:vertAlign w:val="superscript"/>
        </w:rPr>
        <w:t>[20]</w:t>
      </w:r>
      <w:r>
        <w:t xml:space="preserve"> In coerenza con i vincoli dell’opera, il valore della figura è enunciato come contenimento dei costi assistenziali per ricaduta evitata, distinto dai risparmi diretti delle figure di primo contatto e non con essi cumulato, e ricondotto agli intervalli di rendimento validati.</w:t>
      </w:r>
    </w:p>
    <w:p w14:paraId="2785FD4C" w14:textId="77777777" w:rsidR="007C4598" w:rsidRDefault="007C4598"/>
    <w:p w14:paraId="5A530E78" w14:textId="77777777" w:rsidR="007C4598" w:rsidRDefault="00000000">
      <w:pPr>
        <w:jc w:val="both"/>
      </w:pPr>
      <w:r>
        <w:t xml:space="preserve">Gli ambiti del perimetro integrale su cui l’infermiere di famiglia e di comunità incide in modo più diretto sono quello assistenzialistico, in ragione del sostegno alla continuità e dell’alleggerimento del carico che grava sui pazienti e sulle famiglie, quello </w:t>
      </w:r>
      <w:proofErr w:type="spellStart"/>
      <w:r>
        <w:t>prevenzionalistico</w:t>
      </w:r>
      <w:proofErr w:type="spellEnd"/>
      <w:r>
        <w:t>, in ragione della prevenzione delle ricadute, e quello sanitario, nella dimensione della razionalizzazione dei percorsi. Su questa base è possibile formulare una previsione falsificabile riferita alla figura: a regime, l’introduzione della funzione di care manager dovrebbe produrre un incremento misurabile della quota di pazienti che completano il percorso di follow-up programmato e una corrispondente riduzione delle ricadute e degli accessi non programmati ai livelli specialistici, collocabili in via prudenziale in bande di oscillazione, con indicazione delle soglie di confutazione e verifica nel sistema di monitoraggio regionale, secondo il vincolo di falsificabilità dell’opera.</w:t>
      </w:r>
    </w:p>
    <w:p w14:paraId="3F5F04D5"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5726"/>
        <w:gridCol w:w="3300"/>
      </w:tblGrid>
      <w:tr w:rsidR="007C4598" w14:paraId="053B92F7" w14:textId="77777777">
        <w:trPr>
          <w:gridAfter w:val="1"/>
          <w:wAfter w:w="360" w:type="dxa"/>
        </w:trPr>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B494728" w14:textId="77777777" w:rsidR="007C4598" w:rsidRDefault="00000000">
            <w:pPr>
              <w:spacing w:after="40"/>
            </w:pPr>
            <w:r>
              <w:rPr>
                <w:b/>
                <w:bCs/>
                <w:color w:val="FFFFFF"/>
                <w:sz w:val="18"/>
                <w:szCs w:val="18"/>
              </w:rPr>
              <w:t>3.5 — Profilo dell’infermiere di famiglia e di comunità</w:t>
            </w:r>
          </w:p>
        </w:tc>
      </w:tr>
      <w:tr w:rsidR="007C4598" w14:paraId="50FE080D"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981C181" w14:textId="77777777" w:rsidR="007C4598" w:rsidRDefault="00000000">
            <w:pPr>
              <w:spacing w:after="40"/>
            </w:pPr>
            <w:r>
              <w:t>Ruolo nella riforma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1E95F68" w14:textId="77777777" w:rsidR="007C4598" w:rsidRDefault="00000000">
            <w:pPr>
              <w:spacing w:after="40"/>
            </w:pPr>
            <w:r>
              <w:t>Figura di continuità e prossimità; incarna la funzione di care manager: programmazione del follow-up, monitoraggio strutturato dei sintomi, sostegno all’aderenza, rilevazione precoce delle ricadute, ricontatto dei pazienti che interrompono il percorso.</w:t>
            </w:r>
          </w:p>
        </w:tc>
      </w:tr>
      <w:tr w:rsidR="007C4598" w14:paraId="6CFDCAB2"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C87AA72" w14:textId="77777777" w:rsidR="007C4598" w:rsidRDefault="00000000">
            <w:pPr>
              <w:spacing w:after="40"/>
            </w:pPr>
            <w:r>
              <w:t>Connessione con lo Psicologo di Base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BA2BB72" w14:textId="77777777" w:rsidR="007C4598" w:rsidRDefault="00000000">
            <w:pPr>
              <w:spacing w:after="40"/>
            </w:pPr>
            <w:r>
              <w:t>Mediata ma essenziale: opera nel tempo della presa in carico, come punto di continuità tra primo livello, medicina generale e specialisti; consolida l’efficacia dei punti di ingresso esistenti.</w:t>
            </w:r>
          </w:p>
        </w:tc>
      </w:tr>
      <w:tr w:rsidR="007C4598" w14:paraId="2B8D75D2"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F55F70A" w14:textId="77777777" w:rsidR="007C4598" w:rsidRDefault="00000000">
            <w:pPr>
              <w:spacing w:after="40"/>
            </w:pPr>
            <w:r>
              <w:t>Peso d’influenza nel progetto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FF31584" w14:textId="77777777" w:rsidR="007C4598" w:rsidRDefault="00000000">
            <w:pPr>
              <w:spacing w:after="40"/>
            </w:pPr>
            <w:r>
              <w:t>Medio. Condizione organizzativa che converte l’efficacia clinica in continuità assistenziale e previene le dispersioni tra i livelli.</w:t>
            </w:r>
          </w:p>
        </w:tc>
      </w:tr>
      <w:tr w:rsidR="007C4598" w14:paraId="63707BA6"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CEDBF58" w14:textId="77777777" w:rsidR="007C4598" w:rsidRDefault="00000000">
            <w:pPr>
              <w:spacing w:after="40"/>
            </w:pPr>
            <w:r>
              <w:t>Capacità di rientro economico o di revisione della spesa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7D28CCD" w14:textId="77777777" w:rsidR="007C4598" w:rsidRDefault="00000000">
            <w:pPr>
              <w:spacing w:after="40"/>
            </w:pPr>
            <w:r>
              <w:t>Contenimento dei costi assistenziali per ricaduta evitata; più efficiente allocazione delle competenze. Canale distinto dai risparmi diretti, non cumulato.</w:t>
            </w:r>
          </w:p>
        </w:tc>
      </w:tr>
    </w:tbl>
    <w:p w14:paraId="6D446DC9" w14:textId="77777777" w:rsidR="007C4598" w:rsidRDefault="007C4598"/>
    <w:p w14:paraId="7534BA18" w14:textId="77777777" w:rsidR="007C4598" w:rsidRDefault="00000000">
      <w:pPr>
        <w:pStyle w:val="Titolo2"/>
        <w:spacing w:before="200" w:after="100"/>
      </w:pPr>
      <w:r>
        <w:rPr>
          <w:sz w:val="22"/>
          <w:szCs w:val="22"/>
        </w:rPr>
        <w:t>3.6  Lo psichiatra consulente e i Centri di Salute Mentale</w:t>
      </w:r>
    </w:p>
    <w:p w14:paraId="02D41126" w14:textId="77777777" w:rsidR="007C4598" w:rsidRDefault="007C4598"/>
    <w:p w14:paraId="1CA29DF9" w14:textId="77777777" w:rsidR="007C4598" w:rsidRDefault="00000000">
      <w:pPr>
        <w:jc w:val="both"/>
      </w:pPr>
      <w:r>
        <w:t>Lo psichiatra consulente e i Centri di Salute Mentale costituiscono, nel terzo livello della cascata, il presidio specialistico cui la riforma assegna una funzione ridefinita rispetto all’assetto attuale. Nel modello di assistenza collaborativa che la riforma adotta, lo psichiatra non opera prevalentemente come erogatore di prima linea del trattamento, ma come consulente del percorso, cui spetta la supervisione organizzata della casistica gestita al primo livello e l’apporto specialistico nei casi che lo richiedono, riservando l’intervento diretto alle situazioni di maggiore gravità e complessità.</w:t>
      </w:r>
      <w:r>
        <w:rPr>
          <w:color w:val="555555"/>
          <w:sz w:val="16"/>
          <w:szCs w:val="16"/>
          <w:vertAlign w:val="superscript"/>
        </w:rPr>
        <w:t>[4]</w:t>
      </w:r>
      <w:r>
        <w:t xml:space="preserve"> I Centri di Salute Mentale, in questo quadro, sono restituiti alla loro funzione propria, che è la presa in carico della psicopatologia grave e complessa, e sono alleggeriti della domanda di disagio comune che oggi vi affluisce impropriamente, in assenza di un primo livello che la intercetti.</w:t>
      </w:r>
      <w:r>
        <w:rPr>
          <w:color w:val="555555"/>
          <w:sz w:val="16"/>
          <w:szCs w:val="16"/>
          <w:vertAlign w:val="superscript"/>
        </w:rPr>
        <w:t>[23]</w:t>
      </w:r>
      <w:r>
        <w:t xml:space="preserve"> La riforma, in altri termini, non sottrae risorse ai servizi specialistici, ma ne ricolloca l’azione sul segmento di bisogno che effettivamente le richiede.</w:t>
      </w:r>
    </w:p>
    <w:p w14:paraId="259311A8" w14:textId="77777777" w:rsidR="007C4598" w:rsidRDefault="007C4598"/>
    <w:p w14:paraId="16192D5B" w14:textId="77777777" w:rsidR="007C4598" w:rsidRDefault="00000000">
      <w:pPr>
        <w:jc w:val="both"/>
      </w:pPr>
      <w:r>
        <w:t xml:space="preserve">La connessione dello psichiatra consulente con lo Psicologo di Base è mediata e si esercita attraverso due meccanismi complementari. Il primo è il filtro operato dal primo livello, che intercetta e gestisce la domanda di disagio comune e indirizza ai Centri di Salute Mentale soltanto i casi di effettiva gravità, riducendo la domanda inappropriata e i tempi di attesa che ne conseguono. Il secondo è la supervisione </w:t>
      </w:r>
      <w:proofErr w:type="spellStart"/>
      <w:r>
        <w:t>consulenziale</w:t>
      </w:r>
      <w:proofErr w:type="spellEnd"/>
      <w:r>
        <w:t>, attraverso la quale lo psichiatra fornisce l’apporto specialistico alla casistica gestita al primo livello senza che il paziente debba necessariamente transitare al livello specialistico, secondo una modalità che la letteratura ha mostrato essere efficiente, poiché la revisione organizzata della casistica consente a un singolo specialista di coprire un numero ampio di pazienti per unità di tempo. Lo psichiatra consulente, in questo senso, non è connesso al primo livello come destinatario passivo degli invii, ma come supervisore attivo del percorso, e i Centri di Salute Mentale ne risultano sgravati e ricollocati sulla psicopatologia grave.</w:t>
      </w:r>
    </w:p>
    <w:p w14:paraId="5EEDAEEF" w14:textId="77777777" w:rsidR="007C4598" w:rsidRDefault="007C4598"/>
    <w:p w14:paraId="5F5CED79" w14:textId="77777777" w:rsidR="007C4598" w:rsidRDefault="00000000">
      <w:pPr>
        <w:jc w:val="both"/>
      </w:pPr>
      <w:r>
        <w:t xml:space="preserve">La capacità di rientro economico dello psichiatra consulente e dei Centri di Salute Mentale si esercita attraverso la razionalizzazione delle risorse specialistiche, ed è di natura prevalentemente organizzativa. La riduzione della domanda inappropriata ai Centri di Salute Mentale e l’adozione del modello </w:t>
      </w:r>
      <w:proofErr w:type="spellStart"/>
      <w:r>
        <w:t>consulenziale</w:t>
      </w:r>
      <w:proofErr w:type="spellEnd"/>
      <w:r>
        <w:t xml:space="preserve"> consentono di ridurre i tempi di attesa per la presa in carico specialistica, che il governo nazionale delle liste di attesa individua come obiettivo prioritario,</w:t>
      </w:r>
      <w:r>
        <w:rPr>
          <w:color w:val="555555"/>
          <w:sz w:val="16"/>
          <w:szCs w:val="16"/>
          <w:vertAlign w:val="superscript"/>
        </w:rPr>
        <w:t>[22]</w:t>
      </w:r>
      <w:r>
        <w:t xml:space="preserve"> e di contenere la mobilità sanitaria passiva verso strutture extraregionali per prestazioni psichiatriche, che grava sul bilancio regionale.</w:t>
      </w:r>
      <w:r>
        <w:rPr>
          <w:color w:val="555555"/>
          <w:sz w:val="16"/>
          <w:szCs w:val="16"/>
          <w:vertAlign w:val="superscript"/>
        </w:rPr>
        <w:t>[24]</w:t>
      </w:r>
      <w:r>
        <w:t xml:space="preserve"> L’evidenza che sostiene l’efficacia del modello </w:t>
      </w:r>
      <w:proofErr w:type="spellStart"/>
      <w:r>
        <w:t>consulenziale</w:t>
      </w:r>
      <w:proofErr w:type="spellEnd"/>
      <w:r>
        <w:t xml:space="preserve"> e della supervisione organizzata della casistica è di elevata qualità, ed è documentata dalle sperimentazioni controllate e dalle revisioni sistematiche sull’assistenza collaborativa.</w:t>
      </w:r>
      <w:r>
        <w:rPr>
          <w:color w:val="555555"/>
          <w:sz w:val="16"/>
          <w:szCs w:val="16"/>
          <w:vertAlign w:val="superscript"/>
        </w:rPr>
        <w:t>[6]</w:t>
      </w:r>
      <w:r>
        <w:t xml:space="preserve"> In coerenza con i vincoli dell’opera, il valore della figura è enunciato come razionalizzazione delle risorse specialistiche e riduzione delle attese, distinto dai risparmi diretti delle figure di primo contatto e dai benefici differiti delle figure preventive, e non con essi cumulato, nel rispetto della regola di non duplicazione.</w:t>
      </w:r>
    </w:p>
    <w:p w14:paraId="0B0F3552" w14:textId="77777777" w:rsidR="007C4598" w:rsidRDefault="007C4598"/>
    <w:p w14:paraId="617D2FA7" w14:textId="77777777" w:rsidR="007C4598" w:rsidRDefault="00000000">
      <w:pPr>
        <w:jc w:val="both"/>
      </w:pPr>
      <w:r>
        <w:t xml:space="preserve">Gli ambiti del perimetro integrale su cui lo psichiatra consulente e i Centri di Salute Mentale incidono in modo più diretto sono quello sanitario, nella dimensione dell’appropriatezza dell’accesso specialistico e della riduzione delle liste di attesa, e quello </w:t>
      </w:r>
      <w:proofErr w:type="spellStart"/>
      <w:r>
        <w:t>prevenzionalistico</w:t>
      </w:r>
      <w:proofErr w:type="spellEnd"/>
      <w:r>
        <w:t xml:space="preserve">, nella misura in cui la corretta presa in carico della psicopatologia grave previene gli aggravamenti e le ricadute più costose. Su questa base è possibile formulare una previsione falsificabile riferita alla figura: a regime, il filtro operato dal primo livello e l’adozione del modello </w:t>
      </w:r>
      <w:proofErr w:type="spellStart"/>
      <w:r>
        <w:t>consulenziale</w:t>
      </w:r>
      <w:proofErr w:type="spellEnd"/>
      <w:r>
        <w:t xml:space="preserve"> dovrebbero produrre una riduzione misurabile dei tempi di attesa per la prima presa in carico ai Centri di Salute Mentale e un incremento della quota di casi gravi sul totale degli accessi, segno di una più appropriata selezione della domanda specialistica; le previsioni sono enunciate in forma di banda prudenziale, con indicazione delle soglie di confutazione e verifica nel sistema di monitoraggio regionale, secondo il vincolo di falsificabilità dell’opera.</w:t>
      </w:r>
    </w:p>
    <w:p w14:paraId="1A9A0199"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5708"/>
        <w:gridCol w:w="3318"/>
      </w:tblGrid>
      <w:tr w:rsidR="007C4598" w14:paraId="152F7B64" w14:textId="77777777">
        <w:trPr>
          <w:gridAfter w:val="1"/>
          <w:wAfter w:w="360" w:type="dxa"/>
        </w:trPr>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13BFB96" w14:textId="77777777" w:rsidR="007C4598" w:rsidRDefault="00000000">
            <w:pPr>
              <w:spacing w:after="40"/>
            </w:pPr>
            <w:r>
              <w:rPr>
                <w:b/>
                <w:bCs/>
                <w:color w:val="FFFFFF"/>
                <w:sz w:val="18"/>
                <w:szCs w:val="18"/>
              </w:rPr>
              <w:t>3.6 — Profilo dello psichiatra consulente e dei Centri di Salute Mentale</w:t>
            </w:r>
          </w:p>
        </w:tc>
      </w:tr>
      <w:tr w:rsidR="007C4598" w14:paraId="3C2AFEC5"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99D7342" w14:textId="77777777" w:rsidR="007C4598" w:rsidRDefault="00000000">
            <w:pPr>
              <w:spacing w:after="40"/>
            </w:pPr>
            <w:r>
              <w:t>Ruolo nella riforma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85B9335" w14:textId="77777777" w:rsidR="007C4598" w:rsidRDefault="00000000">
            <w:pPr>
              <w:spacing w:after="40"/>
            </w:pPr>
            <w:r>
              <w:t>Lo psichiatra opera come consulente del percorso (supervisione organizzata della casistica del primo livello, apporto specialistico nei casi gravi); i Centri di Salute Mentale sono restituiti alla presa in carico della psicopatologia grave e complessa.</w:t>
            </w:r>
          </w:p>
        </w:tc>
      </w:tr>
      <w:tr w:rsidR="007C4598" w14:paraId="58BD5B2C"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87C8CFA" w14:textId="77777777" w:rsidR="007C4598" w:rsidRDefault="00000000">
            <w:pPr>
              <w:spacing w:after="40"/>
            </w:pPr>
            <w:r>
              <w:t>Connessione con lo Psicologo di Base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D39429D" w14:textId="77777777" w:rsidR="007C4598" w:rsidRDefault="00000000">
            <w:pPr>
              <w:spacing w:after="40"/>
            </w:pPr>
            <w:r>
              <w:t xml:space="preserve">Mediata, su due meccanismi: filtro della domanda inappropriata operato dal primo livello; supervisione </w:t>
            </w:r>
            <w:proofErr w:type="spellStart"/>
            <w:r>
              <w:t>consulenziale</w:t>
            </w:r>
            <w:proofErr w:type="spellEnd"/>
            <w:r>
              <w:t xml:space="preserve"> della casistica gestita al primo livello, efficiente per paziente coperto.</w:t>
            </w:r>
          </w:p>
        </w:tc>
      </w:tr>
      <w:tr w:rsidR="007C4598" w14:paraId="74B042DC"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35F9487" w14:textId="77777777" w:rsidR="007C4598" w:rsidRDefault="00000000">
            <w:pPr>
              <w:spacing w:after="40"/>
            </w:pPr>
            <w:r>
              <w:t>Peso d’influenza nel progetto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4D1EE50" w14:textId="77777777" w:rsidR="007C4598" w:rsidRDefault="00000000">
            <w:pPr>
              <w:spacing w:after="40"/>
            </w:pPr>
            <w:r>
              <w:t>Medio. Ricolloca l’azione specialistica sul segmento di bisogno che la richiede, senza sottrazione di risorse.</w:t>
            </w:r>
          </w:p>
        </w:tc>
      </w:tr>
      <w:tr w:rsidR="007C4598" w14:paraId="562638F1"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901DCEC" w14:textId="77777777" w:rsidR="007C4598" w:rsidRDefault="00000000">
            <w:pPr>
              <w:spacing w:after="40"/>
            </w:pPr>
            <w:r>
              <w:t>Capacità di rientro economico o di revisione della spesa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7850BE5" w14:textId="77777777" w:rsidR="007C4598" w:rsidRDefault="00000000">
            <w:pPr>
              <w:spacing w:after="40"/>
            </w:pPr>
            <w:r>
              <w:t>Razionalizzazione delle risorse specialistiche: riduzione delle liste di attesa e della mobilità passiva psichiatrica. Canale organizzativo distinto, non cumulato.</w:t>
            </w:r>
          </w:p>
        </w:tc>
      </w:tr>
    </w:tbl>
    <w:p w14:paraId="13634CD8" w14:textId="77777777" w:rsidR="007C4598" w:rsidRDefault="007C4598"/>
    <w:p w14:paraId="6387C565" w14:textId="77777777" w:rsidR="007C4598" w:rsidRDefault="00000000">
      <w:pPr>
        <w:pStyle w:val="Titolo2"/>
        <w:spacing w:before="200" w:after="100"/>
      </w:pPr>
      <w:r>
        <w:rPr>
          <w:sz w:val="22"/>
          <w:szCs w:val="22"/>
        </w:rPr>
        <w:t>3.7  L’assistente sociale e il servizio sociale territoriale</w:t>
      </w:r>
    </w:p>
    <w:p w14:paraId="6AACA61B" w14:textId="77777777" w:rsidR="007C4598" w:rsidRDefault="007C4598"/>
    <w:p w14:paraId="7C6D41A8" w14:textId="77777777" w:rsidR="007C4598" w:rsidRDefault="00000000">
      <w:pPr>
        <w:jc w:val="both"/>
      </w:pPr>
      <w:r>
        <w:t>L’assistente sociale occupa, nella cascata, il livello in cui il disagio psichico cessa di essere considerato come fatto esclusivamente clinico e viene riconosciuto nella sua dimensione sociale, che ne costituisce tanto la radice quanto la conseguenza. La sofferenza psichica comune non nasce, nella maggioranza dei casi, in un vuoto biografico: essa affonda le proprie radici in condizioni di precarietà economica, di isolamento relazionale, di fragilità abitativa, di rottura dei legami familiari, e a sua volta produce, se non intercettata, un ulteriore impoverimento di tali condizioni, in una spirale che la sola risposta clinica non è in grado di interrompere. La posizione dell’assistente sociale nella riforma discende da questa constatazione: la figura presidia i determinanti sociali della salute mentale, agendo sul contesto in cui il disagio si genera e si mantiene, e completa per questa via l’azione clinica dello Psicologo di Base e della coppia clinica, che senza un corrispondente sociale resterebbe sospesa su un terreno instabile.</w:t>
      </w:r>
    </w:p>
    <w:p w14:paraId="067CC0CC" w14:textId="77777777" w:rsidR="007C4598" w:rsidRDefault="007C4598"/>
    <w:p w14:paraId="7AFD01D6" w14:textId="77777777" w:rsidR="007C4598" w:rsidRDefault="00000000">
      <w:pPr>
        <w:jc w:val="both"/>
      </w:pPr>
      <w:r>
        <w:t>La connessione dell’assistente sociale con lo Psicologo di Base è diretta e si realizza attraverso l’integrazione socio-sanitaria, che la riforma assume come principio organizzativo e che il quadro normativo nazionale dei servizi sociali pone a fondamento del sistema integrato di interventi e servizi sociali.</w:t>
      </w:r>
      <w:r>
        <w:rPr>
          <w:color w:val="555555"/>
          <w:sz w:val="16"/>
          <w:szCs w:val="16"/>
          <w:vertAlign w:val="superscript"/>
        </w:rPr>
        <w:t>[25]</w:t>
      </w:r>
      <w:r>
        <w:t xml:space="preserve"> Lo Psicologo di Base intercetta, al primo livello, una domanda il cui nucleo è frequentemente sociale prima che clinico; l’assistente sociale assume in carico tale nucleo, attivando le risorse del territorio, gli interventi di sostegno al reddito, le misure abitative, i percorsi di reinserimento, e restituisce alla presa in carico clinica un contesto di vita reso più sostenibile. Questa integrazione non è una semplice collaborazione tra servizi contigui, ma un dispositivo di presa in carico congiunta, nel quale la valutazione clinica e la valutazione sociale concorrono a un unico progetto sulla persona. È in questo concorso che la pratica internazionale ha riconosciuto il valore della cosiddetta prescrizione sociale, ossia dell’indirizzo strutturato verso risorse non sanitarie di comunità in risposta a bisogni la cui origine è sociale, di cui le cure primarie sono il luogo naturale di attivazione.</w:t>
      </w:r>
      <w:r>
        <w:rPr>
          <w:color w:val="555555"/>
          <w:sz w:val="16"/>
          <w:szCs w:val="16"/>
          <w:vertAlign w:val="superscript"/>
        </w:rPr>
        <w:t>[26]</w:t>
      </w:r>
    </w:p>
    <w:p w14:paraId="573C63A1" w14:textId="77777777" w:rsidR="007C4598" w:rsidRDefault="007C4598"/>
    <w:p w14:paraId="42C6FF1D" w14:textId="77777777" w:rsidR="007C4598" w:rsidRDefault="00000000">
      <w:pPr>
        <w:jc w:val="both"/>
      </w:pPr>
      <w:r>
        <w:t xml:space="preserve">La capacità di rientro economico dell’assistente sociale è di natura prevalentemente indiretta, e si esercita nei domini </w:t>
      </w:r>
      <w:proofErr w:type="spellStart"/>
      <w:r>
        <w:t>welfaristico</w:t>
      </w:r>
      <w:proofErr w:type="spellEnd"/>
      <w:r>
        <w:t xml:space="preserve"> e assistenzialistico, dove la riforma libera il valore di maggiore entità differita. L’azione sui determinanti sociali del disagio, quando è precoce e integrata, riduce la durata e l’intensità del ricorso ai sostegni assistenziali, favorisce il recupero dell’autonomia e della capacità di partecipazione, e alleggerisce il carico che grava sulle famiglie e sulle reti informali di cura, contenendo nel tempo la spesa assistenziale e previdenziale. Tale valore, tuttavia, è differito e di qualità non uniforme: l’evidenza che sostiene l’efficacia degli interventi sociali e della prescrizione sociale sugli esiti di salute e sui costi è in via di consolidamento e si colloca, per la maggior parte degli esiti, in un grado da moderato a basso, sicché la prudenza impone di enunciare il ritorno come beneficio sociale differito, distinto dai risparmi sanitari diretti e non con essi cumulato, e ricondotto agli intervalli di rendimento validati per gli investimenti in salute mentale.</w:t>
      </w:r>
      <w:r>
        <w:rPr>
          <w:color w:val="555555"/>
          <w:sz w:val="16"/>
          <w:szCs w:val="16"/>
          <w:vertAlign w:val="superscript"/>
        </w:rPr>
        <w:t>[26]</w:t>
      </w:r>
      <w:r>
        <w:t xml:space="preserve"> La regola di non duplicazione tra grandezze fiscali e sociali trova qui una delle proprie applicazioni più delicate, poiché il medesimo recupero di autonomia non può essere imputato contemporaneamente come risparmio assistenziale e come beneficio produttivo.</w:t>
      </w:r>
    </w:p>
    <w:p w14:paraId="6735DD64" w14:textId="77777777" w:rsidR="007C4598" w:rsidRDefault="007C4598"/>
    <w:p w14:paraId="187B27B6" w14:textId="77777777" w:rsidR="007C4598" w:rsidRDefault="00000000">
      <w:pPr>
        <w:jc w:val="both"/>
      </w:pPr>
      <w:r>
        <w:t xml:space="preserve">Gli ambiti del perimetro integrale su cui l’assistente sociale incide in modo più diretto sono, di conseguenza, quello </w:t>
      </w:r>
      <w:proofErr w:type="spellStart"/>
      <w:r>
        <w:t>welfaristico</w:t>
      </w:r>
      <w:proofErr w:type="spellEnd"/>
      <w:r>
        <w:t>, quello assistenzialistico e quello sociale, cui si aggiunge una ricaduta non trascurabile nel dominio criminologico, là dove la relazione tra disagio psichico, marginalità sociale e devianza rende l’intervento precoce sui determinanti sociali un fattore di prevenzione della deriva verso percorsi di esclusione e di conflitto con la legge, che la Parte nona analizzerà nel dettaglio. Su questa base è possibile formulare una previsione falsificabile riferita alla figura: a regime, l’integrazione tra presa in carico clinica e presa in carico sociale dovrebbe produrre una riduzione della durata media degli episodi di assistenza economica e sociale collegati a condizioni di disagio psichico e un incremento della quota di casi gestiti mediante progetto integrato socio-sanitario, collocabili, in via prudenziale e con banda di oscillazione, in un intervallo misurabile nell’orizzonte di consolidamento. La previsione è enunciata in forma di banda, con indicazione delle soglie il cui mancato raggiungimento ne segnalerebbe la confutazione, e sarà sottoposta a verifica nel sistema di monitoraggio regionale, in coerenza con il vincolo di falsificabilità dell’opera.</w:t>
      </w:r>
    </w:p>
    <w:p w14:paraId="47AF378D"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5698"/>
        <w:gridCol w:w="3328"/>
      </w:tblGrid>
      <w:tr w:rsidR="007C4598" w14:paraId="2D5B268F" w14:textId="77777777">
        <w:trPr>
          <w:gridAfter w:val="1"/>
          <w:wAfter w:w="360" w:type="dxa"/>
        </w:trPr>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7F2EC2C" w14:textId="77777777" w:rsidR="007C4598" w:rsidRDefault="00000000">
            <w:pPr>
              <w:spacing w:after="40"/>
            </w:pPr>
            <w:r>
              <w:rPr>
                <w:b/>
                <w:bCs/>
                <w:color w:val="FFFFFF"/>
                <w:sz w:val="18"/>
                <w:szCs w:val="18"/>
              </w:rPr>
              <w:t>3.7 — Profilo dell’assistente sociale e del servizio sociale territoriale</w:t>
            </w:r>
          </w:p>
        </w:tc>
      </w:tr>
      <w:tr w:rsidR="007C4598" w14:paraId="5DC0950D"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CE2F5DF" w14:textId="77777777" w:rsidR="007C4598" w:rsidRDefault="00000000">
            <w:pPr>
              <w:spacing w:after="40"/>
            </w:pPr>
            <w:r>
              <w:t>Ruolo nella riforma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9FF2F26" w14:textId="77777777" w:rsidR="007C4598" w:rsidRDefault="00000000">
            <w:pPr>
              <w:spacing w:after="40"/>
            </w:pPr>
            <w:r>
              <w:t>Presidio dei determinanti sociali della salute mentale; presa in carico della dimensione sociale del disagio attraverso l’attivazione delle risorse del territorio, dei sostegni al reddito, delle misure abitative e dei percorsi di reinserimento.</w:t>
            </w:r>
          </w:p>
        </w:tc>
      </w:tr>
      <w:tr w:rsidR="007C4598" w14:paraId="7EB822DD"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023022B" w14:textId="77777777" w:rsidR="007C4598" w:rsidRDefault="00000000">
            <w:pPr>
              <w:spacing w:after="40"/>
            </w:pPr>
            <w:r>
              <w:t>Connessione con lo Psicologo di Base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A16FB6C" w14:textId="77777777" w:rsidR="007C4598" w:rsidRDefault="00000000">
            <w:pPr>
              <w:spacing w:after="40"/>
            </w:pPr>
            <w:r>
              <w:t>Diretta, mediante integrazione socio-sanitaria e progetto di presa in carico congiunta: completa l’azione clinica del primo livello agendo sul contesto di vita in cui il disagio si genera e si mantiene.</w:t>
            </w:r>
          </w:p>
        </w:tc>
      </w:tr>
      <w:tr w:rsidR="007C4598" w14:paraId="31E46289"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91E872C" w14:textId="77777777" w:rsidR="007C4598" w:rsidRDefault="00000000">
            <w:pPr>
              <w:spacing w:after="40"/>
            </w:pPr>
            <w:r>
              <w:t>Peso d’influenza nel progetto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3348BD0" w14:textId="77777777" w:rsidR="007C4598" w:rsidRDefault="00000000">
            <w:pPr>
              <w:spacing w:after="40"/>
            </w:pPr>
            <w:r>
              <w:t>Medio. Condizione di sostenibilità dell’azione clinica: senza l’intervento sui determinanti sociali la presa in carico resta esposta alla ricaduta.</w:t>
            </w:r>
          </w:p>
        </w:tc>
      </w:tr>
      <w:tr w:rsidR="007C4598" w14:paraId="793BADF5"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1A4EF8C" w14:textId="77777777" w:rsidR="007C4598" w:rsidRDefault="00000000">
            <w:pPr>
              <w:spacing w:after="40"/>
            </w:pPr>
            <w:r>
              <w:t>Capacità di rientro economico o di revisione della spesa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F86962A" w14:textId="77777777" w:rsidR="007C4598" w:rsidRDefault="00000000">
            <w:pPr>
              <w:spacing w:after="40"/>
            </w:pPr>
            <w:r>
              <w:t xml:space="preserve">Prevalentemente indiretta e differita, nei domini </w:t>
            </w:r>
            <w:proofErr w:type="spellStart"/>
            <w:r>
              <w:t>welfaristico</w:t>
            </w:r>
            <w:proofErr w:type="spellEnd"/>
            <w:r>
              <w:t xml:space="preserve"> e assistenzialistico: riduce durata e intensità dei sostegni, favorisce il recupero dell’autonomia, alleggerisce il carico delle famiglie. Beneficio sociale distinto dai risparmi diretti.</w:t>
            </w:r>
          </w:p>
        </w:tc>
      </w:tr>
    </w:tbl>
    <w:p w14:paraId="018D9501" w14:textId="77777777" w:rsidR="007C4598" w:rsidRDefault="007C4598"/>
    <w:p w14:paraId="2F9A0ABA" w14:textId="77777777" w:rsidR="007C4598" w:rsidRDefault="00000000">
      <w:pPr>
        <w:pStyle w:val="Titolo2"/>
        <w:spacing w:before="200" w:after="100"/>
      </w:pPr>
      <w:r>
        <w:rPr>
          <w:sz w:val="22"/>
          <w:szCs w:val="22"/>
        </w:rPr>
        <w:t>3.8  Le ulteriori figure sanitarie e socio-sanitarie</w:t>
      </w:r>
    </w:p>
    <w:p w14:paraId="439A405D" w14:textId="77777777" w:rsidR="007C4598" w:rsidRDefault="007C4598"/>
    <w:p w14:paraId="0FA3F702" w14:textId="77777777" w:rsidR="007C4598" w:rsidRDefault="00000000">
      <w:pPr>
        <w:jc w:val="both"/>
      </w:pPr>
      <w:r>
        <w:t>Accanto alle figure cliniche di primo contatto e specialistiche già esaminate, la cascata comprende un insieme di figure sanitarie e socio-sanitarie che, pur occupando posizioni di influenza meno elevata, concorrono al funzionamento del servizio con competenze specifiche e con canali di valore propri. Esse non costituiscono un livello omogeneo, ma un fascio di funzioni complementari che la riforma integra nel percorso di prossimità: il farmacista di comunità, l’operatore socio-sanitario, il logopedista, il terapista della riabilitazione e l’ostetrica. La loro trattazione congiunta in questa sede non ne attenua il rilievo, ma ne riconosce la natura di figure di supporto e di completamento, ciascuna delle quali presidia un segmento del percorso assistenziale in cui l’azione dello Psicologo di Base trova un proprio prolungamento o una propria condizione.</w:t>
      </w:r>
    </w:p>
    <w:p w14:paraId="2047C0F9" w14:textId="77777777" w:rsidR="007C4598" w:rsidRDefault="007C4598"/>
    <w:p w14:paraId="7BC2E19A" w14:textId="77777777" w:rsidR="007C4598" w:rsidRDefault="00000000">
      <w:pPr>
        <w:jc w:val="both"/>
      </w:pPr>
      <w:r>
        <w:t>Il farmacista di comunità merita, in questo insieme, una considerazione distinta, poiché è la figura il cui canale di rientro presenta il carattere più direttamente economico. Nell’assetto della farmacia dei servizi, che la normativa nazionale ha delineato come evoluzione della funzione tradizionale della farmacia territoriale, il farmacista costituisce un presidio di prossimità diffuso capillarmente, primo interlocutore informale di una quota rilevante della popolazione e osservatore privilegiato dei consumi farmaceutici.</w:t>
      </w:r>
      <w:r>
        <w:rPr>
          <w:color w:val="555555"/>
          <w:sz w:val="16"/>
          <w:szCs w:val="16"/>
          <w:vertAlign w:val="superscript"/>
        </w:rPr>
        <w:t>[27]</w:t>
      </w:r>
      <w:r>
        <w:t xml:space="preserve"> In questa veste, esso concorre alla riduzione della prescrizione inappropriata di psicofarmaci attraverso il monitoraggio dell’aderenza terapeutica, l’intercettazione del consumo prolungato e potenzialmente improprio di ansiolitici, segnatamente delle benzodiazepine, e la collaborazione con la coppia clinica nei percorsi di graduale sospensione, là dove indicati. Il valore del farmacista si salda così direttamente al primo canale di risparmio della coppia clinica, l’appropriatezza farmaceutica, di cui costituisce un moltiplicatore territoriale; e la letteratura internazionale sul ruolo della farmacia di comunità nella salute mentale, pur di qualità eterogenea, ne documenta il contributo all’intercettazione precoce e all’uso appropriato dei medicinali.</w:t>
      </w:r>
      <w:r>
        <w:rPr>
          <w:color w:val="555555"/>
          <w:sz w:val="16"/>
          <w:szCs w:val="16"/>
          <w:vertAlign w:val="superscript"/>
        </w:rPr>
        <w:t>[28]</w:t>
      </w:r>
    </w:p>
    <w:p w14:paraId="7E55C648" w14:textId="77777777" w:rsidR="007C4598" w:rsidRDefault="007C4598"/>
    <w:p w14:paraId="3BA4A33B" w14:textId="77777777" w:rsidR="007C4598" w:rsidRDefault="00000000">
      <w:pPr>
        <w:jc w:val="both"/>
      </w:pPr>
      <w:r>
        <w:t xml:space="preserve">Le rimanenti figure dell’insieme presidiano segmenti del percorso il cui valore è prevalentemente preventivo e riabilitativo. L’ostetrica occupa, fra esse, una posizione di particolare rilievo nel dominio </w:t>
      </w:r>
      <w:proofErr w:type="spellStart"/>
      <w:r>
        <w:t>prevenzionalistico</w:t>
      </w:r>
      <w:proofErr w:type="spellEnd"/>
      <w:r>
        <w:t xml:space="preserve">, poiché presidia il periodo perinatale, fase di vulnerabilità psichica elevata in cui l’intercettazione precoce della depressione e dell’ansia della gravidanza e del puerperio produce ritorni ampi sulla salute della madre, sullo sviluppo del bambino e sulla tenuta del legame familiare; la sua collaborazione con lo Psicologo di Base configura un presidio di salute mentale perinatale che la riforma valorizza come investimento ad alto rendimento differito. Il logopedista e il terapista della riabilitazione presidiano, a loro volta, gli esiti dei disturbi del </w:t>
      </w:r>
      <w:proofErr w:type="spellStart"/>
      <w:r>
        <w:t>neurosviluppo</w:t>
      </w:r>
      <w:proofErr w:type="spellEnd"/>
      <w:r>
        <w:t xml:space="preserve"> in età evolutiva e delle patologie neurologiche nell’adulto, dove la componente psichica della disabilità e la sua riabilitazione si intrecciano con l’azione del neurologo e del pediatra. L’operatore socio-sanitario, infine, sostiene la presa in carico nei contesti di maggiore fragilità e di non autosufficienza, alleggerendo il carico assistenziale e concorrendo alla tenuta domiciliare dei percorsi.</w:t>
      </w:r>
    </w:p>
    <w:p w14:paraId="3616D7A4" w14:textId="77777777" w:rsidR="007C4598" w:rsidRDefault="007C4598"/>
    <w:p w14:paraId="255B73D0" w14:textId="77777777" w:rsidR="007C4598" w:rsidRDefault="00000000">
      <w:pPr>
        <w:jc w:val="both"/>
      </w:pPr>
      <w:r>
        <w:t xml:space="preserve">La capacità di rientro economico di questo insieme di figure è, di conseguenza, mista nella natura e prudenziale nella quantificazione. Al farmacista di comunità si associa un canale di rientro diretto, in quanto moltiplicatore territoriale dell’appropriatezza farmaceutica; alle altre figure si associa un valore prevalentemente preventivo e differito, nei domini </w:t>
      </w:r>
      <w:proofErr w:type="spellStart"/>
      <w:r>
        <w:t>prevenzionalistico</w:t>
      </w:r>
      <w:proofErr w:type="spellEnd"/>
      <w:r>
        <w:t>, assistenzialistico e produttivistico. In tutti i casi, l’evidenza specifica relativa al contributo economico di tali figure nel quadro della riforma è meno consolidata di quella disponibile per le figure cliniche apicali, e ne impone una graduazione attenta e una proiezione contenuta entro bande prudenziali, nel rispetto della separazione tra grandezze dirette e indirette e della regola di non duplicazione. Su questa base è possibile formulare una previsione falsificabile riferita al segmento perinatale, scelto perché meglio documentato e misurabile: a regime, l’integrazione tra ostetrica e Psicologo di Base dovrebbe produrre un incremento della copertura dello screening della depressione perinatale e una riduzione dei casi che giungono ai servizi specialistici in fase conclamata, collocabili, in via prudenziale e con banda di oscillazione, in un intervallo verificabile nell’orizzonte di consolidamento. La previsione è enunciata in forma di banda, con indicazione delle soglie di confutazione, e sarà sottoposta a verifica nel sistema di monitoraggio regionale.</w:t>
      </w:r>
    </w:p>
    <w:p w14:paraId="4076C61C"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5673"/>
        <w:gridCol w:w="3353"/>
      </w:tblGrid>
      <w:tr w:rsidR="007C4598" w14:paraId="7CC155ED" w14:textId="77777777">
        <w:trPr>
          <w:gridAfter w:val="1"/>
          <w:wAfter w:w="360" w:type="dxa"/>
        </w:trPr>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79AE7F4" w14:textId="77777777" w:rsidR="007C4598" w:rsidRDefault="00000000">
            <w:pPr>
              <w:spacing w:after="40"/>
            </w:pPr>
            <w:r>
              <w:rPr>
                <w:b/>
                <w:bCs/>
                <w:color w:val="FFFFFF"/>
                <w:sz w:val="18"/>
                <w:szCs w:val="18"/>
              </w:rPr>
              <w:t>3.8 — Profilo delle ulteriori figure sanitarie e socio-sanitarie</w:t>
            </w:r>
          </w:p>
        </w:tc>
      </w:tr>
      <w:tr w:rsidR="007C4598" w14:paraId="1CE6E039"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00A6095" w14:textId="77777777" w:rsidR="007C4598" w:rsidRDefault="00000000">
            <w:pPr>
              <w:spacing w:after="40"/>
            </w:pPr>
            <w:r>
              <w:t>Ruolo nella riforma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927F4CB" w14:textId="77777777" w:rsidR="007C4598" w:rsidRDefault="00000000">
            <w:pPr>
              <w:spacing w:after="40"/>
            </w:pPr>
            <w:r>
              <w:t>Fascio di funzioni complementari di supporto e completamento del percorso di prossimità: farmacista di comunità, operatore socio-sanitario, logopedista, terapista della riabilitazione, ostetrica.</w:t>
            </w:r>
          </w:p>
        </w:tc>
      </w:tr>
      <w:tr w:rsidR="007C4598" w14:paraId="3F8BD22F"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034A154" w14:textId="77777777" w:rsidR="007C4598" w:rsidRDefault="00000000">
            <w:pPr>
              <w:spacing w:after="40"/>
            </w:pPr>
            <w:r>
              <w:t>Connessione con lo Psicologo di Base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E1DFD50" w14:textId="77777777" w:rsidR="007C4598" w:rsidRDefault="00000000">
            <w:pPr>
              <w:spacing w:after="40"/>
            </w:pPr>
            <w:r>
              <w:t xml:space="preserve">Diretta per segmenti specifici: il farmacista sull’appropriatezza farmaceutica; l’ostetrica sul perinatale; logopedista e terapista sugli esiti del </w:t>
            </w:r>
            <w:proofErr w:type="spellStart"/>
            <w:r>
              <w:t>neurosviluppo</w:t>
            </w:r>
            <w:proofErr w:type="spellEnd"/>
            <w:r>
              <w:t xml:space="preserve"> e delle patologie neurologiche; l’operatore socio-sanitario sulla fragilità e la non autosufficienza.</w:t>
            </w:r>
          </w:p>
        </w:tc>
      </w:tr>
      <w:tr w:rsidR="007C4598" w14:paraId="65F5E4A9"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20B3308" w14:textId="77777777" w:rsidR="007C4598" w:rsidRDefault="00000000">
            <w:pPr>
              <w:spacing w:after="40"/>
            </w:pPr>
            <w:r>
              <w:t>Peso d’influenza nel progetto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2B1B191" w14:textId="77777777" w:rsidR="007C4598" w:rsidRDefault="00000000">
            <w:pPr>
              <w:spacing w:after="40"/>
            </w:pPr>
            <w:r>
              <w:t>Da medio a contenuto, secondo la figura. Il farmacista di comunità presenta il rilievo maggiore per l’ampiezza del presidio territoriale.</w:t>
            </w:r>
          </w:p>
        </w:tc>
      </w:tr>
      <w:tr w:rsidR="007C4598" w14:paraId="067AEBB3"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5521132" w14:textId="77777777" w:rsidR="007C4598" w:rsidRDefault="00000000">
            <w:pPr>
              <w:spacing w:after="40"/>
            </w:pPr>
            <w:r>
              <w:t>Capacità di rientro economico o di revisione della spesa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86A70EC" w14:textId="77777777" w:rsidR="007C4598" w:rsidRDefault="00000000">
            <w:pPr>
              <w:spacing w:after="40"/>
            </w:pPr>
            <w:r>
              <w:t xml:space="preserve">Mista: diretta per il farmacista (moltiplicatore dell’appropriatezza farmaceutica); prevalentemente preventiva e differita per le altre figure, nei domini </w:t>
            </w:r>
            <w:proofErr w:type="spellStart"/>
            <w:r>
              <w:t>prevenzionalistico</w:t>
            </w:r>
            <w:proofErr w:type="spellEnd"/>
            <w:r>
              <w:t>, assistenzialistico e produttivistico.</w:t>
            </w:r>
          </w:p>
        </w:tc>
      </w:tr>
    </w:tbl>
    <w:p w14:paraId="34B0DCF6" w14:textId="77777777" w:rsidR="007C4598" w:rsidRDefault="007C4598"/>
    <w:p w14:paraId="0019A648" w14:textId="77777777" w:rsidR="007C4598" w:rsidRDefault="00000000">
      <w:pPr>
        <w:pStyle w:val="Titolo2"/>
        <w:spacing w:before="200" w:after="100"/>
      </w:pPr>
      <w:r>
        <w:rPr>
          <w:sz w:val="22"/>
          <w:szCs w:val="22"/>
        </w:rPr>
        <w:t>3.9  Le figure educative e scolastiche</w:t>
      </w:r>
    </w:p>
    <w:p w14:paraId="730CD49F" w14:textId="77777777" w:rsidR="007C4598" w:rsidRDefault="007C4598"/>
    <w:p w14:paraId="4E45C801" w14:textId="77777777" w:rsidR="007C4598" w:rsidRDefault="00000000">
      <w:pPr>
        <w:jc w:val="both"/>
      </w:pPr>
      <w:r>
        <w:t>Con le figure educative e scolastiche la cascata estende la propria portata oltre il perimetro sanitario, e raggiunge il luogo in cui il disagio dell’età evolutiva si manifesta con maggiore evidenza e dove la sua intercettazione precoce produce i ritorni più ampi sull’intero arco della vita. La scuola è, per la popolazione dei minori, il contesto di osservazione privilegiato del benessere e della sofferenza, il luogo in cui le difficoltà emotive, relazionali e comportamentali emergono nella loro espressione quotidiana e dove esse possono essere colte prima che si strutturino in forme conclamate. Lo psicologo scolastico costituisce, in questo contesto, il corrispondente educativo dello Psicologo di Base: la figura che presidia il benessere psicologico nella comunità scolastica, che sostiene gli studenti, i docenti e le famiglie, e che traduce l’osservazione del disagio in una risposta di prossimità collocata nel luogo stesso in cui il bisogno si manifesta.</w:t>
      </w:r>
    </w:p>
    <w:p w14:paraId="6616B995" w14:textId="77777777" w:rsidR="007C4598" w:rsidRDefault="007C4598"/>
    <w:p w14:paraId="10DA8690" w14:textId="77777777" w:rsidR="007C4598" w:rsidRDefault="00000000">
      <w:pPr>
        <w:jc w:val="both"/>
      </w:pPr>
      <w:r>
        <w:t xml:space="preserve">La connessione delle figure scolastiche con lo Psicologo di Base è diretta e si realizza per due vie convergenti. La prima è la via clinica, che passa attraverso il pediatra di libera scelta e attraverso il raccordo tra lo psicologo scolastico e il primo livello delle cure primarie, e che consente di indirizzare verso la presa in carico sanitaria i casi che la richiedono, evitando al tempo stesso la medicalizzazione di difficoltà che possono trovare risposta nel contesto educativo. La seconda è la via osservativa, che riconosce nel corpo docente il primo osservatore non specialistico del disagio dello studente, e nella dirigenza scolastica lo strato che rende possibile, sul piano organizzativo, l’integrazione tra il presidio psicologico e la vita della scuola. In questo raccordo la scuola cessa di essere un destinatario passivo dell’azione sanitaria e ne diviene un nodo attivo, che intercetta, segnala e accompagna, e che concorre alla </w:t>
      </w:r>
      <w:proofErr w:type="spellStart"/>
      <w:r>
        <w:t>destigmatizzazione</w:t>
      </w:r>
      <w:proofErr w:type="spellEnd"/>
      <w:r>
        <w:t xml:space="preserve"> del disagio psichico e all’alfabetizzazione psicologica delle giovani generazioni, con un effetto culturale che la Parte nona riconduce al dominio omonimo.</w:t>
      </w:r>
    </w:p>
    <w:p w14:paraId="2A68F856" w14:textId="77777777" w:rsidR="007C4598" w:rsidRDefault="007C4598"/>
    <w:p w14:paraId="180BD3A9" w14:textId="77777777" w:rsidR="007C4598" w:rsidRDefault="00000000">
      <w:pPr>
        <w:jc w:val="both"/>
      </w:pPr>
      <w:r>
        <w:t xml:space="preserve">La capacità di rientro economico delle figure scolastiche è di natura preventiva e differita, e si concentra nei domini pedagogico e scolastico, </w:t>
      </w:r>
      <w:proofErr w:type="spellStart"/>
      <w:r>
        <w:t>prevenzionalistico</w:t>
      </w:r>
      <w:proofErr w:type="spellEnd"/>
      <w:r>
        <w:t xml:space="preserve"> e culturale, con ricadute di lungo periodo nei domini produttivistico e previdenziale. Il valore principale risiede nella prevenzione della dispersione scolastica, fenomeno il cui costo per il sistema, in termini di mancata formazione del capitale umano, di ridotta partecipazione futura e di esclusione sociale, è di entità rilevante e ben documentato, e nel miglioramento del benessere e della prestazione degli studenti, che dell’intercettazione precoce del disagio costituiscono l’esito proprio.</w:t>
      </w:r>
      <w:r>
        <w:rPr>
          <w:color w:val="555555"/>
          <w:sz w:val="16"/>
          <w:szCs w:val="16"/>
          <w:vertAlign w:val="superscript"/>
        </w:rPr>
        <w:t>[29]</w:t>
      </w:r>
      <w:r>
        <w:t xml:space="preserve"> L’evidenza che sostiene l’efficacia degli interventi di salute mentale nei contesti scolastici è apprezzabile e in consolidamento, e si colloca, per la maggior parte degli esiti, in un grado da moderato a basso, secondo le sintesi degli organismi internazionali che hanno raccomandato la promozione della salute mentale nella scuola come strategia di prevenzione;</w:t>
      </w:r>
      <w:r>
        <w:rPr>
          <w:color w:val="555555"/>
          <w:sz w:val="16"/>
          <w:szCs w:val="16"/>
          <w:vertAlign w:val="superscript"/>
        </w:rPr>
        <w:t>[30]</w:t>
      </w:r>
      <w:r>
        <w:t xml:space="preserve"> in coerenza con i vincoli dell’opera, il ritorno è enunciato come beneficio sociale differito, distinto dai risparmi sanitari diretti e ricondotto agli intervalli di rendimento validati.</w:t>
      </w:r>
    </w:p>
    <w:p w14:paraId="18C3BAC3" w14:textId="77777777" w:rsidR="007C4598" w:rsidRDefault="007C4598"/>
    <w:p w14:paraId="27E07F71" w14:textId="77777777" w:rsidR="007C4598" w:rsidRDefault="00000000">
      <w:pPr>
        <w:jc w:val="both"/>
      </w:pPr>
      <w:r>
        <w:t>Su questa base è possibile formulare una previsione falsificabile riferita al segmento scolastico, verificabile ex post sui dati regionali e sugli indicatori di sistema. A regime, la presenza stabile dello psicologo scolastico integrata con il primo livello delle cure primarie dovrebbe produrre una riduzione del tasso di dispersione scolastica nelle aree di intervento e un incremento della quota di difficoltà emotive e comportamentali intercettate precocemente e gestite senza ricorso ai servizi specialistici, collocabili, in via prudenziale e con banda di oscillazione, in un intervallo misurabile nell’orizzonte di consolidamento. La previsione è enunciata in forma di banda prudenziale, con indicazione delle soglie il cui mancato raggiungimento ne segnalerebbe la confutazione, e sarà sottoposta a verifica nel sistema di monitoraggio regionale e in raccordo con gli indicatori del sistema di istruzione, nel rispetto del vincolo di falsificabilità che governa l’intera opera.</w:t>
      </w:r>
    </w:p>
    <w:p w14:paraId="6A85D928"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5629"/>
        <w:gridCol w:w="3397"/>
      </w:tblGrid>
      <w:tr w:rsidR="007C4598" w14:paraId="1A7AAE3A" w14:textId="77777777">
        <w:trPr>
          <w:gridAfter w:val="1"/>
          <w:wAfter w:w="360" w:type="dxa"/>
        </w:trPr>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BE8BBD5" w14:textId="77777777" w:rsidR="007C4598" w:rsidRDefault="00000000">
            <w:pPr>
              <w:spacing w:after="40"/>
            </w:pPr>
            <w:r>
              <w:rPr>
                <w:b/>
                <w:bCs/>
                <w:color w:val="FFFFFF"/>
                <w:sz w:val="18"/>
                <w:szCs w:val="18"/>
              </w:rPr>
              <w:t>3.9 — Profilo delle figure educative e scolastiche</w:t>
            </w:r>
          </w:p>
        </w:tc>
      </w:tr>
      <w:tr w:rsidR="007C4598" w14:paraId="59AD708C"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F7AA45C" w14:textId="77777777" w:rsidR="007C4598" w:rsidRDefault="00000000">
            <w:pPr>
              <w:spacing w:after="40"/>
            </w:pPr>
            <w:r>
              <w:t>Ruolo nella riforma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F004D97" w14:textId="77777777" w:rsidR="007C4598" w:rsidRDefault="00000000">
            <w:pPr>
              <w:spacing w:after="40"/>
            </w:pPr>
            <w:r>
              <w:t>Presidio del benessere psicologico nella comunità scolastica: lo psicologo scolastico come corrispondente educativo del primo livello; il corpo docente come primo osservatore; la dirigenza come strato organizzativo abilitante.</w:t>
            </w:r>
          </w:p>
        </w:tc>
      </w:tr>
      <w:tr w:rsidR="007C4598" w14:paraId="422465A3"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DC38AC4" w14:textId="77777777" w:rsidR="007C4598" w:rsidRDefault="00000000">
            <w:pPr>
              <w:spacing w:after="40"/>
            </w:pPr>
            <w:r>
              <w:t>Connessione con lo Psicologo di Base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1AF6E3A" w14:textId="77777777" w:rsidR="007C4598" w:rsidRDefault="00000000">
            <w:pPr>
              <w:spacing w:after="40"/>
            </w:pPr>
            <w:r>
              <w:t xml:space="preserve">Diretta, per via clinica (raccordo con pediatra e cure primarie) e per via osservativa (segnalazione e accompagnamento). La scuola come nodo attivo di intercettazione, segnalazione e </w:t>
            </w:r>
            <w:proofErr w:type="spellStart"/>
            <w:r>
              <w:t>destigmatizzazione</w:t>
            </w:r>
            <w:proofErr w:type="spellEnd"/>
            <w:r>
              <w:t>.</w:t>
            </w:r>
          </w:p>
        </w:tc>
      </w:tr>
      <w:tr w:rsidR="007C4598" w14:paraId="249536A5"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95BEB66" w14:textId="77777777" w:rsidR="007C4598" w:rsidRDefault="00000000">
            <w:pPr>
              <w:spacing w:after="40"/>
            </w:pPr>
            <w:r>
              <w:t>Peso d’influenza nel progetto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6624F9E" w14:textId="77777777" w:rsidR="007C4598" w:rsidRDefault="00000000">
            <w:pPr>
              <w:spacing w:after="40"/>
            </w:pPr>
            <w:r>
              <w:t>Medio-elevato nel perimetro extra-sanitario. Presidio dell’età e del luogo in cui l’intervento precoce produce i ritorni più ampi e differiti.</w:t>
            </w:r>
          </w:p>
        </w:tc>
      </w:tr>
      <w:tr w:rsidR="007C4598" w14:paraId="608EFD0F"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B5E0E0B" w14:textId="77777777" w:rsidR="007C4598" w:rsidRDefault="00000000">
            <w:pPr>
              <w:spacing w:after="40"/>
            </w:pPr>
            <w:r>
              <w:t>Capacità di rientro economico o di revisione della spesa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24D7505" w14:textId="77777777" w:rsidR="007C4598" w:rsidRDefault="00000000">
            <w:pPr>
              <w:spacing w:after="40"/>
            </w:pPr>
            <w:r>
              <w:t xml:space="preserve">Preventiva e differita, nei domini pedagogico-scolastico, </w:t>
            </w:r>
            <w:proofErr w:type="spellStart"/>
            <w:r>
              <w:t>prevenzionalistico</w:t>
            </w:r>
            <w:proofErr w:type="spellEnd"/>
            <w:r>
              <w:t xml:space="preserve"> e culturale: prevenzione della dispersione scolastica, miglioramento del benessere e della prestazione, formazione del capitale umano. Beneficio sociale distinto dai risparmi diretti.</w:t>
            </w:r>
          </w:p>
        </w:tc>
      </w:tr>
    </w:tbl>
    <w:p w14:paraId="688F03C9"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69D1C67D"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1911FF8" w14:textId="77777777" w:rsidR="007C4598" w:rsidRDefault="00000000">
            <w:pPr>
              <w:spacing w:after="40"/>
            </w:pPr>
            <w:r>
              <w:rPr>
                <w:b/>
                <w:bCs/>
                <w:color w:val="FFFFFF"/>
                <w:sz w:val="18"/>
                <w:szCs w:val="18"/>
              </w:rPr>
              <w:t xml:space="preserve">SEGNAPOSTO INFOGRAFICA — CODICE CANVA-FRIENDLY La catena del valore educativo — dalla scuola alla formazione del capitale umano Tipo grafico:  Diagramma a catena orizzontale a quattro nodi collegati da frecce, stile piatto e preciso Dimensioni:  1920 × 1080 </w:t>
            </w:r>
            <w:proofErr w:type="spellStart"/>
            <w:r>
              <w:rPr>
                <w:b/>
                <w:bCs/>
                <w:color w:val="FFFFFF"/>
                <w:sz w:val="18"/>
                <w:szCs w:val="18"/>
              </w:rPr>
              <w:t>px</w:t>
            </w:r>
            <w:proofErr w:type="spellEnd"/>
            <w:r>
              <w:rPr>
                <w:b/>
                <w:bCs/>
                <w:color w:val="FFFFFF"/>
                <w:sz w:val="18"/>
                <w:szCs w:val="18"/>
              </w:rPr>
              <w:t xml:space="preserve"> (orizzontale) — variante 1080 × 1080 </w:t>
            </w:r>
            <w:proofErr w:type="spellStart"/>
            <w:r>
              <w:rPr>
                <w:b/>
                <w:bCs/>
                <w:color w:val="FFFFFF"/>
                <w:sz w:val="18"/>
                <w:szCs w:val="18"/>
              </w:rPr>
              <w:t>px</w:t>
            </w:r>
            <w:proofErr w:type="spellEnd"/>
            <w:r>
              <w:rPr>
                <w:b/>
                <w:bCs/>
                <w:color w:val="FFFFFF"/>
                <w:sz w:val="18"/>
                <w:szCs w:val="18"/>
              </w:rPr>
              <w:t xml:space="preserve"> (quadrato) Sfondo:  Gradiente bianco 85% (#FFFFFF) → crema 15% (#FBF7EE)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40 </w:t>
            </w:r>
            <w:proofErr w:type="spellStart"/>
            <w:r>
              <w:rPr>
                <w:b/>
                <w:bCs/>
                <w:color w:val="FFFFFF"/>
                <w:sz w:val="18"/>
                <w:szCs w:val="18"/>
              </w:rPr>
              <w:t>pt</w:t>
            </w:r>
            <w:proofErr w:type="spellEnd"/>
            <w:r>
              <w:rPr>
                <w:b/>
                <w:bCs/>
                <w:color w:val="FFFFFF"/>
                <w:sz w:val="18"/>
                <w:szCs w:val="18"/>
              </w:rPr>
              <w:t xml:space="preserve"> </w:t>
            </w:r>
            <w:proofErr w:type="spellStart"/>
            <w:r>
              <w:rPr>
                <w:b/>
                <w:bCs/>
                <w:color w:val="FFFFFF"/>
                <w:sz w:val="18"/>
                <w:szCs w:val="18"/>
              </w:rPr>
              <w:t>Bold</w:t>
            </w:r>
            <w:proofErr w:type="spellEnd"/>
            <w:r>
              <w:rPr>
                <w:b/>
                <w:bCs/>
                <w:color w:val="FFFFFF"/>
                <w:sz w:val="18"/>
                <w:szCs w:val="18"/>
              </w:rPr>
              <w:t xml:space="preserve">, etichette nodo 22 </w:t>
            </w:r>
            <w:proofErr w:type="spellStart"/>
            <w:r>
              <w:rPr>
                <w:b/>
                <w:bCs/>
                <w:color w:val="FFFFFF"/>
                <w:sz w:val="18"/>
                <w:szCs w:val="18"/>
              </w:rPr>
              <w:t>pt</w:t>
            </w:r>
            <w:proofErr w:type="spellEnd"/>
            <w:r>
              <w:rPr>
                <w:b/>
                <w:bCs/>
                <w:color w:val="FFFFFF"/>
                <w:sz w:val="18"/>
                <w:szCs w:val="18"/>
              </w:rPr>
              <w:t xml:space="preserve"> </w:t>
            </w:r>
            <w:proofErr w:type="spellStart"/>
            <w:r>
              <w:rPr>
                <w:b/>
                <w:bCs/>
                <w:color w:val="FFFFFF"/>
                <w:sz w:val="18"/>
                <w:szCs w:val="18"/>
              </w:rPr>
              <w:t>SemiBold</w:t>
            </w:r>
            <w:proofErr w:type="spellEnd"/>
            <w:r>
              <w:rPr>
                <w:b/>
                <w:bCs/>
                <w:color w:val="FFFFFF"/>
                <w:sz w:val="18"/>
                <w:szCs w:val="18"/>
              </w:rPr>
              <w:t xml:space="preserve">, note 14 </w:t>
            </w:r>
            <w:proofErr w:type="spellStart"/>
            <w:r>
              <w:rPr>
                <w:b/>
                <w:bCs/>
                <w:color w:val="FFFFFF"/>
                <w:sz w:val="18"/>
                <w:szCs w:val="18"/>
              </w:rPr>
              <w:t>pt</w:t>
            </w:r>
            <w:proofErr w:type="spellEnd"/>
            <w:r>
              <w:rPr>
                <w:b/>
                <w:bCs/>
                <w:color w:val="FFFFFF"/>
                <w:sz w:val="18"/>
                <w:szCs w:val="18"/>
              </w:rPr>
              <w:t xml:space="preserve"> Regular Nodo 1:  «Osservazione scolastica» (docenti, psicologo scolastico) — riempimento #16264B — testo #FFFFFF Nodo 2:  «Intercettazione precoce» (difficoltà emotive e comportamentali) — riempimento #1E3A6B — testo #FFFFFF Nodo 3:  «Prevenzione della dispersione» (benessere e prestazione) — riempimento #2E5A8F — testo #FFFFFF Nodo 4:  «Capitale umano» (partecipazione, inclusione, ritorno differito) — riempimento #101F3C — testo #FBF7EE Frecce:  Connettori oro #C49A48 tra i nodi, spessore 4 </w:t>
            </w:r>
            <w:proofErr w:type="spellStart"/>
            <w:r>
              <w:rPr>
                <w:b/>
                <w:bCs/>
                <w:color w:val="FFFFFF"/>
                <w:sz w:val="18"/>
                <w:szCs w:val="18"/>
              </w:rPr>
              <w:t>pt</w:t>
            </w:r>
            <w:proofErr w:type="spellEnd"/>
            <w:r>
              <w:rPr>
                <w:b/>
                <w:bCs/>
                <w:color w:val="FFFFFF"/>
                <w:sz w:val="18"/>
                <w:szCs w:val="18"/>
              </w:rPr>
              <w:t xml:space="preserve"> Etichetta dato:  Sotto il nodo 3: banda «riduzione dispersione, valore di banda» in #C49A48 </w:t>
            </w:r>
            <w:proofErr w:type="spellStart"/>
            <w:r>
              <w:rPr>
                <w:b/>
                <w:bCs/>
                <w:color w:val="FFFFFF"/>
                <w:sz w:val="18"/>
                <w:szCs w:val="18"/>
              </w:rPr>
              <w:t>Bold</w:t>
            </w:r>
            <w:proofErr w:type="spellEnd"/>
            <w:r>
              <w:rPr>
                <w:b/>
                <w:bCs/>
                <w:color w:val="FFFFFF"/>
                <w:sz w:val="18"/>
                <w:szCs w:val="18"/>
              </w:rPr>
              <w:t>; dicitura «proiezione falsificabile» Nota variante 3D:  Nodi come blocchi con leggera estrusione (6%) e ombra morbida verso il basso, mantenendo lettura piatta</w:t>
            </w:r>
          </w:p>
          <w:p w14:paraId="478440CA" w14:textId="77777777" w:rsidR="007C4598" w:rsidRDefault="00000000">
            <w:pPr>
              <w:spacing w:before="120" w:after="60"/>
              <w:jc w:val="center"/>
            </w:pPr>
            <w:r>
              <w:rPr>
                <w:noProof/>
              </w:rPr>
              <w:drawing>
                <wp:inline distT="0" distB="0" distL="0" distR="0" wp14:anchorId="57224B7A" wp14:editId="59B6638E">
                  <wp:extent cx="8229600" cy="4629150"/>
                  <wp:effectExtent l="0" t="0" r="0" b="0"/>
                  <wp:docPr id="116" name="Infografica16" descr="La catena del valore educ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nfografica16"/>
                          <pic:cNvPicPr>
                            <a:picLocks noChangeAspect="1" noChangeArrowheads="1"/>
                          </pic:cNvPicPr>
                        </pic:nvPicPr>
                        <pic:blipFill>
                          <a:blip r:embed="rId21">
                            <a:extLst>
                              <a:ext uri="{96DAC541-7B7A-43D3-8B79-37D633B846F1}">
                                <asvg:svgBlip xmlns:asvg="http://schemas.microsoft.com/office/drawing/2016/SVG/main" r:embed="rId22"/>
                              </a:ext>
                            </a:extLst>
                          </a:blip>
                          <a:stretch>
                            <a:fillRect/>
                          </a:stretch>
                        </pic:blipFill>
                        <pic:spPr bwMode="auto">
                          <a:xfrm>
                            <a:off x="0" y="0"/>
                            <a:ext cx="8229600" cy="4629150"/>
                          </a:xfrm>
                          <a:prstGeom prst="rect">
                            <a:avLst/>
                          </a:prstGeom>
                          <a:noFill/>
                          <a:ln>
                            <a:noFill/>
                          </a:ln>
                        </pic:spPr>
                      </pic:pic>
                    </a:graphicData>
                  </a:graphic>
                </wp:inline>
              </w:drawing>
            </w:r>
          </w:p>
          <w:p w14:paraId="37B65B1A" w14:textId="77777777" w:rsidR="007C4598" w:rsidRDefault="00000000">
            <w:pPr>
              <w:spacing w:before="40" w:after="200"/>
              <w:jc w:val="center"/>
            </w:pPr>
            <w:r>
              <w:rPr>
                <w:i/>
                <w:color w:val="2E5A8F"/>
                <w:sz w:val="16"/>
                <w:szCs w:val="16"/>
              </w:rPr>
              <w:t>Fig. 3.3 — La catena del valore educativo. Elaborazione dello studio · Luigi De Michele · Giugno 2026.</w:t>
            </w:r>
          </w:p>
        </w:tc>
      </w:tr>
    </w:tbl>
    <w:p w14:paraId="2FB8A5A5" w14:textId="77777777" w:rsidR="007C4598" w:rsidRDefault="007C4598"/>
    <w:p w14:paraId="59B7648F" w14:textId="77777777" w:rsidR="007C4598" w:rsidRDefault="00000000">
      <w:pPr>
        <w:pStyle w:val="Titolo2"/>
        <w:spacing w:before="200" w:after="100"/>
      </w:pPr>
      <w:r>
        <w:rPr>
          <w:sz w:val="22"/>
          <w:szCs w:val="22"/>
        </w:rPr>
        <w:t>3.10  Gli attori istituzionali e amministrativi regionali</w:t>
      </w:r>
    </w:p>
    <w:p w14:paraId="6B99B5F0" w14:textId="77777777" w:rsidR="007C4598" w:rsidRDefault="007C4598"/>
    <w:p w14:paraId="02E598ED" w14:textId="77777777" w:rsidR="007C4598" w:rsidRDefault="00000000">
      <w:pPr>
        <w:jc w:val="both"/>
      </w:pPr>
      <w:r>
        <w:t>Con gli attori istituzionali e amministrativi la cascata raggiunge il livello in cui la riforma cessa di essere un fatto clinico e diviene un fatto di governo: il livello delle aziende sanitarie locali, dei distretti, dell’Azienda Zero e della Regione, ossia degli enti che programmano, finanziano, organizzano e controllano il servizio. La loro posizione nella cascata non è quella di figure che producono direttamente il valore clinico, ma quella degli attori che ne istituiscono le condizioni di possibilità e che ne governano la sostenibilità nel tempo. Senza l’azione di questo livello, l’apice clinico resterebbe privo della struttura che lo sostiene: è la Regione a istituire il servizio per via legislativa e a destinarne le risorse, sono le aziende sanitarie locali a reclutare e organizzare il personale, sono i distretti a radicare il servizio nel territorio e nelle Case della Comunità, ed è l’Azienda Zero a esercitare le funzioni tecniche e amministrative centralizzate che il modello dell’assistenza territoriale richiede.</w:t>
      </w:r>
    </w:p>
    <w:p w14:paraId="3D285C64" w14:textId="77777777" w:rsidR="007C4598" w:rsidRDefault="007C4598"/>
    <w:p w14:paraId="506D4D2F" w14:textId="77777777" w:rsidR="007C4598" w:rsidRDefault="00000000">
      <w:pPr>
        <w:jc w:val="both"/>
      </w:pPr>
      <w:r>
        <w:t xml:space="preserve">La connessione di questi attori con lo Psicologo di Base è indiretta nella forma ma fondante nella sostanza, poiché essa non opera nel rapporto clinico ma nella catena della programmazione e della </w:t>
      </w:r>
      <w:proofErr w:type="spellStart"/>
      <w:r>
        <w:t>governance</w:t>
      </w:r>
      <w:proofErr w:type="spellEnd"/>
      <w:r>
        <w:t>. Il fondamento normativo di questa connessione risiede nel quadro che regola lo sviluppo dell’assistenza territoriale, il quale definisce i modelli e gli standard delle Case della Comunità e delle reti di prossimità entro cui il servizio si colloca, e che la Regione recepisce e attua nei propri atti di programmazione.</w:t>
      </w:r>
      <w:r>
        <w:rPr>
          <w:color w:val="555555"/>
          <w:sz w:val="16"/>
          <w:szCs w:val="16"/>
          <w:vertAlign w:val="superscript"/>
        </w:rPr>
        <w:t>[21]</w:t>
      </w:r>
      <w:r>
        <w:t xml:space="preserve"> L’azione di questo livello determina, per via amministrativa, le grandezze stesse che le Parti applicative misureranno: il dimensionamento del servizio, la distribuzione del personale tra le aziende e i distretti, l’allocazione delle risorse, l’integrazione tra i livelli assistenziali e la disponibilità delle infrastrutture, comprese quelle digitali su cui la leva abilitante dell’Intelligenza Artificiale potrà innestarsi sotto la </w:t>
      </w:r>
      <w:proofErr w:type="spellStart"/>
      <w:r>
        <w:t>governance</w:t>
      </w:r>
      <w:proofErr w:type="spellEnd"/>
      <w:r>
        <w:t xml:space="preserve"> prudenziale che il quadro europeo prescrive. È a questo livello, in altri termini, che le decisioni di sistema condizionano la misura in cui il valore clinico potrà effettivamente prodursi.</w:t>
      </w:r>
    </w:p>
    <w:p w14:paraId="0C36E14A" w14:textId="77777777" w:rsidR="007C4598" w:rsidRDefault="007C4598"/>
    <w:p w14:paraId="306D85DC" w14:textId="77777777" w:rsidR="007C4598" w:rsidRDefault="00000000">
      <w:pPr>
        <w:jc w:val="both"/>
      </w:pPr>
      <w:r>
        <w:t xml:space="preserve">La capacità di rientro economico degli attori istituzionali è di natura particolare, e va enunciata con precisione per non confonderla con quella delle figure cliniche. Essi non generano un risparmio proprio, ma sono i soggetti che realizzano e contabilizzano la revisione della spesa che la riforma rende possibile: è nel bilancio del Servizio sanitario regionale, governato da questo livello, che i risparmi diretti documentati dalle Parti settima e ottava — minore spesa farmaceutica inappropriata, minori accessi impropri, minore mobilità sanitaria passiva — si traducono in revisione effettiva della spesa, e sono questi attori a poter riallocare le risorse liberate verso il potenziamento del servizio o verso altri bisogni del sistema. La loro funzione, rispetto al rientro economico, è dunque quella di realizzatori e </w:t>
      </w:r>
      <w:proofErr w:type="spellStart"/>
      <w:r>
        <w:t>contabilizzatori</w:t>
      </w:r>
      <w:proofErr w:type="spellEnd"/>
      <w:r>
        <w:t xml:space="preserve"> del valore, non di produttori diretti; e il loro peso d’influenza è elevato non perché eseguano operazioni cliniche di risparmio, ma perché le condizioni che essi stabiliscono determinano l’ampiezza entro cui ogni operazione di risparmio potrà avvenire. Il dominio del perimetro integrale su cui questo livello incide in modo più diretto è, coerentemente, quello finanziario e dei bilanci regionali, cui si aggiunge il dominio burocratico, in ragione del potenziale di semplificazione amministrativa che l’integrazione dei percorsi consente.</w:t>
      </w:r>
    </w:p>
    <w:p w14:paraId="74B528AD" w14:textId="77777777" w:rsidR="007C4598" w:rsidRDefault="007C4598"/>
    <w:p w14:paraId="64E67A4B" w14:textId="77777777" w:rsidR="007C4598" w:rsidRDefault="00000000">
      <w:pPr>
        <w:jc w:val="both"/>
      </w:pPr>
      <w:r>
        <w:t>Su questa base è possibile formulare una previsione falsificabile riferita al livello istituzionale, verificabile ex post sui dati di bilancio e di attività del Servizio sanitario regionale. A regime, l’attuazione della riforma da parte degli attori istituzionali dovrebbe produrre una riallocazione misurabile delle risorse liberate dai risparmi diretti verso il consolidamento del servizio territoriale e una riduzione della quota di spesa assorbita dalla mobilità sanitaria passiva per prestazioni di area psichica e neuropsichiatrica, collocabili, in via prudenziale e con banda di oscillazione, in un intervallo verificabile nell’orizzonte di consolidamento. La previsione è enunciata in forma di banda, con indicazione delle soglie il cui mancato raggiungimento ne segnalerebbe la confutazione, e sarà sottoposta a verifica nel sistema di monitoraggio regionale e nei documenti di programmazione e bilancio, nel rispetto della separazione tra grandezze fiscali e sociali e della regola di non duplicazione che governa l’opera.</w:t>
      </w:r>
    </w:p>
    <w:p w14:paraId="78EE7C6A"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5682"/>
        <w:gridCol w:w="3344"/>
      </w:tblGrid>
      <w:tr w:rsidR="007C4598" w14:paraId="44FB04F0" w14:textId="77777777">
        <w:trPr>
          <w:gridAfter w:val="1"/>
          <w:wAfter w:w="360" w:type="dxa"/>
        </w:trPr>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027E14C" w14:textId="77777777" w:rsidR="007C4598" w:rsidRDefault="00000000">
            <w:pPr>
              <w:spacing w:after="40"/>
            </w:pPr>
            <w:r>
              <w:rPr>
                <w:b/>
                <w:bCs/>
                <w:color w:val="FFFFFF"/>
                <w:sz w:val="18"/>
                <w:szCs w:val="18"/>
              </w:rPr>
              <w:t>3.10 — Profilo degli attori istituzionali e amministrativi regionali</w:t>
            </w:r>
          </w:p>
        </w:tc>
      </w:tr>
      <w:tr w:rsidR="007C4598" w14:paraId="4F893E20"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CF94D6B" w14:textId="77777777" w:rsidR="007C4598" w:rsidRDefault="00000000">
            <w:pPr>
              <w:spacing w:after="40"/>
            </w:pPr>
            <w:r>
              <w:t>Ruolo nella riforma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31BE0BB" w14:textId="77777777" w:rsidR="007C4598" w:rsidRDefault="00000000">
            <w:pPr>
              <w:spacing w:after="40"/>
            </w:pPr>
            <w:r>
              <w:t>Enti che programmano, finanziano, organizzano e controllano il servizio: Regione (istituzione e risorse), aziende sanitarie locali (reclutamento e organizzazione), distretti (radicamento territoriale), Azienda Zero (funzioni tecniche centralizzate).</w:t>
            </w:r>
          </w:p>
        </w:tc>
      </w:tr>
      <w:tr w:rsidR="007C4598" w14:paraId="2D514602"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F212372" w14:textId="77777777" w:rsidR="007C4598" w:rsidRDefault="00000000">
            <w:pPr>
              <w:spacing w:after="40"/>
            </w:pPr>
            <w:r>
              <w:t>Connessione con lo Psicologo di Base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559B3BE" w14:textId="77777777" w:rsidR="007C4598" w:rsidRDefault="00000000">
            <w:pPr>
              <w:spacing w:after="40"/>
            </w:pPr>
            <w:r>
              <w:t xml:space="preserve">Indiretta nella forma ma fondante nella sostanza: opera nella catena della programmazione e della </w:t>
            </w:r>
            <w:proofErr w:type="spellStart"/>
            <w:r>
              <w:t>governance</w:t>
            </w:r>
            <w:proofErr w:type="spellEnd"/>
            <w:r>
              <w:t>, determinando per via amministrativa dimensionamento, allocazione e integrazione dei livelli.</w:t>
            </w:r>
          </w:p>
        </w:tc>
      </w:tr>
      <w:tr w:rsidR="007C4598" w14:paraId="4A209F2F"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1F7873B" w14:textId="77777777" w:rsidR="007C4598" w:rsidRDefault="00000000">
            <w:pPr>
              <w:spacing w:after="40"/>
            </w:pPr>
            <w:r>
              <w:t>Peso d’influenza nel progetto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00BA75E" w14:textId="77777777" w:rsidR="007C4598" w:rsidRDefault="00000000">
            <w:pPr>
              <w:spacing w:after="40"/>
            </w:pPr>
            <w:r>
              <w:t>Elevato. Le condizioni stabilite a questo livello determinano l’ampiezza entro cui il valore clinico potrà effettivamente prodursi.</w:t>
            </w:r>
          </w:p>
        </w:tc>
      </w:tr>
      <w:tr w:rsidR="007C4598" w14:paraId="151E75E6"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087A657" w14:textId="77777777" w:rsidR="007C4598" w:rsidRDefault="00000000">
            <w:pPr>
              <w:spacing w:after="40"/>
            </w:pPr>
            <w:r>
              <w:t>Capacità di rientro economico o di revisione della spesa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F053065" w14:textId="77777777" w:rsidR="007C4598" w:rsidRDefault="00000000">
            <w:pPr>
              <w:spacing w:after="40"/>
            </w:pPr>
            <w:r>
              <w:t xml:space="preserve">Particolare: realizzatori e </w:t>
            </w:r>
            <w:proofErr w:type="spellStart"/>
            <w:r>
              <w:t>contabilizzatori</w:t>
            </w:r>
            <w:proofErr w:type="spellEnd"/>
            <w:r>
              <w:t xml:space="preserve"> della revisione della spesa. Nel bilancio regionale i risparmi diretti si traducono in revisione effettiva e in riallocazione delle risorse. Incidenza diretta sui domini finanziario e burocratico.</w:t>
            </w:r>
          </w:p>
        </w:tc>
      </w:tr>
    </w:tbl>
    <w:p w14:paraId="4C9DBEE9" w14:textId="77777777" w:rsidR="007C4598" w:rsidRDefault="007C4598"/>
    <w:p w14:paraId="5AB1DFFD" w14:textId="77777777" w:rsidR="007C4598" w:rsidRDefault="00000000">
      <w:pPr>
        <w:pStyle w:val="Titolo2"/>
        <w:spacing w:before="200" w:after="100"/>
      </w:pPr>
      <w:r>
        <w:rPr>
          <w:sz w:val="22"/>
          <w:szCs w:val="22"/>
        </w:rPr>
        <w:t>3.11  Gli attori extra-sanitari</w:t>
      </w:r>
    </w:p>
    <w:p w14:paraId="74EAC399" w14:textId="77777777" w:rsidR="007C4598" w:rsidRDefault="007C4598"/>
    <w:p w14:paraId="6D5ECADA" w14:textId="77777777" w:rsidR="007C4598" w:rsidRDefault="00000000">
      <w:pPr>
        <w:jc w:val="both"/>
      </w:pPr>
      <w:r>
        <w:t>Alla base della cascata si collocano gli attori extra-sanitari, ossia i soggetti che non partecipano alla produzione dell’assistenza ma che ne ricevono gli effetti di maggiore entità economica e sociale, e che per questa via costituiscono i beneficiari ultimi della riforma e i destinatari del valore indiretto che essa libera. Questo livello comprende gli istituti della previdenza e dell’assicurazione sociale, segnatamente l’istituto nazionale della previdenza sociale e l’istituto nazionale per l’assicurazione contro gli infortuni sul lavoro; il sistema giudiziario; il mondo delle imprese; le organizzazioni sindacali; le università; e il terzo settore. La loro collocazione alla base non ne segnala la minore importanza, ma ne riconosce la natura: essi sono il terreno su cui si scaricano i costi che la cattiva salute mentale produce oggi e su cui si depositeranno, domani, i benefici che la riforma genera, ed è per questa ragione che la cascata, pur muovendo dall’apice clinico, trova in questo livello la misura più ampia del proprio valore complessivo.</w:t>
      </w:r>
    </w:p>
    <w:p w14:paraId="6898FA37" w14:textId="77777777" w:rsidR="007C4598" w:rsidRDefault="007C4598"/>
    <w:p w14:paraId="4FC3F4E9" w14:textId="77777777" w:rsidR="007C4598" w:rsidRDefault="00000000">
      <w:pPr>
        <w:jc w:val="both"/>
      </w:pPr>
      <w:r>
        <w:t>La connessione di questi attori con lo Psicologo di Base è indiretta e mediata dall’intera cascata, ma è proprio in essa che si concentrano i domini del perimetro integrale di maggiore rilievo economico. Gli istituti della previdenza e dell’assicurazione sociale ricevono l’effetto della riforma nei domini previdenziale e lavorativo, poiché l’intercettazione precoce e il trattamento appropriato del disagio psichico riducono l’incidenza dell’inabilità, dell’invalidità e del pensionamento anticipato per cause psichiche, e contengono il rischio psicosociale nei luoghi di lavoro che la normativa in materia di salute e sicurezza riconduce alla valutazione obbligatoria del datore di lavoro.</w:t>
      </w:r>
      <w:r>
        <w:rPr>
          <w:color w:val="555555"/>
          <w:sz w:val="16"/>
          <w:szCs w:val="16"/>
          <w:vertAlign w:val="superscript"/>
        </w:rPr>
        <w:t>[31][32]</w:t>
      </w:r>
      <w:r>
        <w:t xml:space="preserve"> Il sistema giudiziario riceve l’effetto nel dominio criminologico, attraverso la relazione documentata tra disagio psichico non trattato, marginalità e devianza, e i conseguenti costi della giustizia e della recidiva. Il mondo delle imprese e le organizzazioni sindacali ricevono l’effetto nei domini produttivistico e industriale, attraverso la riduzione dell’assenteismo, del </w:t>
      </w:r>
      <w:proofErr w:type="spellStart"/>
      <w:r>
        <w:t>presenteismo</w:t>
      </w:r>
      <w:proofErr w:type="spellEnd"/>
      <w:r>
        <w:t xml:space="preserve"> e della perdita di produttività che la cattiva salute mentale comporta, di cui gli organismi economici internazionali hanno stimato l’entità complessiva come quota significativa del prodotto.</w:t>
      </w:r>
      <w:r>
        <w:rPr>
          <w:color w:val="555555"/>
          <w:sz w:val="16"/>
          <w:szCs w:val="16"/>
          <w:vertAlign w:val="superscript"/>
        </w:rPr>
        <w:t>[33]</w:t>
      </w:r>
      <w:r>
        <w:t xml:space="preserve"> Le università e il terzo settore, infine, ricevono e insieme amplificano l’effetto nei domini accademico, della ricerca e del capitale sociale.</w:t>
      </w:r>
    </w:p>
    <w:p w14:paraId="2B975BD2" w14:textId="77777777" w:rsidR="007C4598" w:rsidRDefault="007C4598"/>
    <w:p w14:paraId="68AA6493" w14:textId="77777777" w:rsidR="007C4598" w:rsidRDefault="00000000">
      <w:pPr>
        <w:jc w:val="both"/>
      </w:pPr>
      <w:r>
        <w:t>La capacità di rientro economico di questo livello è la più elevata in termini di entità assoluta del valore, ed è al tempo stesso quella che impone la maggiore cautela metodologica, poiché in essa si annida il rischio più grave di duplicazione e di sovrastima. Il valore che si deposita sugli attori extra-sanitari è prevalentemente sociale e indiretto, e va tenuto rigorosamente distinto dal risparmio fiscale diretto del bilancio sanitario: la minore spesa previdenziale per invalidità psichica, il maggiore gettito derivante dalla ripresa della partecipazione, il minore costo della giustizia e la maggiore produttività delle imprese sono benefici reali, ma non sono risparmi del Servizio sanitario regionale, e non possono essere sommati ad essi in un unico saldo. È in questa sede, più che in ogni altra, che la regola di non duplicazione tra grandezze fiscali e sociali e la prescrizione di mantenere distinte le categorie spiegano per intero la propria funzione di salvaguardia: il medesimo recupero di una persona alla vita lavorativa non può essere contabilizzato contemporaneamente come minore spesa previdenziale, come maggiore produttività d’impresa e come minore costo sanitario, e la valutazione integrata della Parte decima procederà perciò per attribuzione esclusiva di ciascun beneficio a un solo dominio, entro gli intervalli di rendimento validati e con bande prudenziali.</w:t>
      </w:r>
    </w:p>
    <w:p w14:paraId="6BE13AB5" w14:textId="77777777" w:rsidR="007C4598" w:rsidRDefault="007C4598"/>
    <w:p w14:paraId="3A9633C1" w14:textId="77777777" w:rsidR="007C4598" w:rsidRDefault="00000000">
      <w:pPr>
        <w:jc w:val="both"/>
      </w:pPr>
      <w:r>
        <w:t>Su questa base è possibile formulare una previsione falsificabile riferita al livello extra-sanitario, la più ampia per portata e la più prudente per formulazione, verificabile ex post sui dati degli istituti e del sistema economico regionale. A regime, la riforma dovrebbe produrre una riduzione misurabile dell’incidenza delle prestazioni di invalidità e inabilità riconosciute per cause psichiche nella popolazione assistita e una riduzione delle giornate di lavoro perse per disturbi della salute mentale, collocabili, in via prudenziale e con banda di oscillazione, in un intervallo verificabile nell’orizzonte di consolidamento, con i benefici attribuiti in via esclusiva ai rispettivi domini previdenziale e produttivistico e mai cumulati. La previsione è enunciata in forma di banda, con indicazione delle soglie il cui mancato raggiungimento ne segnalerebbe la confutazione, e sarà sottoposta a verifica in raccordo con i dati degli istituti della previdenza e dell’assicurazione sociale, nel rispetto del vincolo di falsificabilità e della separazione tra le categorie che governano l’opera.</w:t>
      </w:r>
    </w:p>
    <w:p w14:paraId="2F4C52A6"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5770"/>
        <w:gridCol w:w="3256"/>
      </w:tblGrid>
      <w:tr w:rsidR="007C4598" w14:paraId="38808C25" w14:textId="77777777">
        <w:trPr>
          <w:gridAfter w:val="1"/>
          <w:wAfter w:w="360" w:type="dxa"/>
        </w:trPr>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E0B747C" w14:textId="77777777" w:rsidR="007C4598" w:rsidRDefault="00000000">
            <w:pPr>
              <w:spacing w:after="40"/>
            </w:pPr>
            <w:r>
              <w:rPr>
                <w:b/>
                <w:bCs/>
                <w:color w:val="FFFFFF"/>
                <w:sz w:val="18"/>
                <w:szCs w:val="18"/>
              </w:rPr>
              <w:t>3.11 — Profilo degli attori extra-sanitari</w:t>
            </w:r>
          </w:p>
        </w:tc>
      </w:tr>
      <w:tr w:rsidR="007C4598" w14:paraId="6FB63FC8"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68D2BC7" w14:textId="77777777" w:rsidR="007C4598" w:rsidRDefault="00000000">
            <w:pPr>
              <w:spacing w:after="40"/>
            </w:pPr>
            <w:r>
              <w:t>Ruolo nella riforma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0D53DF1" w14:textId="77777777" w:rsidR="007C4598" w:rsidRDefault="00000000">
            <w:pPr>
              <w:spacing w:after="40"/>
            </w:pPr>
            <w:r>
              <w:t>Soggetti che non producono assistenza ma ne ricevono gli effetti di maggiore entità economica e sociale: istituti di previdenza e assicurazione sociale, sistema giudiziario, imprese, organizzazioni sindacali, università, terzo settore. Beneficiari ultimi del valore indiretto.</w:t>
            </w:r>
          </w:p>
        </w:tc>
      </w:tr>
      <w:tr w:rsidR="007C4598" w14:paraId="16602263"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DB9D7D0" w14:textId="77777777" w:rsidR="007C4598" w:rsidRDefault="00000000">
            <w:pPr>
              <w:spacing w:after="40"/>
            </w:pPr>
            <w:r>
              <w:t>Connessione con lo Psicologo di Base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D991FA8" w14:textId="77777777" w:rsidR="007C4598" w:rsidRDefault="00000000">
            <w:pPr>
              <w:spacing w:after="40"/>
            </w:pPr>
            <w:r>
              <w:t>Indiretta e mediata dall’intera cascata. Vi si concentrano i domini di maggiore rilievo economico: previdenziale, lavorativo, criminologico, produttivistico, industriale, accademico e del capitale sociale.</w:t>
            </w:r>
          </w:p>
        </w:tc>
      </w:tr>
      <w:tr w:rsidR="007C4598" w14:paraId="0C78CA1A"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113E5D8" w14:textId="77777777" w:rsidR="007C4598" w:rsidRDefault="00000000">
            <w:pPr>
              <w:spacing w:after="40"/>
            </w:pPr>
            <w:r>
              <w:t>Peso d’influenza nel progetto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3653395" w14:textId="77777777" w:rsidR="007C4598" w:rsidRDefault="00000000">
            <w:pPr>
              <w:spacing w:after="40"/>
            </w:pPr>
            <w:r>
              <w:t>Da contenuto a indiretto sul piano operativo, ma massimo come terreno di deposito del valore complessivo della riforma.</w:t>
            </w:r>
          </w:p>
        </w:tc>
      </w:tr>
      <w:tr w:rsidR="007C4598" w14:paraId="347826E6"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0EE06C3" w14:textId="77777777" w:rsidR="007C4598" w:rsidRDefault="00000000">
            <w:pPr>
              <w:spacing w:after="40"/>
            </w:pPr>
            <w:r>
              <w:t>Capacità di rientro economico o di revisione della spesa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6862CFA" w14:textId="77777777" w:rsidR="007C4598" w:rsidRDefault="00000000">
            <w:pPr>
              <w:spacing w:after="40"/>
            </w:pPr>
            <w:r>
              <w:t>La più elevata in entità assoluta, ma interamente di natura sociale e indiretta: rigorosamente distinta dal risparmio fiscale diretto. Soggetta in via prioritaria alla regola di non duplicazione e all’attribuzione esclusiva per dominio.</w:t>
            </w:r>
          </w:p>
        </w:tc>
      </w:tr>
    </w:tbl>
    <w:p w14:paraId="00790240"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45491CD4"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D5809AC" w14:textId="77777777" w:rsidR="007C4598" w:rsidRDefault="00000000">
            <w:pPr>
              <w:spacing w:after="40"/>
            </w:pPr>
            <w:r>
              <w:rPr>
                <w:b/>
                <w:bCs/>
                <w:color w:val="FFFFFF"/>
                <w:sz w:val="18"/>
                <w:szCs w:val="18"/>
              </w:rPr>
              <w:t>SEGNAPOSTO INFOGRAFICA — CODICE CANVA-FRIENDLY Dove si deposita il valore — domini del perimetro integrale per livello della cascata Tipo grafico:  Mappa a blocchi (</w:t>
            </w:r>
            <w:proofErr w:type="spellStart"/>
            <w:r>
              <w:rPr>
                <w:b/>
                <w:bCs/>
                <w:color w:val="FFFFFF"/>
                <w:sz w:val="18"/>
                <w:szCs w:val="18"/>
              </w:rPr>
              <w:t>treemap</w:t>
            </w:r>
            <w:proofErr w:type="spellEnd"/>
            <w:r>
              <w:rPr>
                <w:b/>
                <w:bCs/>
                <w:color w:val="FFFFFF"/>
                <w:sz w:val="18"/>
                <w:szCs w:val="18"/>
              </w:rPr>
              <w:t xml:space="preserve"> semplificata) a riquadri proporzionali, stile piatto e preciso Dimensioni:  1920 × 1080 </w:t>
            </w:r>
            <w:proofErr w:type="spellStart"/>
            <w:r>
              <w:rPr>
                <w:b/>
                <w:bCs/>
                <w:color w:val="FFFFFF"/>
                <w:sz w:val="18"/>
                <w:szCs w:val="18"/>
              </w:rPr>
              <w:t>px</w:t>
            </w:r>
            <w:proofErr w:type="spellEnd"/>
            <w:r>
              <w:rPr>
                <w:b/>
                <w:bCs/>
                <w:color w:val="FFFFFF"/>
                <w:sz w:val="18"/>
                <w:szCs w:val="18"/>
              </w:rPr>
              <w:t xml:space="preserve"> (orizzontale) — variante 1080 × 1350 </w:t>
            </w:r>
            <w:proofErr w:type="spellStart"/>
            <w:r>
              <w:rPr>
                <w:b/>
                <w:bCs/>
                <w:color w:val="FFFFFF"/>
                <w:sz w:val="18"/>
                <w:szCs w:val="18"/>
              </w:rPr>
              <w:t>px</w:t>
            </w:r>
            <w:proofErr w:type="spellEnd"/>
            <w:r>
              <w:rPr>
                <w:b/>
                <w:bCs/>
                <w:color w:val="FFFFFF"/>
                <w:sz w:val="18"/>
                <w:szCs w:val="18"/>
              </w:rPr>
              <w:t xml:space="preserve"> (verticale) Sfondo:  Gradiente bianco 85% (#FFFFFF) → crema 15% (#FBF7EE)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40 </w:t>
            </w:r>
            <w:proofErr w:type="spellStart"/>
            <w:r>
              <w:rPr>
                <w:b/>
                <w:bCs/>
                <w:color w:val="FFFFFF"/>
                <w:sz w:val="18"/>
                <w:szCs w:val="18"/>
              </w:rPr>
              <w:t>pt</w:t>
            </w:r>
            <w:proofErr w:type="spellEnd"/>
            <w:r>
              <w:rPr>
                <w:b/>
                <w:bCs/>
                <w:color w:val="FFFFFF"/>
                <w:sz w:val="18"/>
                <w:szCs w:val="18"/>
              </w:rPr>
              <w:t xml:space="preserve"> </w:t>
            </w:r>
            <w:proofErr w:type="spellStart"/>
            <w:r>
              <w:rPr>
                <w:b/>
                <w:bCs/>
                <w:color w:val="FFFFFF"/>
                <w:sz w:val="18"/>
                <w:szCs w:val="18"/>
              </w:rPr>
              <w:t>Bold</w:t>
            </w:r>
            <w:proofErr w:type="spellEnd"/>
            <w:r>
              <w:rPr>
                <w:b/>
                <w:bCs/>
                <w:color w:val="FFFFFF"/>
                <w:sz w:val="18"/>
                <w:szCs w:val="18"/>
              </w:rPr>
              <w:t xml:space="preserve">, etichette riquadro 20 </w:t>
            </w:r>
            <w:proofErr w:type="spellStart"/>
            <w:r>
              <w:rPr>
                <w:b/>
                <w:bCs/>
                <w:color w:val="FFFFFF"/>
                <w:sz w:val="18"/>
                <w:szCs w:val="18"/>
              </w:rPr>
              <w:t>pt</w:t>
            </w:r>
            <w:proofErr w:type="spellEnd"/>
            <w:r>
              <w:rPr>
                <w:b/>
                <w:bCs/>
                <w:color w:val="FFFFFF"/>
                <w:sz w:val="18"/>
                <w:szCs w:val="18"/>
              </w:rPr>
              <w:t xml:space="preserve"> </w:t>
            </w:r>
            <w:proofErr w:type="spellStart"/>
            <w:r>
              <w:rPr>
                <w:b/>
                <w:bCs/>
                <w:color w:val="FFFFFF"/>
                <w:sz w:val="18"/>
                <w:szCs w:val="18"/>
              </w:rPr>
              <w:t>SemiBold</w:t>
            </w:r>
            <w:proofErr w:type="spellEnd"/>
            <w:r>
              <w:rPr>
                <w:b/>
                <w:bCs/>
                <w:color w:val="FFFFFF"/>
                <w:sz w:val="18"/>
                <w:szCs w:val="18"/>
              </w:rPr>
              <w:t xml:space="preserve">, note 13 </w:t>
            </w:r>
            <w:proofErr w:type="spellStart"/>
            <w:r>
              <w:rPr>
                <w:b/>
                <w:bCs/>
                <w:color w:val="FFFFFF"/>
                <w:sz w:val="18"/>
                <w:szCs w:val="18"/>
              </w:rPr>
              <w:t>pt</w:t>
            </w:r>
            <w:proofErr w:type="spellEnd"/>
            <w:r>
              <w:rPr>
                <w:b/>
                <w:bCs/>
                <w:color w:val="FFFFFF"/>
                <w:sz w:val="18"/>
                <w:szCs w:val="18"/>
              </w:rPr>
              <w:t xml:space="preserve"> Regular Riquadro grande 1:  «Previdenziale · Lavorativo» (INPS, INAIL) — riempimento #16264B — testo #FFFFFF Riquadro grande 2:  «Produttivistico · Industriale» (imprese, sindacati) — riempimento #1E3A6B — testo #FFFFFF Riquadro medio 3:  «Criminologico» (giustizia, recidiva) — riempimento #2E5A8F — testo #FFFFFF Riquadro medio 4:  «</w:t>
            </w:r>
            <w:proofErr w:type="spellStart"/>
            <w:r>
              <w:rPr>
                <w:b/>
                <w:bCs/>
                <w:color w:val="FFFFFF"/>
                <w:sz w:val="18"/>
                <w:szCs w:val="18"/>
              </w:rPr>
              <w:t>Welfaristico</w:t>
            </w:r>
            <w:proofErr w:type="spellEnd"/>
            <w:r>
              <w:rPr>
                <w:b/>
                <w:bCs/>
                <w:color w:val="FFFFFF"/>
                <w:sz w:val="18"/>
                <w:szCs w:val="18"/>
              </w:rPr>
              <w:t xml:space="preserve"> · Assistenzialistico» (servizi sociali) — riempimento #355F92 — testo #FFFFFF Riquadro piccolo 5:  «Accademico · Capitale sociale» (università, terzo settore) — riempimento #101F3C — testo #FBF7EE Avvertenza in calce:  Dicitura obbligatoria «Valore prevalentemente sociale e indiretto — distinto dai risparmi diretti — attribuzione esclusiva per dominio, nessuna duplicazione» in #C49A48 </w:t>
            </w:r>
            <w:proofErr w:type="spellStart"/>
            <w:r>
              <w:rPr>
                <w:b/>
                <w:bCs/>
                <w:color w:val="FFFFFF"/>
                <w:sz w:val="18"/>
                <w:szCs w:val="18"/>
              </w:rPr>
              <w:t>Bold</w:t>
            </w:r>
            <w:proofErr w:type="spellEnd"/>
            <w:r>
              <w:rPr>
                <w:b/>
                <w:bCs/>
                <w:color w:val="FFFFFF"/>
                <w:sz w:val="18"/>
                <w:szCs w:val="18"/>
              </w:rPr>
              <w:t xml:space="preserve"> Accenti:  Filo oro #C49A48 sotto il titolo Nota variante 3D:  Riquadri con leggera estrusione (5%) e ombra morbida, mantenendo proporzioni e lettura piatta</w:t>
            </w:r>
          </w:p>
          <w:p w14:paraId="7577DCB4" w14:textId="77777777" w:rsidR="007C4598" w:rsidRDefault="00000000">
            <w:pPr>
              <w:spacing w:before="120" w:after="60"/>
              <w:jc w:val="center"/>
            </w:pPr>
            <w:r>
              <w:rPr>
                <w:noProof/>
              </w:rPr>
              <w:drawing>
                <wp:inline distT="0" distB="0" distL="0" distR="0" wp14:anchorId="45162F6E" wp14:editId="7F265790">
                  <wp:extent cx="8229600" cy="4629150"/>
                  <wp:effectExtent l="0" t="0" r="0" b="0"/>
                  <wp:docPr id="117" name="Infografica17" descr="Dove si deposita il valore — domini del perimetro integr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Infografica17"/>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8229600" cy="4629150"/>
                          </a:xfrm>
                          <a:prstGeom prst="rect">
                            <a:avLst/>
                          </a:prstGeom>
                          <a:noFill/>
                          <a:ln>
                            <a:noFill/>
                          </a:ln>
                        </pic:spPr>
                      </pic:pic>
                    </a:graphicData>
                  </a:graphic>
                </wp:inline>
              </w:drawing>
            </w:r>
          </w:p>
          <w:p w14:paraId="125AED2A" w14:textId="77777777" w:rsidR="007C4598" w:rsidRDefault="00000000">
            <w:pPr>
              <w:spacing w:before="40" w:after="200"/>
              <w:jc w:val="center"/>
            </w:pPr>
            <w:r>
              <w:rPr>
                <w:i/>
                <w:color w:val="2E5A8F"/>
                <w:sz w:val="16"/>
                <w:szCs w:val="16"/>
              </w:rPr>
              <w:t>Fig. 3.4 — Dove si deposita il valore — domini del perimetro integrale. Elaborazione dello studio · Luigi De Michele · Giugno 2026.</w:t>
            </w:r>
          </w:p>
        </w:tc>
      </w:tr>
    </w:tbl>
    <w:p w14:paraId="20E3D02D" w14:textId="77777777" w:rsidR="007C4598" w:rsidRDefault="007C4598"/>
    <w:p w14:paraId="5EB61C0C" w14:textId="77777777" w:rsidR="007C4598" w:rsidRDefault="00000000">
      <w:pPr>
        <w:pStyle w:val="Titolo2"/>
        <w:spacing w:before="200" w:after="100"/>
      </w:pPr>
      <w:r>
        <w:rPr>
          <w:sz w:val="22"/>
          <w:szCs w:val="22"/>
        </w:rPr>
        <w:t>3.12  La matrice di influenza e di capacità di rientro: l’ordinamento formale della cascata</w:t>
      </w:r>
    </w:p>
    <w:p w14:paraId="0B5EE010" w14:textId="77777777" w:rsidR="007C4598" w:rsidRDefault="007C4598"/>
    <w:p w14:paraId="51C68846" w14:textId="77777777" w:rsidR="007C4598" w:rsidRDefault="00000000">
      <w:pPr>
        <w:jc w:val="both"/>
      </w:pPr>
      <w:r>
        <w:t>Le sezioni precedenti hanno percorso la cascata figura per figura, dall’apice clinico alla base extra-sanitaria, attribuendo a ciascun attore un ruolo, una connessione con lo Psicologo di Base, un peso d’influenza nel progetto e una capacità di rientro economico o di revisione della spesa. La presente sezione conclusiva raccoglie tali attribuzioni in un ordinamento formale, che converte la successione discorsiva in una struttura ordinata e ne rende esplicito il criterio. L’ordinamento non è un riepilogo, ma lo strumento operativo su cui le Parti applicative dell’opera fonderanno l’attribuzione del valore: esso stabilisce, per ciascuna figura, la collocazione lungo le due dimensioni che governano l’intera architettura, l’influenza e la capacità di rientro, e ne ricava la posizione complessiva nella gerarchia di valore della riforma.</w:t>
      </w:r>
    </w:p>
    <w:p w14:paraId="4866C3B0" w14:textId="77777777" w:rsidR="007C4598" w:rsidRDefault="007C4598"/>
    <w:p w14:paraId="296E241C" w14:textId="77777777" w:rsidR="007C4598" w:rsidRDefault="00000000">
      <w:pPr>
        <w:jc w:val="both"/>
      </w:pPr>
      <w:r>
        <w:t>Le due dimensioni dell’ordinamento, come si è chiarito fin dall’Introduzione, sono distinte e non vanno confuse. L’influenza nel progetto misura la misura in cui l’azione di una figura condiziona il prodursi degli effetti complessivi della riforma, ed è massima per le figure che ne costituiscono la condizione necessaria, a partire dallo Psicologo di Base. La capacità di rientro economico misura, invece, la misura in cui l’azione di una figura genera, direttamente o indirettamente, un risparmio fiscale o una revisione della spesa, ovvero un beneficio sociale di rilievo economico. Le due dimensioni non coincidono, e la loro non coincidenza è uno dei risultati strutturali della Parte: vi sono figure di influenza massima e rientro indiretto, come lo Psicologo di Base, il cui valore si esercita attivando quello altrui; figure di influenza elevata e rientro diretto, come la coppia clinica, in cui influenza e risparmio si saldano; e figure di influenza operativa contenuta ma di rientro elevato in entità assoluta, come gli attori extra-sanitari, sui quali si deposita il valore sociale di maggiore ampiezza. La matrice rende visibile questa articolazione e impedisce la riduzione della gerarchia a una sola dimensione.</w:t>
      </w:r>
    </w:p>
    <w:p w14:paraId="016C129A" w14:textId="77777777" w:rsidR="007C4598" w:rsidRDefault="007C4598"/>
    <w:p w14:paraId="2A125BEA" w14:textId="77777777" w:rsidR="007C4598" w:rsidRDefault="00000000">
      <w:pPr>
        <w:jc w:val="both"/>
      </w:pPr>
      <w:r>
        <w:t>La tabella che segue espone l’ordinamento formale della cascata, collocando ciascuna figura lungo le due dimensioni e indicando la natura del rientro e i domini del perimetro integrale su cui essa incide in modo più diretto. La graduazione è qualitativa e prudenziale, e non anticipa le quantificazioni delle Parti applicative, che ne forniranno i valori entro gli intervalli di rendimento validati e con le bande di incertezza proprie di ciascun dominio; essa fornisce, piuttosto, la mappa entro cui tali quantificazioni troveranno la propria collocazione, garantendo che ogni grandezza sia attribuita a una sola figura e a un solo dominio, secondo la regola di non duplicazione, e che la separazione tra risparmio fiscale diretto e beneficio sociale indiretto sia mantenuta lungo l’intera struttura. L’ordinamento è, in questo senso, il presidio metodologico contro la sovrastima e la duplicazione, oltre che lo strumento che dà forma compiuta all’architettura richiesta.</w:t>
      </w:r>
    </w:p>
    <w:p w14:paraId="1D5CDBCE"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4FA9849F"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E692ADE" w14:textId="77777777" w:rsidR="007C4598" w:rsidRDefault="00000000">
            <w:pPr>
              <w:spacing w:after="40"/>
            </w:pPr>
            <w:r>
              <w:rPr>
                <w:b/>
                <w:bCs/>
                <w:color w:val="FFFFFF"/>
                <w:sz w:val="18"/>
                <w:szCs w:val="18"/>
              </w:rPr>
              <w:t>Figura della cascata</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39E4B3E" w14:textId="77777777" w:rsidR="007C4598" w:rsidRDefault="00000000">
            <w:pPr>
              <w:spacing w:after="40"/>
            </w:pPr>
            <w:r>
              <w:rPr>
                <w:b/>
                <w:bCs/>
                <w:color w:val="FFFFFF"/>
                <w:sz w:val="18"/>
                <w:szCs w:val="18"/>
              </w:rPr>
              <w:t>Influenza</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AB981C0" w14:textId="77777777" w:rsidR="007C4598" w:rsidRDefault="00000000">
            <w:pPr>
              <w:spacing w:after="40"/>
            </w:pPr>
            <w:r>
              <w:rPr>
                <w:b/>
                <w:bCs/>
                <w:color w:val="FFFFFF"/>
                <w:sz w:val="18"/>
                <w:szCs w:val="18"/>
              </w:rPr>
              <w:t>Rientro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9B353FA" w14:textId="77777777" w:rsidR="007C4598" w:rsidRDefault="00000000">
            <w:pPr>
              <w:spacing w:after="40"/>
            </w:pPr>
            <w:r>
              <w:rPr>
                <w:b/>
                <w:bCs/>
                <w:color w:val="FFFFFF"/>
                <w:sz w:val="18"/>
                <w:szCs w:val="18"/>
              </w:rPr>
              <w:t>Natura del rientro e domini prevalenti</w:t>
            </w:r>
          </w:p>
        </w:tc>
      </w:tr>
      <w:tr w:rsidR="007C4598" w14:paraId="3C190F47"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551A9B2" w14:textId="77777777" w:rsidR="007C4598" w:rsidRDefault="00000000">
            <w:pPr>
              <w:spacing w:after="40"/>
            </w:pPr>
            <w:r>
              <w:t>Psicologo di Base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8E7D4A7" w14:textId="77777777" w:rsidR="007C4598" w:rsidRDefault="00000000">
            <w:pPr>
              <w:spacing w:after="40"/>
            </w:pPr>
            <w:r>
              <w:t>Massima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0D5CCFC" w14:textId="77777777" w:rsidR="007C4598" w:rsidRDefault="00000000">
            <w:pPr>
              <w:spacing w:after="40"/>
            </w:pPr>
            <w:r>
              <w:t>Indiretto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5258981" w14:textId="77777777" w:rsidR="007C4598" w:rsidRDefault="00000000">
            <w:pPr>
              <w:spacing w:after="40"/>
            </w:pPr>
            <w:r>
              <w:t>Attiva e ordina il valore a valle; nessuna duplicazione; monito sui risparmi diretti isolati</w:t>
            </w:r>
          </w:p>
        </w:tc>
      </w:tr>
      <w:tr w:rsidR="007C4598" w14:paraId="4566C796"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86BE28C" w14:textId="77777777" w:rsidR="007C4598" w:rsidRDefault="00000000">
            <w:pPr>
              <w:spacing w:after="40"/>
            </w:pPr>
            <w:r>
              <w:t xml:space="preserve">Coppia clinica (MMG + </w:t>
            </w:r>
            <w:proofErr w:type="spellStart"/>
            <w:r>
              <w:t>PdB</w:t>
            </w:r>
            <w:proofErr w:type="spellEnd"/>
            <w:r>
              <w:t>)</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DDEE0D6" w14:textId="77777777" w:rsidR="007C4598" w:rsidRDefault="00000000">
            <w:pPr>
              <w:spacing w:after="40"/>
            </w:pPr>
            <w:r>
              <w:t>Elevata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A64529F" w14:textId="77777777" w:rsidR="007C4598" w:rsidRDefault="00000000">
            <w:pPr>
              <w:spacing w:after="40"/>
            </w:pPr>
            <w:r>
              <w:t>Diretto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5C298A4" w14:textId="77777777" w:rsidR="007C4598" w:rsidRDefault="00000000">
            <w:pPr>
              <w:spacing w:after="40"/>
            </w:pPr>
            <w:r>
              <w:t>Appropriatezza farmaceutica; accessi e ricoveri evitabili; invii ed esami non necessari</w:t>
            </w:r>
          </w:p>
        </w:tc>
      </w:tr>
      <w:tr w:rsidR="007C4598" w14:paraId="155FB1C6"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30390A6" w14:textId="77777777" w:rsidR="007C4598" w:rsidRDefault="00000000">
            <w:pPr>
              <w:spacing w:after="40"/>
            </w:pPr>
            <w:r>
              <w:t>Pediatra di libera scelta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AD0EAE7" w14:textId="77777777" w:rsidR="007C4598" w:rsidRDefault="00000000">
            <w:pPr>
              <w:spacing w:after="40"/>
            </w:pPr>
            <w:r>
              <w:t>Medio-elevata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BD0550C" w14:textId="77777777" w:rsidR="007C4598" w:rsidRDefault="00000000">
            <w:pPr>
              <w:spacing w:after="40"/>
            </w:pPr>
            <w:r>
              <w:t>Differito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25B5884" w14:textId="77777777" w:rsidR="007C4598" w:rsidRDefault="00000000">
            <w:pPr>
              <w:spacing w:after="40"/>
            </w:pPr>
            <w:proofErr w:type="spellStart"/>
            <w:r>
              <w:t>Prevenzionalistico</w:t>
            </w:r>
            <w:proofErr w:type="spellEnd"/>
            <w:r>
              <w:t>; pedagogico-scolastico; assistenzialistico</w:t>
            </w:r>
          </w:p>
        </w:tc>
      </w:tr>
      <w:tr w:rsidR="007C4598" w14:paraId="6E9C0BFF"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333A909" w14:textId="77777777" w:rsidR="007C4598" w:rsidRDefault="00000000">
            <w:pPr>
              <w:spacing w:after="40"/>
            </w:pPr>
            <w:r>
              <w:t>Neurologo e neuroscienze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FE88946" w14:textId="77777777" w:rsidR="007C4598" w:rsidRDefault="00000000">
            <w:pPr>
              <w:spacing w:after="40"/>
            </w:pPr>
            <w:r>
              <w:t>Media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6E71573" w14:textId="77777777" w:rsidR="007C4598" w:rsidRDefault="00000000">
            <w:pPr>
              <w:spacing w:after="40"/>
            </w:pPr>
            <w:r>
              <w:t>Diretto e differito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A2EC081" w14:textId="77777777" w:rsidR="007C4598" w:rsidRDefault="00000000">
            <w:pPr>
              <w:spacing w:after="40"/>
            </w:pPr>
            <w:r>
              <w:t xml:space="preserve">Sanitario specialistico; </w:t>
            </w:r>
            <w:proofErr w:type="spellStart"/>
            <w:r>
              <w:t>comorbilità</w:t>
            </w:r>
            <w:proofErr w:type="spellEnd"/>
            <w:r>
              <w:t xml:space="preserve"> neuropsichiatrica; prevenzione</w:t>
            </w:r>
          </w:p>
        </w:tc>
      </w:tr>
      <w:tr w:rsidR="007C4598" w14:paraId="3F1F0C28"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3852E7E" w14:textId="77777777" w:rsidR="007C4598" w:rsidRDefault="00000000">
            <w:pPr>
              <w:spacing w:after="40"/>
            </w:pPr>
            <w:r>
              <w:t>Infermiere di famiglia e comunità</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7559786" w14:textId="77777777" w:rsidR="007C4598" w:rsidRDefault="00000000">
            <w:pPr>
              <w:spacing w:after="40"/>
            </w:pPr>
            <w:r>
              <w:t>Media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9A2E459" w14:textId="77777777" w:rsidR="007C4598" w:rsidRDefault="00000000">
            <w:pPr>
              <w:spacing w:after="40"/>
            </w:pPr>
            <w:r>
              <w:t>Diretto e differito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91ED6B0" w14:textId="77777777" w:rsidR="007C4598" w:rsidRDefault="00000000">
            <w:pPr>
              <w:spacing w:after="40"/>
            </w:pPr>
            <w:r>
              <w:t>Continuità assistenziale; aderenza; tenuta domiciliare</w:t>
            </w:r>
          </w:p>
        </w:tc>
      </w:tr>
      <w:tr w:rsidR="007C4598" w14:paraId="67E692C9"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5223BCA" w14:textId="77777777" w:rsidR="007C4598" w:rsidRDefault="00000000">
            <w:pPr>
              <w:spacing w:after="40"/>
            </w:pPr>
            <w:r>
              <w:t>Psichiatra consulente e CSM</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D5C8562" w14:textId="77777777" w:rsidR="007C4598" w:rsidRDefault="00000000">
            <w:pPr>
              <w:spacing w:after="40"/>
            </w:pPr>
            <w:r>
              <w:t>Media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175C1A3" w14:textId="77777777" w:rsidR="007C4598" w:rsidRDefault="00000000">
            <w:pPr>
              <w:spacing w:after="40"/>
            </w:pPr>
            <w:r>
              <w:t>Diretto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D927D88" w14:textId="77777777" w:rsidR="007C4598" w:rsidRDefault="00000000">
            <w:pPr>
              <w:spacing w:after="40"/>
            </w:pPr>
            <w:r>
              <w:t>Appropriatezza dell’invio specialistico; liste d’attesa; mobilità passiva</w:t>
            </w:r>
          </w:p>
        </w:tc>
      </w:tr>
      <w:tr w:rsidR="007C4598" w14:paraId="2B3F6221"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39A14B2" w14:textId="77777777" w:rsidR="007C4598" w:rsidRDefault="00000000">
            <w:pPr>
              <w:spacing w:after="40"/>
            </w:pPr>
            <w:r>
              <w:t>Assistente sociale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918A4D1" w14:textId="77777777" w:rsidR="007C4598" w:rsidRDefault="00000000">
            <w:pPr>
              <w:spacing w:after="40"/>
            </w:pPr>
            <w:r>
              <w:t>Media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177A996" w14:textId="77777777" w:rsidR="007C4598" w:rsidRDefault="00000000">
            <w:pPr>
              <w:spacing w:after="40"/>
            </w:pPr>
            <w:r>
              <w:t>Indiretto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6B1BA28" w14:textId="77777777" w:rsidR="007C4598" w:rsidRDefault="00000000">
            <w:pPr>
              <w:spacing w:after="40"/>
            </w:pPr>
            <w:proofErr w:type="spellStart"/>
            <w:r>
              <w:t>Welfaristico</w:t>
            </w:r>
            <w:proofErr w:type="spellEnd"/>
            <w:r>
              <w:t>; assistenzialistico; sociale; criminologico</w:t>
            </w:r>
          </w:p>
        </w:tc>
      </w:tr>
      <w:tr w:rsidR="007C4598" w14:paraId="48D07352"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9A45E69" w14:textId="77777777" w:rsidR="007C4598" w:rsidRDefault="00000000">
            <w:pPr>
              <w:spacing w:after="40"/>
            </w:pPr>
            <w:r>
              <w:t>Farmacista di comunità</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1C6B47D" w14:textId="77777777" w:rsidR="007C4598" w:rsidRDefault="00000000">
            <w:pPr>
              <w:spacing w:after="40"/>
            </w:pPr>
            <w:r>
              <w:t>Media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F071126" w14:textId="77777777" w:rsidR="007C4598" w:rsidRDefault="00000000">
            <w:pPr>
              <w:spacing w:after="40"/>
            </w:pPr>
            <w:r>
              <w:t>Diretto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D29D4AA" w14:textId="77777777" w:rsidR="007C4598" w:rsidRDefault="00000000">
            <w:pPr>
              <w:spacing w:after="40"/>
            </w:pPr>
            <w:r>
              <w:t>Moltiplicatore territoriale dell’appropriatezza farmaceutica</w:t>
            </w:r>
          </w:p>
        </w:tc>
      </w:tr>
      <w:tr w:rsidR="007C4598" w14:paraId="53FCF466"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FE4EA7A" w14:textId="77777777" w:rsidR="007C4598" w:rsidRDefault="00000000">
            <w:pPr>
              <w:spacing w:after="40"/>
            </w:pPr>
            <w:r>
              <w:t>Altre figure socio-sanitarie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C04346C" w14:textId="77777777" w:rsidR="007C4598" w:rsidRDefault="00000000">
            <w:pPr>
              <w:spacing w:after="40"/>
            </w:pPr>
            <w:r>
              <w:t>Contenuta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85BCE81" w14:textId="77777777" w:rsidR="007C4598" w:rsidRDefault="00000000">
            <w:pPr>
              <w:spacing w:after="40"/>
            </w:pPr>
            <w:r>
              <w:t>Differito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50DF858" w14:textId="77777777" w:rsidR="007C4598" w:rsidRDefault="00000000">
            <w:pPr>
              <w:spacing w:after="40"/>
            </w:pPr>
            <w:proofErr w:type="spellStart"/>
            <w:r>
              <w:t>Prevenzionalistico</w:t>
            </w:r>
            <w:proofErr w:type="spellEnd"/>
            <w:r>
              <w:t xml:space="preserve"> (perinatale); riabilitativo; assistenzialistico</w:t>
            </w:r>
          </w:p>
        </w:tc>
      </w:tr>
      <w:tr w:rsidR="007C4598" w14:paraId="2B27E46A"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A38E23F" w14:textId="77777777" w:rsidR="007C4598" w:rsidRDefault="00000000">
            <w:pPr>
              <w:spacing w:after="40"/>
            </w:pPr>
            <w:r>
              <w:t>Figure educative e scolastiche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34C41A8" w14:textId="77777777" w:rsidR="007C4598" w:rsidRDefault="00000000">
            <w:pPr>
              <w:spacing w:after="40"/>
            </w:pPr>
            <w:r>
              <w:t>Medio-elevata (extra-sanitaria)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F7FC1C3" w14:textId="77777777" w:rsidR="007C4598" w:rsidRDefault="00000000">
            <w:pPr>
              <w:spacing w:after="40"/>
            </w:pPr>
            <w:r>
              <w:t>Differito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3396015" w14:textId="77777777" w:rsidR="007C4598" w:rsidRDefault="00000000">
            <w:pPr>
              <w:spacing w:after="40"/>
            </w:pPr>
            <w:r>
              <w:t xml:space="preserve">Pedagogico-scolastico; </w:t>
            </w:r>
            <w:proofErr w:type="spellStart"/>
            <w:r>
              <w:t>prevenzionalistico</w:t>
            </w:r>
            <w:proofErr w:type="spellEnd"/>
            <w:r>
              <w:t>; culturale</w:t>
            </w:r>
          </w:p>
        </w:tc>
      </w:tr>
      <w:tr w:rsidR="007C4598" w14:paraId="1F4F3700"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47287BB" w14:textId="77777777" w:rsidR="007C4598" w:rsidRDefault="00000000">
            <w:pPr>
              <w:spacing w:after="40"/>
            </w:pPr>
            <w:r>
              <w:t>Attori istituzionali regionali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8CDE6E1" w14:textId="77777777" w:rsidR="007C4598" w:rsidRDefault="00000000">
            <w:pPr>
              <w:spacing w:after="40"/>
            </w:pPr>
            <w:r>
              <w:t>Elevata (di sistema)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E1F0653" w14:textId="77777777" w:rsidR="007C4598" w:rsidRDefault="00000000">
            <w:pPr>
              <w:spacing w:after="40"/>
            </w:pPr>
            <w:r>
              <w:t>Realizzatore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7428E06" w14:textId="77777777" w:rsidR="007C4598" w:rsidRDefault="00000000">
            <w:pPr>
              <w:spacing w:after="40"/>
            </w:pPr>
            <w:r>
              <w:t>Finanziario e dei bilanci regionali; burocratico</w:t>
            </w:r>
          </w:p>
        </w:tc>
      </w:tr>
      <w:tr w:rsidR="007C4598" w14:paraId="4400105E"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CFDC508" w14:textId="77777777" w:rsidR="007C4598" w:rsidRDefault="00000000">
            <w:pPr>
              <w:spacing w:after="40"/>
            </w:pPr>
            <w:r>
              <w:t>Attori extra-sanitari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E7C8910" w14:textId="77777777" w:rsidR="007C4598" w:rsidRDefault="00000000">
            <w:pPr>
              <w:spacing w:after="40"/>
            </w:pPr>
            <w:r>
              <w:t>Indiretta (di sistema)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AA31DC1" w14:textId="77777777" w:rsidR="007C4598" w:rsidRDefault="00000000">
            <w:pPr>
              <w:spacing w:after="40"/>
            </w:pPr>
            <w:r>
              <w:t>Massimo in entità</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EB94105" w14:textId="77777777" w:rsidR="007C4598" w:rsidRDefault="00000000">
            <w:pPr>
              <w:spacing w:after="40"/>
            </w:pPr>
            <w:r>
              <w:t>Previdenziale; lavorativo; produttivistico; criminologico — sociale, distinto dal diretto</w:t>
            </w:r>
          </w:p>
        </w:tc>
      </w:tr>
    </w:tbl>
    <w:p w14:paraId="5180BECA"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43C26158"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32420A6" w14:textId="77777777" w:rsidR="007C4598" w:rsidRDefault="00000000">
            <w:pPr>
              <w:spacing w:after="40"/>
            </w:pPr>
            <w:r>
              <w:rPr>
                <w:b/>
                <w:bCs/>
                <w:color w:val="FFFFFF"/>
                <w:sz w:val="18"/>
                <w:szCs w:val="18"/>
              </w:rPr>
              <w:t xml:space="preserve">SEGNAPOSTO INFOGRAFICA — CODICE CANVA-FRIENDLY La matrice di influenza × capacità di rientro — l’ordinamento della cascata Tipo grafico:  Matrice a dispersione (piano cartesiano a quadranti) con etichette per figura, stile piatto e preciso Dimensioni:  1080 × 1080 </w:t>
            </w:r>
            <w:proofErr w:type="spellStart"/>
            <w:r>
              <w:rPr>
                <w:b/>
                <w:bCs/>
                <w:color w:val="FFFFFF"/>
                <w:sz w:val="18"/>
                <w:szCs w:val="18"/>
              </w:rPr>
              <w:t>px</w:t>
            </w:r>
            <w:proofErr w:type="spellEnd"/>
            <w:r>
              <w:rPr>
                <w:b/>
                <w:bCs/>
                <w:color w:val="FFFFFF"/>
                <w:sz w:val="18"/>
                <w:szCs w:val="18"/>
              </w:rPr>
              <w:t xml:space="preserve"> (quadrato) — variante 1920 × 1080 </w:t>
            </w:r>
            <w:proofErr w:type="spellStart"/>
            <w:r>
              <w:rPr>
                <w:b/>
                <w:bCs/>
                <w:color w:val="FFFFFF"/>
                <w:sz w:val="18"/>
                <w:szCs w:val="18"/>
              </w:rPr>
              <w:t>px</w:t>
            </w:r>
            <w:proofErr w:type="spellEnd"/>
            <w:r>
              <w:rPr>
                <w:b/>
                <w:bCs/>
                <w:color w:val="FFFFFF"/>
                <w:sz w:val="18"/>
                <w:szCs w:val="18"/>
              </w:rPr>
              <w:t xml:space="preserve"> Sfondo:  Gradiente bianco 85% (#FFFFFF) → crema 15% (#FBF7EE)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40 </w:t>
            </w:r>
            <w:proofErr w:type="spellStart"/>
            <w:r>
              <w:rPr>
                <w:b/>
                <w:bCs/>
                <w:color w:val="FFFFFF"/>
                <w:sz w:val="18"/>
                <w:szCs w:val="18"/>
              </w:rPr>
              <w:t>pt</w:t>
            </w:r>
            <w:proofErr w:type="spellEnd"/>
            <w:r>
              <w:rPr>
                <w:b/>
                <w:bCs/>
                <w:color w:val="FFFFFF"/>
                <w:sz w:val="18"/>
                <w:szCs w:val="18"/>
              </w:rPr>
              <w:t xml:space="preserve"> </w:t>
            </w:r>
            <w:proofErr w:type="spellStart"/>
            <w:r>
              <w:rPr>
                <w:b/>
                <w:bCs/>
                <w:color w:val="FFFFFF"/>
                <w:sz w:val="18"/>
                <w:szCs w:val="18"/>
              </w:rPr>
              <w:t>Bold</w:t>
            </w:r>
            <w:proofErr w:type="spellEnd"/>
            <w:r>
              <w:rPr>
                <w:b/>
                <w:bCs/>
                <w:color w:val="FFFFFF"/>
                <w:sz w:val="18"/>
                <w:szCs w:val="18"/>
              </w:rPr>
              <w:t xml:space="preserve">, assi 18 </w:t>
            </w:r>
            <w:proofErr w:type="spellStart"/>
            <w:r>
              <w:rPr>
                <w:b/>
                <w:bCs/>
                <w:color w:val="FFFFFF"/>
                <w:sz w:val="18"/>
                <w:szCs w:val="18"/>
              </w:rPr>
              <w:t>pt</w:t>
            </w:r>
            <w:proofErr w:type="spellEnd"/>
            <w:r>
              <w:rPr>
                <w:b/>
                <w:bCs/>
                <w:color w:val="FFFFFF"/>
                <w:sz w:val="18"/>
                <w:szCs w:val="18"/>
              </w:rPr>
              <w:t xml:space="preserve"> </w:t>
            </w:r>
            <w:proofErr w:type="spellStart"/>
            <w:r>
              <w:rPr>
                <w:b/>
                <w:bCs/>
                <w:color w:val="FFFFFF"/>
                <w:sz w:val="18"/>
                <w:szCs w:val="18"/>
              </w:rPr>
              <w:t>SemiBold</w:t>
            </w:r>
            <w:proofErr w:type="spellEnd"/>
            <w:r>
              <w:rPr>
                <w:b/>
                <w:bCs/>
                <w:color w:val="FFFFFF"/>
                <w:sz w:val="18"/>
                <w:szCs w:val="18"/>
              </w:rPr>
              <w:t xml:space="preserve">, etichette punti 14 </w:t>
            </w:r>
            <w:proofErr w:type="spellStart"/>
            <w:r>
              <w:rPr>
                <w:b/>
                <w:bCs/>
                <w:color w:val="FFFFFF"/>
                <w:sz w:val="18"/>
                <w:szCs w:val="18"/>
              </w:rPr>
              <w:t>pt</w:t>
            </w:r>
            <w:proofErr w:type="spellEnd"/>
            <w:r>
              <w:rPr>
                <w:b/>
                <w:bCs/>
                <w:color w:val="FFFFFF"/>
                <w:sz w:val="18"/>
                <w:szCs w:val="18"/>
              </w:rPr>
              <w:t xml:space="preserve"> Regular Asse X:  «Capacità di rientro economico» da indiretto/differito (sinistra) a diretto/elevato (destra) — colore asse #2E5A8F Asse Y:  «Influenza nel progetto» da contenuta (basso) a massima (alto) — colore asse #2E5A8F Punto in alto a sinistra:  «Psicologo di Base» (influenza massima, rientro indiretto) — marcatore #16264B grande Punto in alto a destra:  «Coppia clinica» (influenza elevata, rientro diretto) — marcatore #1E3A6B Punti area centrale:  «Pediatra · Neurologo · Infermiere · Psichiatra · Assistente sociale · Farmacista» — marcatori #2E5A8F Punto in basso a destra:  «Attori istituzionali» (realizzatori della revisione di spesa) — marcatore #355F92 Punto in basso, entità massima:  «Attori extra-sanitari» (valore sociale massimo in entità, indiretto) — marcatore #101F3C con alone Accenti:  Filo oro #C49A48 sotto il titolo; linee dei quadranti in grigio tenue #D9D2C2 Avvertenza in calce:  «Le due dimensioni non coincidono; attribuzione esclusiva per dominio; nessuna duplicazione fiscale e sociale» in #C49A48 </w:t>
            </w:r>
            <w:proofErr w:type="spellStart"/>
            <w:r>
              <w:rPr>
                <w:b/>
                <w:bCs/>
                <w:color w:val="FFFFFF"/>
                <w:sz w:val="18"/>
                <w:szCs w:val="18"/>
              </w:rPr>
              <w:t>Bold</w:t>
            </w:r>
            <w:proofErr w:type="spellEnd"/>
            <w:r>
              <w:rPr>
                <w:b/>
                <w:bCs/>
                <w:color w:val="FFFFFF"/>
                <w:sz w:val="18"/>
                <w:szCs w:val="18"/>
              </w:rPr>
              <w:t xml:space="preserve"> Nota variante 3D:  Marcatori come sfere con ombra morbida e leggero rilievo, mantenendo la lettura piana del piano cartesiano</w:t>
            </w:r>
          </w:p>
          <w:p w14:paraId="2C057545" w14:textId="77777777" w:rsidR="007C4598" w:rsidRDefault="00000000">
            <w:pPr>
              <w:spacing w:before="120" w:after="60"/>
              <w:jc w:val="center"/>
            </w:pPr>
            <w:r>
              <w:rPr>
                <w:noProof/>
              </w:rPr>
              <w:drawing>
                <wp:inline distT="0" distB="0" distL="0" distR="0" wp14:anchorId="7CFA2FE3" wp14:editId="250C0BFB">
                  <wp:extent cx="8229600" cy="4629150"/>
                  <wp:effectExtent l="0" t="0" r="0" b="0"/>
                  <wp:docPr id="118" name="Infografica18" descr="La matrice di influenza × capacità di rien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nfografica18"/>
                          <pic:cNvPicPr>
                            <a:picLocks noChangeAspect="1" noChangeArrowheads="1"/>
                          </pic:cNvPicPr>
                        </pic:nvPicPr>
                        <pic:blipFill>
                          <a:blip r:embed="rId25">
                            <a:extLst>
                              <a:ext uri="{96DAC541-7B7A-43D3-8B79-37D633B846F1}">
                                <asvg:svgBlip xmlns:asvg="http://schemas.microsoft.com/office/drawing/2016/SVG/main" r:embed="rId26"/>
                              </a:ext>
                            </a:extLst>
                          </a:blip>
                          <a:stretch>
                            <a:fillRect/>
                          </a:stretch>
                        </pic:blipFill>
                        <pic:spPr bwMode="auto">
                          <a:xfrm>
                            <a:off x="0" y="0"/>
                            <a:ext cx="8229600" cy="4629150"/>
                          </a:xfrm>
                          <a:prstGeom prst="rect">
                            <a:avLst/>
                          </a:prstGeom>
                          <a:noFill/>
                          <a:ln>
                            <a:noFill/>
                          </a:ln>
                        </pic:spPr>
                      </pic:pic>
                    </a:graphicData>
                  </a:graphic>
                </wp:inline>
              </w:drawing>
            </w:r>
          </w:p>
          <w:p w14:paraId="6870A04C" w14:textId="77777777" w:rsidR="007C4598" w:rsidRDefault="00000000">
            <w:pPr>
              <w:spacing w:before="40" w:after="200"/>
              <w:jc w:val="center"/>
            </w:pPr>
            <w:r>
              <w:rPr>
                <w:i/>
                <w:color w:val="2E5A8F"/>
                <w:sz w:val="16"/>
                <w:szCs w:val="16"/>
              </w:rPr>
              <w:t>Fig. 3.5 — La matrice di influenza × capacità di rientro. Elaborazione dello studio · Luigi De Michele · Giugno 2026.</w:t>
            </w:r>
          </w:p>
        </w:tc>
      </w:tr>
    </w:tbl>
    <w:p w14:paraId="131D4FBA" w14:textId="77777777" w:rsidR="007C4598" w:rsidRDefault="007C4598"/>
    <w:p w14:paraId="6688557B" w14:textId="77777777" w:rsidR="007C4598" w:rsidRDefault="00000000">
      <w:pPr>
        <w:pStyle w:val="Titolo2"/>
        <w:spacing w:before="200" w:after="100"/>
      </w:pPr>
      <w:r>
        <w:rPr>
          <w:sz w:val="22"/>
          <w:szCs w:val="22"/>
        </w:rPr>
        <w:t>Quadro Conclusivo economico-sociale e multidisciplinare integrale</w:t>
      </w:r>
    </w:p>
    <w:p w14:paraId="17443165" w14:textId="77777777" w:rsidR="007C4598" w:rsidRDefault="007C4598"/>
    <w:p w14:paraId="2E279DC6" w14:textId="77777777" w:rsidR="007C4598" w:rsidRDefault="00000000">
      <w:pPr>
        <w:jc w:val="both"/>
      </w:pPr>
      <w:r>
        <w:t>La terza parte ha dato forma compiuta all’ordine richiesto, percorrendo l’intera cascata delle figure direttamente e indirettamente connesse alla riforma e collocando ciascuna lungo le due dimensioni che governano l’architettura, l’influenza nel progetto e la capacità di rientro economico o di revisione della spesa. Resta ora da comporre, in un quadro unitario, il significato economico-sociale e multidisciplinare di tale percorso, non per anticipare le quantificazioni che le Parti applicative svilupperanno, ma per rendere esplicita la struttura di valore che la cascata istituisce e i vincoli entro cui essa dovrà essere misurata. Il quadro che segue è, in questo senso, la cerniera tra l’architettura delle figure e la valutazione economica integrata, e ne fissa i termini.</w:t>
      </w:r>
    </w:p>
    <w:p w14:paraId="40DC839B" w14:textId="77777777" w:rsidR="007C4598" w:rsidRDefault="007C4598"/>
    <w:p w14:paraId="66B1A081" w14:textId="77777777" w:rsidR="007C4598" w:rsidRDefault="00000000">
      <w:pPr>
        <w:jc w:val="both"/>
      </w:pPr>
      <w:r>
        <w:t>Il primo risultato strutturale della Parte è la dissociazione tra l’influenza e il rientro, che la matrice conclusiva ha reso visibile e che costituisce il fondamento dell’intera attribuzione del valore. Lo Psicologo di Base, posto all’apice per influenza massima, non è la figura di rientro diretto massimo: il suo valore si esercita attivando e ordinando quello generato dalle figure a valle, ed è perciò elevato ma indiretto. La coppia clinica con la medicina generale, di influenza elevata, è invece il luogo del rientro diretto meglio documentato, dove l’appropriatezza farmaceutica, la riduzione degli accessi impropri e il contenimento degli invii non necessari si saldano in un risparmio imputabile. Gli attori extra-sanitari, di influenza operativa contenuta, sono infine il terreno su cui si deposita il valore di maggiore entità assoluta, interamente di natura sociale e indiretta. Questa articolazione su due dimensioni non coincidenti è ciò che impedisce di ridurre la riforma a un’unica grandezza e impone, alla valutazione economica, di procedere per attribuzione distinta lungo l’intera struttura.</w:t>
      </w:r>
    </w:p>
    <w:p w14:paraId="476774D7" w14:textId="77777777" w:rsidR="007C4598" w:rsidRDefault="007C4598"/>
    <w:p w14:paraId="66FA3F3C" w14:textId="77777777" w:rsidR="007C4598" w:rsidRDefault="00000000">
      <w:pPr>
        <w:jc w:val="both"/>
      </w:pPr>
      <w:r>
        <w:t xml:space="preserve">Il secondo risultato è la mappatura del perimetro multidisciplinare integrale sui livelli della cascata, che converte l’elenco dei domini in una struttura ordinata di attribuzione. I risparmi diretti del bilancio sanitario — minore spesa farmaceutica inappropriata, minori accessi impropri al pronto soccorso e ricoveri evitabili, minore mobilità sanitaria passiva, minori esami e invii impropri — si concentrano ai livelli clinici alti della cascata, attorno alla coppia clinica, al neurologo, all’infermiere di comunità e allo psichiatra consulente, e trovano negli attori istituzionali regionali i soggetti che li realizzano e li contabilizzano nel bilancio. I benefici sociali e indiretti — nei domini lavorativo, previdenziale, produttivistico, assistenzialistico, </w:t>
      </w:r>
      <w:proofErr w:type="spellStart"/>
      <w:r>
        <w:t>welfaristico</w:t>
      </w:r>
      <w:proofErr w:type="spellEnd"/>
      <w:r>
        <w:t xml:space="preserve">, </w:t>
      </w:r>
      <w:proofErr w:type="spellStart"/>
      <w:r>
        <w:t>prevenzionalistico</w:t>
      </w:r>
      <w:proofErr w:type="spellEnd"/>
      <w:r>
        <w:t>, criminologico, burocratico, culturale, pedagogico e scolastico, accademico, industriale, sindacale, antropologico, sociale e finanziario — si distribuiscono lungo i livelli intermedi e bassi della cascata, dalle figure sociali ed educative fino agli attori extra-sanitari, sui quali si concentra la quota di valore più ampia. La cascata non è dunque soltanto un ordinamento delle figure, ma anche la griglia che assegna a ciascun dominio il proprio livello di produzione, garantendo che nessun beneficio resti privo di una collocazione e che nessuno sia contato due volte.</w:t>
      </w:r>
    </w:p>
    <w:p w14:paraId="2958C68D" w14:textId="77777777" w:rsidR="007C4598" w:rsidRDefault="007C4598"/>
    <w:p w14:paraId="4DC5DC53" w14:textId="77777777" w:rsidR="007C4598" w:rsidRDefault="00000000">
      <w:pPr>
        <w:jc w:val="both"/>
      </w:pPr>
      <w:r>
        <w:t>Il terzo risultato è la riaffermazione, lungo l’intera struttura, dei vincoli metodologici invarianti che governano l’opera, e che il quadro conclusivo richiama nella loro funzione di salvaguardia. La separazione rigorosa tra il risparmio fiscale diretto, che pertiene al bilancio del Servizio sanitario regionale, e il beneficio sociale indiretto, che pertiene agli altri bilanci pubblici e all’economia nel suo complesso, è mantenuta a ogni livello della cascata, e non è in alcun punto convertita in un’unica somma. La regola di non duplicazione opera quale presidio contro la sovrastima, e impone che il medesimo effetto — il recupero di una persona alla vita lavorativa, l’evitata cronicizzazione di un disagio, la riduzione di un episodio assistenziale — sia attribuito a un solo dominio e a una sola figura, e mai contabilizzato simultaneamente come minore spesa previdenziale, maggiore produttività e minore costo sanitario. Il monito sulla non significatività statistica dei risparmi sanitari diretti, isolatamente considerati, documentato dall’analisi di lungo periodo dello studio IMPACT, è preservato in ogni sezione in cui un risparmio diretto è enunciato, e impedisce di fondare la giustificazione economica della riforma su un risparmio sanitario sopravvalutato anziché sul valore complessivo che la cascata libera.</w:t>
      </w:r>
    </w:p>
    <w:p w14:paraId="3AA23278" w14:textId="77777777" w:rsidR="007C4598" w:rsidRDefault="007C4598"/>
    <w:p w14:paraId="7B770905" w14:textId="77777777" w:rsidR="007C4598" w:rsidRDefault="00000000">
      <w:pPr>
        <w:jc w:val="both"/>
      </w:pPr>
      <w:r>
        <w:t>Il quarto risultato attiene alla misura del rendimento e alla forma delle previsioni, che la Parte ha enunciato con la disciplina imposta dai vincoli. Ogni ritorno economico è ricondotto agli intervalli di rendimento validati dalla letteratura, compresi tra circa due e tre a uno per i soli benefici economici e tra circa tre e mezzo e cinque e mezzo a uno con l’inclusione dei ritorni in salute, e nessun valore estraneo a tali intervalli è impiegato. Le previsioni formulate per ciascuna figura — sulla quota di domanda risolta al primo livello, sulla riduzione della prescrizione inappropriata e degli invii, sull’anticipazione dell’intercettazione del disagio in età evolutiva, sulla riduzione della dispersione scolastica, sulla riallocazione delle risorse liberate, sulla riduzione delle prestazioni di invalidità e delle giornate di lavoro perse — sono tutte enunciate in forma di banda prudenziale, con indicazione delle soglie il cui mancato raggiungimento ne segnalerebbe la confutazione, e tutte rinviate alla verifica del sistema di monitoraggio regionale. L’evidenza che le sostiene, clinica e relativa all’Intelligenza Artificiale, è graduata con il medesimo rigore, e la qualità delle prove è dichiarata là dove essa è elevata e là dove è soltanto moderata o bassa, senza che la solidità del modello collaborativo sia estesa indebitamente agli strumenti la cui base documentale è ancora in formazione.</w:t>
      </w:r>
    </w:p>
    <w:p w14:paraId="20A20672" w14:textId="77777777" w:rsidR="007C4598" w:rsidRDefault="007C4598"/>
    <w:p w14:paraId="02DE0009" w14:textId="77777777" w:rsidR="007C4598" w:rsidRDefault="00000000">
      <w:pPr>
        <w:jc w:val="both"/>
      </w:pPr>
      <w:r>
        <w:t xml:space="preserve">Il quinto e ultimo risultato riguarda la posizione dell’Intelligenza Artificiale nell’architettura, che la Parte ha mantenuto ferma in ogni sezione. La leva digitale non costituisce un livello autonomo della cascata né un soggetto produttore di valore, ma uno strumento che rende più funzionale l’azione delle figure, e segnatamente dell’apice, nella stratificazione del rischio, nel triage della domanda e nel monitoraggio degli esiti. Essa opera sempre sotto la supervisione umana e entro la cornice di </w:t>
      </w:r>
      <w:proofErr w:type="spellStart"/>
      <w:r>
        <w:t>governance</w:t>
      </w:r>
      <w:proofErr w:type="spellEnd"/>
      <w:r>
        <w:t xml:space="preserve"> prudenziale che il quadro normativo europeo prescrive per i sistemi a uso sanitario, e la sua collocazione non modifica in alcun punto la gerarchia delle figure: l’apice resta umano, e la cascata conserva la propria struttura. Con questi cinque risultati la terza parte consegna alle Parti applicative non un insieme di stime, ma l’ordinamento entro cui le stime troveranno la propria collocazione, la garanzia che ogni grandezza sia attribuita a una sola figura e a un solo dominio, e la cornice di vincoli che ne assicura la prudenza e la falsificabilità.</w:t>
      </w:r>
    </w:p>
    <w:p w14:paraId="19B40ABA" w14:textId="77777777" w:rsidR="007C4598" w:rsidRDefault="007C4598"/>
    <w:p w14:paraId="2B0C308E" w14:textId="77777777" w:rsidR="007C4598" w:rsidRDefault="00000000">
      <w:pPr>
        <w:pStyle w:val="Titolo2"/>
        <w:spacing w:before="200" w:after="100"/>
      </w:pPr>
      <w:r>
        <w:rPr>
          <w:sz w:val="22"/>
          <w:szCs w:val="22"/>
        </w:rPr>
        <w:t>Conclusione</w:t>
      </w:r>
    </w:p>
    <w:p w14:paraId="0DAF7DCC" w14:textId="77777777" w:rsidR="007C4598" w:rsidRDefault="007C4598"/>
    <w:p w14:paraId="2079B628" w14:textId="77777777" w:rsidR="007C4598" w:rsidRDefault="00000000">
      <w:pPr>
        <w:jc w:val="both"/>
      </w:pPr>
      <w:r>
        <w:t>La terza parte adempie alla funzione che la struttura dell’opera le ha assegnato: essa costituisce l’innovazione strutturale dello studio integrale e dà forma compiuta al principio ordinatore della cascata gerarchica piramidale. Muovendo dallo Psicologo di Base come apice e origine, la Parte ha percorso l’intera architettura delle figure direttamente e indirettamente connesse alla riforma — cliniche, socio-sanitarie, educative, istituzionali ed extra-sanitarie — superando in via definitiva il perimetro ristretto alle sole quattro figure dello psicologo, del medico, del pediatra e del neurologo, e abbracciando la totalità degli attori su cui la riforma incide e che ne determinano o ne ricevono gli effetti.</w:t>
      </w:r>
    </w:p>
    <w:p w14:paraId="784DD519" w14:textId="77777777" w:rsidR="007C4598" w:rsidRDefault="007C4598"/>
    <w:p w14:paraId="5CF5259A" w14:textId="77777777" w:rsidR="007C4598" w:rsidRDefault="00000000">
      <w:pPr>
        <w:jc w:val="both"/>
      </w:pPr>
      <w:r>
        <w:t>Il percorso ha prodotto un ordinamento formale, esposto nella matrice conclusiva, che colloca ciascuna figura lungo le due dimensioni dell’influenza e della capacità di rientro e ne distingue la natura — diretta o indiretta, immediata o differita, fiscale o sociale. Tale ordinamento non è un riepilogo, ma lo strumento operativo su cui le Parti applicative fonderanno l’attribuzione del valore, e il presidio metodologico che garantisce, lungo l’intera struttura, la separazione tra risparmio diretto e beneficio indiretto, la regola di non duplicazione, la riconduzione del rendimento agli intervalli validati e la falsificabilità delle previsioni. La cascata, in questa forma, non è soltanto un ordine di esposizione, ma la griglia che assegna a ciascun dominio del perimetro integrale il proprio livello di produzione del valore.</w:t>
      </w:r>
    </w:p>
    <w:p w14:paraId="43B07902" w14:textId="77777777" w:rsidR="007C4598" w:rsidRDefault="007C4598"/>
    <w:p w14:paraId="641F296D" w14:textId="77777777" w:rsidR="007C4598" w:rsidRDefault="00000000">
      <w:pPr>
        <w:jc w:val="both"/>
      </w:pPr>
      <w:r>
        <w:t>Con la collocazione delle figure e la mappatura dei domini sui livelli della cascata, la terza parte consegna alle parti successive il fondamento su cui esse opereranno. La quarta parte potrà ora descrivere il modello organizzativo e le leve abilitanti che attivano la cascata nel funzionamento quotidiano del servizio; la quinta potrà trattare la formazione del personale come pilastro trasversale; e le parti dalla sesta alla decima potranno misurare, figura per figura e dominio per dominio, i costi e i benefici diretti e indiretti che la presente architettura ha ordinato, fino al saldo economico consolidato. La cascata gerarchica piramidale, da principio ordinatore enunciato, è divenuta struttura operativa: è questo il risultato che la terza parte consegna all’opera.</w:t>
      </w:r>
    </w:p>
    <w:p w14:paraId="1A85236D" w14:textId="77777777" w:rsidR="007C4598" w:rsidRDefault="007C4598"/>
    <w:p w14:paraId="00ACC480" w14:textId="77777777" w:rsidR="007C4598" w:rsidRDefault="00000000">
      <w:pPr>
        <w:pStyle w:val="Titolo2"/>
        <w:spacing w:before="200" w:after="100"/>
      </w:pPr>
      <w:r>
        <w:rPr>
          <w:sz w:val="22"/>
          <w:szCs w:val="22"/>
        </w:rPr>
        <w:t>Note Bibliografiche Integrali</w:t>
      </w:r>
    </w:p>
    <w:p w14:paraId="7EFB02F1" w14:textId="77777777" w:rsidR="007C4598" w:rsidRDefault="007C4598"/>
    <w:p w14:paraId="7EACCA57" w14:textId="77777777" w:rsidR="007C4598" w:rsidRDefault="00000000">
      <w:pPr>
        <w:jc w:val="both"/>
      </w:pPr>
      <w:r>
        <w:t>Le note che seguono raccolgono in forma integrale e annotata i riferimenti richiamati nel corso della terza parte. Per ciascuna nota sono indicati il riferimento per esteso, la fonte di reperimento e una sintesi che ne dichiara il contenuto e la pertinenza rispetto all’argomentazione della Parte. La graduazione della qualità delle evidenze, ove rilevante, è enunciata nella sintesi, in coerenza con il vincolo di graduazione simmetrica che governa l’opera. Le fonti normative rinviano ai portali ufficiali di pubblicazione; le fonti scientifiche rinviano, ove disponibile, all’identificatore digitale dell’opera o al sito dell’editore.</w:t>
      </w:r>
    </w:p>
    <w:p w14:paraId="45DB5B79" w14:textId="77777777" w:rsidR="007C4598" w:rsidRDefault="007C4598"/>
    <w:p w14:paraId="0B511224" w14:textId="77777777" w:rsidR="007C4598" w:rsidRDefault="00000000">
      <w:pPr>
        <w:jc w:val="both"/>
      </w:pPr>
      <w:r>
        <w:rPr>
          <w:b/>
          <w:bCs/>
        </w:rPr>
        <w:t xml:space="preserve">1.  </w:t>
      </w:r>
      <w:proofErr w:type="spellStart"/>
      <w:r>
        <w:t>Chisholm</w:t>
      </w:r>
      <w:proofErr w:type="spellEnd"/>
      <w:r>
        <w:t xml:space="preserve"> D., </w:t>
      </w:r>
      <w:proofErr w:type="spellStart"/>
      <w:r>
        <w:t>Sweeny</w:t>
      </w:r>
      <w:proofErr w:type="spellEnd"/>
      <w:r>
        <w:t xml:space="preserve"> K., </w:t>
      </w:r>
      <w:proofErr w:type="spellStart"/>
      <w:r>
        <w:t>Sheehan</w:t>
      </w:r>
      <w:proofErr w:type="spellEnd"/>
      <w:r>
        <w:t xml:space="preserve"> P. et al., «</w:t>
      </w:r>
      <w:proofErr w:type="spellStart"/>
      <w:r>
        <w:t>Scaling</w:t>
      </w:r>
      <w:proofErr w:type="spellEnd"/>
      <w:r>
        <w:t xml:space="preserve">-up treatment of </w:t>
      </w:r>
      <w:proofErr w:type="spellStart"/>
      <w:r>
        <w:t>depression</w:t>
      </w:r>
      <w:proofErr w:type="spellEnd"/>
      <w:r>
        <w:t xml:space="preserve"> and </w:t>
      </w:r>
      <w:proofErr w:type="spellStart"/>
      <w:r>
        <w:t>anxiety</w:t>
      </w:r>
      <w:proofErr w:type="spellEnd"/>
      <w:r>
        <w:t xml:space="preserve">: a global </w:t>
      </w:r>
      <w:proofErr w:type="spellStart"/>
      <w:r>
        <w:t>return</w:t>
      </w:r>
      <w:proofErr w:type="spellEnd"/>
      <w:r>
        <w:t xml:space="preserve"> on </w:t>
      </w:r>
      <w:proofErr w:type="spellStart"/>
      <w:r>
        <w:t>investment</w:t>
      </w:r>
      <w:proofErr w:type="spellEnd"/>
      <w:r>
        <w:t xml:space="preserve"> </w:t>
      </w:r>
      <w:proofErr w:type="spellStart"/>
      <w:r>
        <w:t>analysis</w:t>
      </w:r>
      <w:proofErr w:type="spellEnd"/>
      <w:r>
        <w:t xml:space="preserve">», The Lancet </w:t>
      </w:r>
      <w:proofErr w:type="spellStart"/>
      <w:r>
        <w:t>Psychiatry</w:t>
      </w:r>
      <w:proofErr w:type="spellEnd"/>
      <w:r>
        <w:t>, vol. 3, n. 5, 2016, pp. 415–424.</w:t>
      </w:r>
    </w:p>
    <w:p w14:paraId="4031B91C" w14:textId="77777777" w:rsidR="007C4598" w:rsidRDefault="007C4598"/>
    <w:p w14:paraId="4E972C55" w14:textId="77777777" w:rsidR="007C4598" w:rsidRDefault="00000000">
      <w:pPr>
        <w:jc w:val="both"/>
      </w:pPr>
      <w:r>
        <w:rPr>
          <w:b/>
          <w:bCs/>
        </w:rPr>
        <w:t xml:space="preserve">Fonte:  </w:t>
      </w:r>
      <w:r>
        <w:t>https://doi.org/10.1016/S2215-0366(16)30024-4</w:t>
      </w:r>
    </w:p>
    <w:p w14:paraId="188C8575" w14:textId="77777777" w:rsidR="007C4598" w:rsidRDefault="007C4598"/>
    <w:p w14:paraId="61E8A568" w14:textId="77777777" w:rsidR="007C4598" w:rsidRDefault="00000000">
      <w:pPr>
        <w:jc w:val="both"/>
      </w:pPr>
      <w:r>
        <w:rPr>
          <w:b/>
          <w:bCs/>
        </w:rPr>
        <w:t xml:space="preserve">Sintesi:  </w:t>
      </w:r>
      <w:r>
        <w:rPr>
          <w:i/>
          <w:iCs/>
        </w:rPr>
        <w:t>Studio di riferimento per gli intervalli di rendimento adottati nell’opera. Stima il ritorno economico dell’investimento nel trattamento di depressione e ansia, distinguendo i soli benefici economici dai benefici comprensivi dei ritorni in salute. Fonda i vincoli numerici invarianti del progetto.</w:t>
      </w:r>
    </w:p>
    <w:p w14:paraId="351E60B2" w14:textId="77777777" w:rsidR="007C4598" w:rsidRDefault="007C4598"/>
    <w:p w14:paraId="6970654D" w14:textId="77777777" w:rsidR="007C4598" w:rsidRDefault="00000000">
      <w:pPr>
        <w:jc w:val="both"/>
      </w:pPr>
      <w:r>
        <w:rPr>
          <w:b/>
          <w:bCs/>
        </w:rPr>
        <w:t xml:space="preserve">2.  </w:t>
      </w:r>
      <w:r>
        <w:t>Rinvio interno al monito sulla non significatività statistica dei risparmi sanitari diretti isolatamente considerati (cfr. nota 5).</w:t>
      </w:r>
    </w:p>
    <w:p w14:paraId="17EB369B" w14:textId="77777777" w:rsidR="007C4598" w:rsidRDefault="007C4598"/>
    <w:p w14:paraId="359AA6E9" w14:textId="77777777" w:rsidR="007C4598" w:rsidRDefault="00000000">
      <w:pPr>
        <w:jc w:val="both"/>
      </w:pPr>
      <w:r>
        <w:rPr>
          <w:b/>
          <w:bCs/>
        </w:rPr>
        <w:t xml:space="preserve">Fonte:  </w:t>
      </w:r>
      <w:r>
        <w:t>Cfr. infra, nota 5</w:t>
      </w:r>
    </w:p>
    <w:p w14:paraId="090200E1" w14:textId="77777777" w:rsidR="007C4598" w:rsidRDefault="007C4598"/>
    <w:p w14:paraId="2CE86F1D" w14:textId="77777777" w:rsidR="007C4598" w:rsidRDefault="00000000">
      <w:pPr>
        <w:jc w:val="both"/>
      </w:pPr>
      <w:r>
        <w:rPr>
          <w:b/>
          <w:bCs/>
        </w:rPr>
        <w:t xml:space="preserve">Sintesi:  </w:t>
      </w:r>
      <w:r>
        <w:rPr>
          <w:i/>
          <w:iCs/>
        </w:rPr>
        <w:t xml:space="preserve">Nota di rinvio che àncora il </w:t>
      </w:r>
      <w:proofErr w:type="spellStart"/>
      <w:r>
        <w:rPr>
          <w:i/>
          <w:iCs/>
        </w:rPr>
        <w:t>caveat</w:t>
      </w:r>
      <w:proofErr w:type="spellEnd"/>
      <w:r>
        <w:rPr>
          <w:i/>
          <w:iCs/>
        </w:rPr>
        <w:t xml:space="preserve"> metodologico preservato in ogni sezione in cui è enunciato un risparmio diretto, impedendone la sovrastima.</w:t>
      </w:r>
    </w:p>
    <w:p w14:paraId="6BFB67ED" w14:textId="77777777" w:rsidR="007C4598" w:rsidRDefault="007C4598"/>
    <w:p w14:paraId="26CED860" w14:textId="77777777" w:rsidR="007C4598" w:rsidRDefault="00000000">
      <w:pPr>
        <w:jc w:val="both"/>
      </w:pPr>
      <w:r>
        <w:rPr>
          <w:b/>
          <w:bCs/>
        </w:rPr>
        <w:t xml:space="preserve">3.  </w:t>
      </w:r>
      <w:r>
        <w:t>Regione Puglia, Legge regionale 8 marzo 2023, n. 11, istitutiva del Servizio di Psicologia di Base nel Servizio sanitario regionale.</w:t>
      </w:r>
    </w:p>
    <w:p w14:paraId="684F964A" w14:textId="77777777" w:rsidR="007C4598" w:rsidRDefault="007C4598"/>
    <w:p w14:paraId="504596A8" w14:textId="77777777" w:rsidR="007C4598" w:rsidRDefault="00000000">
      <w:pPr>
        <w:jc w:val="both"/>
      </w:pPr>
      <w:r>
        <w:rPr>
          <w:b/>
          <w:bCs/>
        </w:rPr>
        <w:t xml:space="preserve">Fonte:  </w:t>
      </w:r>
      <w:r>
        <w:t>https://www.regione.puglia.it — Bollettino Ufficiale della Regione Puglia</w:t>
      </w:r>
    </w:p>
    <w:p w14:paraId="18B19BF3" w14:textId="77777777" w:rsidR="007C4598" w:rsidRDefault="007C4598"/>
    <w:p w14:paraId="70B888D9" w14:textId="77777777" w:rsidR="007C4598" w:rsidRDefault="00000000">
      <w:pPr>
        <w:jc w:val="both"/>
      </w:pPr>
      <w:r>
        <w:rPr>
          <w:b/>
          <w:bCs/>
        </w:rPr>
        <w:t xml:space="preserve">Sintesi:  </w:t>
      </w:r>
      <w:r>
        <w:rPr>
          <w:i/>
          <w:iCs/>
        </w:rPr>
        <w:t>Fondamento normativo regionale della riforma. Istituisce la figura dello Psicologo di Base nel sistema sanitario pugliese e ne definisce la cornice giuridica, cui l’intera architettura della cascata si riferisce.</w:t>
      </w:r>
    </w:p>
    <w:p w14:paraId="7266E949" w14:textId="77777777" w:rsidR="007C4598" w:rsidRDefault="007C4598"/>
    <w:p w14:paraId="71108A7B" w14:textId="77777777" w:rsidR="007C4598" w:rsidRDefault="00000000">
      <w:pPr>
        <w:jc w:val="both"/>
      </w:pPr>
      <w:r>
        <w:rPr>
          <w:b/>
          <w:bCs/>
        </w:rPr>
        <w:t xml:space="preserve">4.  </w:t>
      </w:r>
      <w:proofErr w:type="spellStart"/>
      <w:r>
        <w:t>Unützer</w:t>
      </w:r>
      <w:proofErr w:type="spellEnd"/>
      <w:r>
        <w:t xml:space="preserve"> J., </w:t>
      </w:r>
      <w:proofErr w:type="spellStart"/>
      <w:r>
        <w:t>Katon</w:t>
      </w:r>
      <w:proofErr w:type="spellEnd"/>
      <w:r>
        <w:t xml:space="preserve"> W., </w:t>
      </w:r>
      <w:proofErr w:type="spellStart"/>
      <w:r>
        <w:t>Callahan</w:t>
      </w:r>
      <w:proofErr w:type="spellEnd"/>
      <w:r>
        <w:t xml:space="preserve"> C. M. et al., «Collaborative care management of late-life </w:t>
      </w:r>
      <w:proofErr w:type="spellStart"/>
      <w:r>
        <w:t>depression</w:t>
      </w:r>
      <w:proofErr w:type="spellEnd"/>
      <w:r>
        <w:t xml:space="preserve"> in the </w:t>
      </w:r>
      <w:proofErr w:type="spellStart"/>
      <w:r>
        <w:t>primary</w:t>
      </w:r>
      <w:proofErr w:type="spellEnd"/>
      <w:r>
        <w:t xml:space="preserve"> care </w:t>
      </w:r>
      <w:proofErr w:type="spellStart"/>
      <w:r>
        <w:t>setting</w:t>
      </w:r>
      <w:proofErr w:type="spellEnd"/>
      <w:r>
        <w:t>» (studio IMPACT), JAMA, vol. 288, n. 22, 2002, pp. 2836–2845.</w:t>
      </w:r>
    </w:p>
    <w:p w14:paraId="229D7F5B" w14:textId="77777777" w:rsidR="007C4598" w:rsidRDefault="007C4598"/>
    <w:p w14:paraId="0F2B847A" w14:textId="77777777" w:rsidR="007C4598" w:rsidRDefault="00000000">
      <w:pPr>
        <w:jc w:val="both"/>
      </w:pPr>
      <w:r>
        <w:rPr>
          <w:b/>
          <w:bCs/>
        </w:rPr>
        <w:t xml:space="preserve">Fonte:  </w:t>
      </w:r>
      <w:r>
        <w:t>https://doi.org/10.1001/jama.288.22.2836</w:t>
      </w:r>
    </w:p>
    <w:p w14:paraId="1385FB90" w14:textId="77777777" w:rsidR="007C4598" w:rsidRDefault="007C4598"/>
    <w:p w14:paraId="1610827B" w14:textId="77777777" w:rsidR="007C4598" w:rsidRDefault="00000000">
      <w:pPr>
        <w:jc w:val="both"/>
      </w:pPr>
      <w:r>
        <w:rPr>
          <w:b/>
          <w:bCs/>
        </w:rPr>
        <w:t xml:space="preserve">Sintesi:  </w:t>
      </w:r>
      <w:r>
        <w:rPr>
          <w:i/>
          <w:iCs/>
        </w:rPr>
        <w:t>Sperimentazione controllata di riferimento per il modello dell’assistenza collaborativa, di cui la coppia clinica costituisce l’applicazione. Documenta con grado di certezza elevato il beneficio clinico dell’integrazione della psicologia nelle cure primarie.</w:t>
      </w:r>
    </w:p>
    <w:p w14:paraId="126A60E2" w14:textId="77777777" w:rsidR="007C4598" w:rsidRDefault="007C4598"/>
    <w:p w14:paraId="16137A6C" w14:textId="77777777" w:rsidR="007C4598" w:rsidRDefault="00000000">
      <w:pPr>
        <w:jc w:val="both"/>
      </w:pPr>
      <w:r>
        <w:rPr>
          <w:b/>
          <w:bCs/>
        </w:rPr>
        <w:t xml:space="preserve">5.  </w:t>
      </w:r>
      <w:proofErr w:type="spellStart"/>
      <w:r>
        <w:t>Katon</w:t>
      </w:r>
      <w:proofErr w:type="spellEnd"/>
      <w:r>
        <w:t xml:space="preserve"> W., </w:t>
      </w:r>
      <w:proofErr w:type="spellStart"/>
      <w:r>
        <w:t>Unützer</w:t>
      </w:r>
      <w:proofErr w:type="spellEnd"/>
      <w:r>
        <w:t xml:space="preserve"> J. et al., analisi di costo-efficacia e beneficio netto dello studio IMPACT, Archives of General </w:t>
      </w:r>
      <w:proofErr w:type="spellStart"/>
      <w:r>
        <w:t>Psychiatry</w:t>
      </w:r>
      <w:proofErr w:type="spellEnd"/>
      <w:r>
        <w:t>, vol. 62, 2005, pp. 1313–1320.</w:t>
      </w:r>
    </w:p>
    <w:p w14:paraId="044C3D2E" w14:textId="77777777" w:rsidR="007C4598" w:rsidRDefault="007C4598"/>
    <w:p w14:paraId="7BD3CD2C" w14:textId="77777777" w:rsidR="007C4598" w:rsidRDefault="00000000">
      <w:pPr>
        <w:jc w:val="both"/>
      </w:pPr>
      <w:r>
        <w:rPr>
          <w:b/>
          <w:bCs/>
        </w:rPr>
        <w:t xml:space="preserve">Fonte:  </w:t>
      </w:r>
      <w:r>
        <w:t>https://doi.org/10.1001/archpsyc.62.12.1313</w:t>
      </w:r>
    </w:p>
    <w:p w14:paraId="07730B6C" w14:textId="77777777" w:rsidR="007C4598" w:rsidRDefault="007C4598"/>
    <w:p w14:paraId="6389DA11" w14:textId="77777777" w:rsidR="007C4598" w:rsidRDefault="00000000">
      <w:pPr>
        <w:jc w:val="both"/>
      </w:pPr>
      <w:r>
        <w:rPr>
          <w:b/>
          <w:bCs/>
        </w:rPr>
        <w:t xml:space="preserve">Sintesi:  </w:t>
      </w:r>
      <w:r>
        <w:rPr>
          <w:i/>
          <w:iCs/>
        </w:rPr>
        <w:t>Analisi economica di lungo periodo dello studio IMPACT. Documenta la non significatività statistica dei risparmi sanitari diretti isolatamente considerati: fonte del monito metodologico cardine dell’opera.</w:t>
      </w:r>
    </w:p>
    <w:p w14:paraId="3A7FA1FB" w14:textId="77777777" w:rsidR="007C4598" w:rsidRDefault="007C4598"/>
    <w:p w14:paraId="4D75F1ED" w14:textId="77777777" w:rsidR="007C4598" w:rsidRDefault="00000000">
      <w:pPr>
        <w:jc w:val="both"/>
      </w:pPr>
      <w:r>
        <w:rPr>
          <w:b/>
          <w:bCs/>
        </w:rPr>
        <w:t xml:space="preserve">6.  </w:t>
      </w:r>
      <w:proofErr w:type="spellStart"/>
      <w:r>
        <w:t>Archer</w:t>
      </w:r>
      <w:proofErr w:type="spellEnd"/>
      <w:r>
        <w:t xml:space="preserve"> J., </w:t>
      </w:r>
      <w:proofErr w:type="spellStart"/>
      <w:r>
        <w:t>Bower</w:t>
      </w:r>
      <w:proofErr w:type="spellEnd"/>
      <w:r>
        <w:t xml:space="preserve"> P., </w:t>
      </w:r>
      <w:proofErr w:type="spellStart"/>
      <w:r>
        <w:t>Gilbody</w:t>
      </w:r>
      <w:proofErr w:type="spellEnd"/>
      <w:r>
        <w:t xml:space="preserve"> S. et al., «Collaborative care for </w:t>
      </w:r>
      <w:proofErr w:type="spellStart"/>
      <w:r>
        <w:t>depression</w:t>
      </w:r>
      <w:proofErr w:type="spellEnd"/>
      <w:r>
        <w:t xml:space="preserve"> and </w:t>
      </w:r>
      <w:proofErr w:type="spellStart"/>
      <w:r>
        <w:t>anxiety</w:t>
      </w:r>
      <w:proofErr w:type="spellEnd"/>
      <w:r>
        <w:t xml:space="preserve"> </w:t>
      </w:r>
      <w:proofErr w:type="spellStart"/>
      <w:r>
        <w:t>problems</w:t>
      </w:r>
      <w:proofErr w:type="spellEnd"/>
      <w:r>
        <w:t xml:space="preserve">», </w:t>
      </w:r>
      <w:proofErr w:type="spellStart"/>
      <w:r>
        <w:t>Cochrane</w:t>
      </w:r>
      <w:proofErr w:type="spellEnd"/>
      <w:r>
        <w:t xml:space="preserve"> Database of </w:t>
      </w:r>
      <w:proofErr w:type="spellStart"/>
      <w:r>
        <w:t>Systematic</w:t>
      </w:r>
      <w:proofErr w:type="spellEnd"/>
      <w:r>
        <w:t xml:space="preserve"> </w:t>
      </w:r>
      <w:proofErr w:type="spellStart"/>
      <w:r>
        <w:t>Reviews</w:t>
      </w:r>
      <w:proofErr w:type="spellEnd"/>
      <w:r>
        <w:t>, 2012.</w:t>
      </w:r>
    </w:p>
    <w:p w14:paraId="40CEDF79" w14:textId="77777777" w:rsidR="007C4598" w:rsidRDefault="007C4598"/>
    <w:p w14:paraId="5B5FFEA5" w14:textId="77777777" w:rsidR="007C4598" w:rsidRDefault="00000000">
      <w:pPr>
        <w:jc w:val="both"/>
      </w:pPr>
      <w:r>
        <w:rPr>
          <w:b/>
          <w:bCs/>
        </w:rPr>
        <w:t xml:space="preserve">Fonte:  </w:t>
      </w:r>
      <w:r>
        <w:t>https://doi.org/10.1002/14651858.CD006525.pub2</w:t>
      </w:r>
    </w:p>
    <w:p w14:paraId="0CB8EA0B" w14:textId="77777777" w:rsidR="007C4598" w:rsidRDefault="007C4598"/>
    <w:p w14:paraId="2CF76344" w14:textId="77777777" w:rsidR="007C4598" w:rsidRDefault="00000000">
      <w:pPr>
        <w:jc w:val="both"/>
      </w:pPr>
      <w:r>
        <w:rPr>
          <w:b/>
          <w:bCs/>
        </w:rPr>
        <w:t xml:space="preserve">Sintesi:  </w:t>
      </w:r>
      <w:r>
        <w:rPr>
          <w:i/>
          <w:iCs/>
        </w:rPr>
        <w:t xml:space="preserve">Revisione sistematica </w:t>
      </w:r>
      <w:proofErr w:type="spellStart"/>
      <w:r>
        <w:rPr>
          <w:i/>
          <w:iCs/>
        </w:rPr>
        <w:t>Cochrane</w:t>
      </w:r>
      <w:proofErr w:type="spellEnd"/>
      <w:r>
        <w:rPr>
          <w:i/>
          <w:iCs/>
        </w:rPr>
        <w:t xml:space="preserve"> che attesta, con elevata qualità dell’evidenza, l’efficacia dell’assistenza collaborativa su depressione e ansia rispetto alla cura ordinaria. Sostiene il fondamento clinico della coppia clinica.</w:t>
      </w:r>
    </w:p>
    <w:p w14:paraId="29A7F52E" w14:textId="77777777" w:rsidR="007C4598" w:rsidRDefault="007C4598"/>
    <w:p w14:paraId="2B75B882" w14:textId="77777777" w:rsidR="007C4598" w:rsidRDefault="00000000">
      <w:pPr>
        <w:jc w:val="both"/>
      </w:pPr>
      <w:r>
        <w:rPr>
          <w:b/>
          <w:bCs/>
        </w:rPr>
        <w:t xml:space="preserve">7.  </w:t>
      </w:r>
      <w:r>
        <w:t xml:space="preserve">Organizzazione Mondiale della Sanità, World </w:t>
      </w:r>
      <w:proofErr w:type="spellStart"/>
      <w:r>
        <w:t>Mental</w:t>
      </w:r>
      <w:proofErr w:type="spellEnd"/>
      <w:r>
        <w:t xml:space="preserve"> </w:t>
      </w:r>
      <w:proofErr w:type="spellStart"/>
      <w:r>
        <w:t>Health</w:t>
      </w:r>
      <w:proofErr w:type="spellEnd"/>
      <w:r>
        <w:t xml:space="preserve"> Report: </w:t>
      </w:r>
      <w:proofErr w:type="spellStart"/>
      <w:r>
        <w:t>Transforming</w:t>
      </w:r>
      <w:proofErr w:type="spellEnd"/>
      <w:r>
        <w:t xml:space="preserve"> </w:t>
      </w:r>
      <w:proofErr w:type="spellStart"/>
      <w:r>
        <w:t>Mental</w:t>
      </w:r>
      <w:proofErr w:type="spellEnd"/>
      <w:r>
        <w:t xml:space="preserve"> </w:t>
      </w:r>
      <w:proofErr w:type="spellStart"/>
      <w:r>
        <w:t>Health</w:t>
      </w:r>
      <w:proofErr w:type="spellEnd"/>
      <w:r>
        <w:t xml:space="preserve"> for </w:t>
      </w:r>
      <w:proofErr w:type="spellStart"/>
      <w:r>
        <w:t>All</w:t>
      </w:r>
      <w:proofErr w:type="spellEnd"/>
      <w:r>
        <w:t>, Ginevra, 2022.</w:t>
      </w:r>
    </w:p>
    <w:p w14:paraId="5E34220D" w14:textId="77777777" w:rsidR="007C4598" w:rsidRDefault="007C4598"/>
    <w:p w14:paraId="110B29DD" w14:textId="77777777" w:rsidR="007C4598" w:rsidRDefault="00000000">
      <w:pPr>
        <w:jc w:val="both"/>
      </w:pPr>
      <w:r>
        <w:rPr>
          <w:b/>
          <w:bCs/>
        </w:rPr>
        <w:t xml:space="preserve">Fonte:  </w:t>
      </w:r>
      <w:r>
        <w:t>https://www.who.int/publications/i/item/9789240049338</w:t>
      </w:r>
    </w:p>
    <w:p w14:paraId="7451AE4B" w14:textId="77777777" w:rsidR="007C4598" w:rsidRDefault="007C4598"/>
    <w:p w14:paraId="7C98571F" w14:textId="77777777" w:rsidR="007C4598" w:rsidRDefault="00000000">
      <w:pPr>
        <w:jc w:val="both"/>
      </w:pPr>
      <w:r>
        <w:rPr>
          <w:b/>
          <w:bCs/>
        </w:rPr>
        <w:t xml:space="preserve">Sintesi:  </w:t>
      </w:r>
      <w:r>
        <w:rPr>
          <w:i/>
          <w:iCs/>
        </w:rPr>
        <w:t>Rapporto globale sulla salute mentale. Inquadra il carico del disagio psichico e la necessità di servizi di prossimità, e fornisce la cornice entro cui graduare prudenzialmente, fra l’altro, le evidenze sugli strumenti digitali.</w:t>
      </w:r>
    </w:p>
    <w:p w14:paraId="7B534568" w14:textId="77777777" w:rsidR="007C4598" w:rsidRDefault="007C4598"/>
    <w:p w14:paraId="449A9E71" w14:textId="77777777" w:rsidR="007C4598" w:rsidRDefault="00000000">
      <w:pPr>
        <w:jc w:val="both"/>
      </w:pPr>
      <w:r>
        <w:rPr>
          <w:b/>
          <w:bCs/>
        </w:rPr>
        <w:t xml:space="preserve">8.  </w:t>
      </w:r>
      <w:r>
        <w:t>ISTAT, Censimento permanente della popolazione e indicatori demografici, Regione Puglia, 2024.</w:t>
      </w:r>
    </w:p>
    <w:p w14:paraId="7ABD3209" w14:textId="77777777" w:rsidR="007C4598" w:rsidRDefault="007C4598"/>
    <w:p w14:paraId="47356D11" w14:textId="77777777" w:rsidR="007C4598" w:rsidRDefault="00000000">
      <w:pPr>
        <w:jc w:val="both"/>
      </w:pPr>
      <w:r>
        <w:rPr>
          <w:b/>
          <w:bCs/>
        </w:rPr>
        <w:t xml:space="preserve">Fonte:  </w:t>
      </w:r>
      <w:r>
        <w:t>http://dati.istat.it</w:t>
      </w:r>
    </w:p>
    <w:p w14:paraId="67A6114C" w14:textId="77777777" w:rsidR="007C4598" w:rsidRDefault="007C4598"/>
    <w:p w14:paraId="68F26E91" w14:textId="77777777" w:rsidR="007C4598" w:rsidRDefault="00000000">
      <w:pPr>
        <w:jc w:val="both"/>
      </w:pPr>
      <w:r>
        <w:rPr>
          <w:b/>
          <w:bCs/>
        </w:rPr>
        <w:t xml:space="preserve">Sintesi:  </w:t>
      </w:r>
      <w:r>
        <w:rPr>
          <w:i/>
          <w:iCs/>
        </w:rPr>
        <w:t>Base demografica regionale per il dimensionamento del servizio. Fornisce la popolazione residente su cui è calcolato il fabbisogno di psicologi di base nelle aziende sanitarie locali e nei distretti.</w:t>
      </w:r>
    </w:p>
    <w:p w14:paraId="3788A856" w14:textId="77777777" w:rsidR="007C4598" w:rsidRDefault="007C4598"/>
    <w:p w14:paraId="10AEC828" w14:textId="77777777" w:rsidR="007C4598" w:rsidRDefault="00000000">
      <w:pPr>
        <w:jc w:val="both"/>
      </w:pPr>
      <w:r>
        <w:rPr>
          <w:b/>
          <w:bCs/>
        </w:rPr>
        <w:t xml:space="preserve">9.  </w:t>
      </w:r>
      <w:r>
        <w:t>Unione Europea, Regolamento (UE) 2024/1689 sull’intelligenza artificiale, con particolare riguardo ai sistemi a uso sanitario.</w:t>
      </w:r>
    </w:p>
    <w:p w14:paraId="1C416300" w14:textId="77777777" w:rsidR="007C4598" w:rsidRDefault="007C4598"/>
    <w:p w14:paraId="137FC0E2" w14:textId="77777777" w:rsidR="007C4598" w:rsidRDefault="00000000">
      <w:pPr>
        <w:jc w:val="both"/>
      </w:pPr>
      <w:r>
        <w:rPr>
          <w:b/>
          <w:bCs/>
        </w:rPr>
        <w:t xml:space="preserve">Fonte:  </w:t>
      </w:r>
      <w:r>
        <w:t>https://eur-lex.europa.eu — EUR-</w:t>
      </w:r>
      <w:proofErr w:type="spellStart"/>
      <w:r>
        <w:t>Lex</w:t>
      </w:r>
      <w:proofErr w:type="spellEnd"/>
      <w:r>
        <w:t xml:space="preserve"> 32024R1689</w:t>
      </w:r>
    </w:p>
    <w:p w14:paraId="27175553" w14:textId="77777777" w:rsidR="007C4598" w:rsidRDefault="007C4598"/>
    <w:p w14:paraId="453125F9" w14:textId="77777777" w:rsidR="007C4598" w:rsidRDefault="00000000">
      <w:pPr>
        <w:jc w:val="both"/>
      </w:pPr>
      <w:r>
        <w:rPr>
          <w:b/>
          <w:bCs/>
        </w:rPr>
        <w:t xml:space="preserve">Sintesi:  </w:t>
      </w:r>
      <w:r>
        <w:rPr>
          <w:i/>
          <w:iCs/>
        </w:rPr>
        <w:t xml:space="preserve">Quadro normativo europeo sull’intelligenza artificiale. Definisce la cornice di </w:t>
      </w:r>
      <w:proofErr w:type="spellStart"/>
      <w:r>
        <w:rPr>
          <w:i/>
          <w:iCs/>
        </w:rPr>
        <w:t>governance</w:t>
      </w:r>
      <w:proofErr w:type="spellEnd"/>
      <w:r>
        <w:rPr>
          <w:i/>
          <w:iCs/>
        </w:rPr>
        <w:t xml:space="preserve"> prudenziale e di supervisione umana entro cui la leva digitale può essere impiegata in ambito sanitario.</w:t>
      </w:r>
    </w:p>
    <w:p w14:paraId="098A8C9D" w14:textId="77777777" w:rsidR="007C4598" w:rsidRDefault="007C4598"/>
    <w:p w14:paraId="23411DA2" w14:textId="77777777" w:rsidR="007C4598" w:rsidRDefault="00000000">
      <w:pPr>
        <w:jc w:val="both"/>
      </w:pPr>
      <w:r>
        <w:rPr>
          <w:b/>
          <w:bCs/>
        </w:rPr>
        <w:t xml:space="preserve">10.  </w:t>
      </w:r>
      <w:proofErr w:type="spellStart"/>
      <w:r>
        <w:t>Bower</w:t>
      </w:r>
      <w:proofErr w:type="spellEnd"/>
      <w:r>
        <w:t xml:space="preserve"> P., </w:t>
      </w:r>
      <w:proofErr w:type="spellStart"/>
      <w:r>
        <w:t>Gilbody</w:t>
      </w:r>
      <w:proofErr w:type="spellEnd"/>
      <w:r>
        <w:t xml:space="preserve"> S., «</w:t>
      </w:r>
      <w:proofErr w:type="spellStart"/>
      <w:r>
        <w:t>Stepped</w:t>
      </w:r>
      <w:proofErr w:type="spellEnd"/>
      <w:r>
        <w:t xml:space="preserve"> care in </w:t>
      </w:r>
      <w:proofErr w:type="spellStart"/>
      <w:r>
        <w:t>psychological</w:t>
      </w:r>
      <w:proofErr w:type="spellEnd"/>
      <w:r>
        <w:t xml:space="preserve"> </w:t>
      </w:r>
      <w:proofErr w:type="spellStart"/>
      <w:r>
        <w:t>therapies</w:t>
      </w:r>
      <w:proofErr w:type="spellEnd"/>
      <w:r>
        <w:t xml:space="preserve">: </w:t>
      </w:r>
      <w:proofErr w:type="spellStart"/>
      <w:r>
        <w:t>access</w:t>
      </w:r>
      <w:proofErr w:type="spellEnd"/>
      <w:r>
        <w:t xml:space="preserve">, </w:t>
      </w:r>
      <w:proofErr w:type="spellStart"/>
      <w:r>
        <w:t>effectiveness</w:t>
      </w:r>
      <w:proofErr w:type="spellEnd"/>
      <w:r>
        <w:t xml:space="preserve"> and </w:t>
      </w:r>
      <w:proofErr w:type="spellStart"/>
      <w:r>
        <w:t>efficiency</w:t>
      </w:r>
      <w:proofErr w:type="spellEnd"/>
      <w:r>
        <w:t xml:space="preserve">», The </w:t>
      </w:r>
      <w:proofErr w:type="spellStart"/>
      <w:r>
        <w:t>British</w:t>
      </w:r>
      <w:proofErr w:type="spellEnd"/>
      <w:r>
        <w:t xml:space="preserve"> Journal of </w:t>
      </w:r>
      <w:proofErr w:type="spellStart"/>
      <w:r>
        <w:t>Psychiatry</w:t>
      </w:r>
      <w:proofErr w:type="spellEnd"/>
      <w:r>
        <w:t>, vol. 186, 2005, pp. 11–17.</w:t>
      </w:r>
    </w:p>
    <w:p w14:paraId="141A84FB" w14:textId="77777777" w:rsidR="007C4598" w:rsidRDefault="007C4598"/>
    <w:p w14:paraId="586C3C57" w14:textId="77777777" w:rsidR="007C4598" w:rsidRDefault="00000000">
      <w:pPr>
        <w:jc w:val="both"/>
      </w:pPr>
      <w:r>
        <w:rPr>
          <w:b/>
          <w:bCs/>
        </w:rPr>
        <w:t xml:space="preserve">Fonte:  </w:t>
      </w:r>
      <w:r>
        <w:t>https://doi.org/10.1192/bjp.186.1.11</w:t>
      </w:r>
    </w:p>
    <w:p w14:paraId="4B53C76C" w14:textId="77777777" w:rsidR="007C4598" w:rsidRDefault="007C4598"/>
    <w:p w14:paraId="681650B3" w14:textId="77777777" w:rsidR="007C4598" w:rsidRDefault="00000000">
      <w:pPr>
        <w:jc w:val="both"/>
      </w:pPr>
      <w:r>
        <w:rPr>
          <w:b/>
          <w:bCs/>
        </w:rPr>
        <w:t xml:space="preserve">Sintesi:  </w:t>
      </w:r>
      <w:r>
        <w:rPr>
          <w:i/>
          <w:iCs/>
        </w:rPr>
        <w:t>Riferimento per il modello della cura per intensità crescente, su cui si fonda l’assetto operativo della coppia clinica e la regolazione dell’invio ai livelli a maggiore intensità.</w:t>
      </w:r>
    </w:p>
    <w:p w14:paraId="3B22D465" w14:textId="77777777" w:rsidR="007C4598" w:rsidRDefault="007C4598"/>
    <w:p w14:paraId="423AF9B6" w14:textId="77777777" w:rsidR="007C4598" w:rsidRDefault="00000000">
      <w:pPr>
        <w:jc w:val="both"/>
      </w:pPr>
      <w:r>
        <w:rPr>
          <w:b/>
          <w:bCs/>
        </w:rPr>
        <w:t xml:space="preserve">11.  </w:t>
      </w:r>
      <w:r>
        <w:t>Clark D. M., «</w:t>
      </w:r>
      <w:proofErr w:type="spellStart"/>
      <w:r>
        <w:t>Realizing</w:t>
      </w:r>
      <w:proofErr w:type="spellEnd"/>
      <w:r>
        <w:t xml:space="preserve"> the mass public benefit of </w:t>
      </w:r>
      <w:proofErr w:type="spellStart"/>
      <w:r>
        <w:t>evidence-based</w:t>
      </w:r>
      <w:proofErr w:type="spellEnd"/>
      <w:r>
        <w:t xml:space="preserve"> </w:t>
      </w:r>
      <w:proofErr w:type="spellStart"/>
      <w:r>
        <w:t>psychological</w:t>
      </w:r>
      <w:proofErr w:type="spellEnd"/>
      <w:r>
        <w:t xml:space="preserve"> </w:t>
      </w:r>
      <w:proofErr w:type="spellStart"/>
      <w:r>
        <w:t>therapies</w:t>
      </w:r>
      <w:proofErr w:type="spellEnd"/>
      <w:r>
        <w:t xml:space="preserve">: the IAPT </w:t>
      </w:r>
      <w:proofErr w:type="spellStart"/>
      <w:r>
        <w:t>program</w:t>
      </w:r>
      <w:proofErr w:type="spellEnd"/>
      <w:r>
        <w:t xml:space="preserve">», </w:t>
      </w:r>
      <w:proofErr w:type="spellStart"/>
      <w:r>
        <w:t>Annual</w:t>
      </w:r>
      <w:proofErr w:type="spellEnd"/>
      <w:r>
        <w:t xml:space="preserve"> </w:t>
      </w:r>
      <w:proofErr w:type="spellStart"/>
      <w:r>
        <w:t>Review</w:t>
      </w:r>
      <w:proofErr w:type="spellEnd"/>
      <w:r>
        <w:t xml:space="preserve"> of </w:t>
      </w:r>
      <w:proofErr w:type="spellStart"/>
      <w:r>
        <w:t>Clinical</w:t>
      </w:r>
      <w:proofErr w:type="spellEnd"/>
      <w:r>
        <w:t xml:space="preserve"> </w:t>
      </w:r>
      <w:proofErr w:type="spellStart"/>
      <w:r>
        <w:t>Psychology</w:t>
      </w:r>
      <w:proofErr w:type="spellEnd"/>
      <w:r>
        <w:t>, vol. 14, 2018, pp. 159–183.</w:t>
      </w:r>
    </w:p>
    <w:p w14:paraId="6B8A9ED8" w14:textId="77777777" w:rsidR="007C4598" w:rsidRDefault="007C4598"/>
    <w:p w14:paraId="3FFCBB9B" w14:textId="77777777" w:rsidR="007C4598" w:rsidRDefault="00000000">
      <w:pPr>
        <w:jc w:val="both"/>
      </w:pPr>
      <w:r>
        <w:rPr>
          <w:b/>
          <w:bCs/>
        </w:rPr>
        <w:t xml:space="preserve">Fonte:  </w:t>
      </w:r>
      <w:r>
        <w:t>https://doi.org/10.1146/annurev-clinpsy-050817-084833</w:t>
      </w:r>
    </w:p>
    <w:p w14:paraId="5DB5FBCE" w14:textId="77777777" w:rsidR="007C4598" w:rsidRDefault="007C4598"/>
    <w:p w14:paraId="2989E727" w14:textId="77777777" w:rsidR="007C4598" w:rsidRDefault="00000000">
      <w:pPr>
        <w:jc w:val="both"/>
      </w:pPr>
      <w:r>
        <w:rPr>
          <w:b/>
          <w:bCs/>
        </w:rPr>
        <w:t xml:space="preserve">Sintesi:  </w:t>
      </w:r>
      <w:r>
        <w:rPr>
          <w:i/>
          <w:iCs/>
        </w:rPr>
        <w:t>Resoconto del programma inglese di accesso ai trattamenti psicologici. Documenta la sostenibilità su larga scala dell’integrazione psicologica e il ritorno in termini di esiti e di costi sociali evitati.</w:t>
      </w:r>
    </w:p>
    <w:p w14:paraId="2A758A6D" w14:textId="77777777" w:rsidR="007C4598" w:rsidRDefault="007C4598"/>
    <w:p w14:paraId="7A4C4778" w14:textId="77777777" w:rsidR="007C4598" w:rsidRDefault="00000000">
      <w:pPr>
        <w:jc w:val="both"/>
      </w:pPr>
      <w:r>
        <w:rPr>
          <w:b/>
          <w:bCs/>
        </w:rPr>
        <w:t xml:space="preserve">12.  </w:t>
      </w:r>
      <w:r>
        <w:t xml:space="preserve">Agenzia Italiana del Farmaco (AIFA), Rapporto </w:t>
      </w:r>
      <w:proofErr w:type="spellStart"/>
      <w:r>
        <w:t>OsMed</w:t>
      </w:r>
      <w:proofErr w:type="spellEnd"/>
      <w:r>
        <w:t xml:space="preserve"> sull’uso dei farmaci in Italia, sezioni sull’appropriatezza degli psicofarmaci e sulle benzodiazepine.</w:t>
      </w:r>
    </w:p>
    <w:p w14:paraId="5B5EB88F" w14:textId="77777777" w:rsidR="007C4598" w:rsidRDefault="007C4598"/>
    <w:p w14:paraId="5BDB2A6D" w14:textId="77777777" w:rsidR="007C4598" w:rsidRDefault="00000000">
      <w:pPr>
        <w:jc w:val="both"/>
      </w:pPr>
      <w:r>
        <w:rPr>
          <w:b/>
          <w:bCs/>
        </w:rPr>
        <w:t xml:space="preserve">Fonte:  </w:t>
      </w:r>
      <w:r>
        <w:t>https://www.aifa.gov.it — Osservatorio Nazionale sull’impiego dei Medicinali</w:t>
      </w:r>
    </w:p>
    <w:p w14:paraId="01F787B2" w14:textId="77777777" w:rsidR="007C4598" w:rsidRDefault="007C4598"/>
    <w:p w14:paraId="101D60F4" w14:textId="77777777" w:rsidR="007C4598" w:rsidRDefault="00000000">
      <w:pPr>
        <w:jc w:val="both"/>
      </w:pPr>
      <w:r>
        <w:rPr>
          <w:b/>
          <w:bCs/>
        </w:rPr>
        <w:t xml:space="preserve">Sintesi:  </w:t>
      </w:r>
      <w:r>
        <w:rPr>
          <w:i/>
          <w:iCs/>
        </w:rPr>
        <w:t>Fonte nazionale sul consumo e sull’appropriatezza prescrittiva degli psicofarmaci. Documenta il rilievo del consumo di benzodiazepine, su cui agisce il primo canale di risparmio diretto della coppia clinica.</w:t>
      </w:r>
    </w:p>
    <w:p w14:paraId="521D2757" w14:textId="77777777" w:rsidR="007C4598" w:rsidRDefault="007C4598"/>
    <w:p w14:paraId="437B1603" w14:textId="77777777" w:rsidR="007C4598" w:rsidRDefault="00000000">
      <w:pPr>
        <w:jc w:val="both"/>
      </w:pPr>
      <w:r>
        <w:rPr>
          <w:b/>
          <w:bCs/>
        </w:rPr>
        <w:t xml:space="preserve">13.  </w:t>
      </w:r>
      <w:r>
        <w:t xml:space="preserve">National </w:t>
      </w:r>
      <w:proofErr w:type="spellStart"/>
      <w:r>
        <w:t>Institute</w:t>
      </w:r>
      <w:proofErr w:type="spellEnd"/>
      <w:r>
        <w:t xml:space="preserve"> for </w:t>
      </w:r>
      <w:proofErr w:type="spellStart"/>
      <w:r>
        <w:t>Health</w:t>
      </w:r>
      <w:proofErr w:type="spellEnd"/>
      <w:r>
        <w:t xml:space="preserve"> and Care </w:t>
      </w:r>
      <w:proofErr w:type="spellStart"/>
      <w:r>
        <w:t>Excellence</w:t>
      </w:r>
      <w:proofErr w:type="spellEnd"/>
      <w:r>
        <w:t xml:space="preserve"> (NICE), linee guida sui disturbi mentali comuni nell’adulto.</w:t>
      </w:r>
    </w:p>
    <w:p w14:paraId="64085006" w14:textId="77777777" w:rsidR="007C4598" w:rsidRDefault="007C4598"/>
    <w:p w14:paraId="2DF2D557" w14:textId="77777777" w:rsidR="007C4598" w:rsidRDefault="00000000">
      <w:pPr>
        <w:jc w:val="both"/>
      </w:pPr>
      <w:r>
        <w:rPr>
          <w:b/>
          <w:bCs/>
        </w:rPr>
        <w:t xml:space="preserve">Fonte:  </w:t>
      </w:r>
      <w:r>
        <w:t>https://www.nice.org.uk/guidance/cg123</w:t>
      </w:r>
    </w:p>
    <w:p w14:paraId="57EF384E" w14:textId="77777777" w:rsidR="007C4598" w:rsidRDefault="007C4598"/>
    <w:p w14:paraId="0F4FF00A" w14:textId="77777777" w:rsidR="007C4598" w:rsidRDefault="00000000">
      <w:pPr>
        <w:jc w:val="both"/>
      </w:pPr>
      <w:r>
        <w:rPr>
          <w:b/>
          <w:bCs/>
        </w:rPr>
        <w:t xml:space="preserve">Sintesi:  </w:t>
      </w:r>
      <w:r>
        <w:rPr>
          <w:i/>
          <w:iCs/>
        </w:rPr>
        <w:t>Linee guida di riferimento per l’identificazione e i percorsi di cura dei disturbi mentali comuni. Sostengono i criteri di appropriatezza dell’intervento e dell’invio nella coppia clinica.</w:t>
      </w:r>
    </w:p>
    <w:p w14:paraId="08B87219" w14:textId="77777777" w:rsidR="007C4598" w:rsidRDefault="007C4598"/>
    <w:p w14:paraId="26FDE0FB" w14:textId="77777777" w:rsidR="007C4598" w:rsidRDefault="00000000">
      <w:pPr>
        <w:jc w:val="both"/>
      </w:pPr>
      <w:r>
        <w:rPr>
          <w:b/>
          <w:bCs/>
        </w:rPr>
        <w:t xml:space="preserve">14.  </w:t>
      </w:r>
      <w:proofErr w:type="spellStart"/>
      <w:r>
        <w:t>Layard</w:t>
      </w:r>
      <w:proofErr w:type="spellEnd"/>
      <w:r>
        <w:t xml:space="preserve"> R., Clark D. M., </w:t>
      </w:r>
      <w:proofErr w:type="spellStart"/>
      <w:r>
        <w:t>Thrive</w:t>
      </w:r>
      <w:proofErr w:type="spellEnd"/>
      <w:r>
        <w:t xml:space="preserve">: The </w:t>
      </w:r>
      <w:proofErr w:type="spellStart"/>
      <w:r>
        <w:t>Power</w:t>
      </w:r>
      <w:proofErr w:type="spellEnd"/>
      <w:r>
        <w:t xml:space="preserve"> of </w:t>
      </w:r>
      <w:proofErr w:type="spellStart"/>
      <w:r>
        <w:t>Evidence-Based</w:t>
      </w:r>
      <w:proofErr w:type="spellEnd"/>
      <w:r>
        <w:t xml:space="preserve"> </w:t>
      </w:r>
      <w:proofErr w:type="spellStart"/>
      <w:r>
        <w:t>Psychological</w:t>
      </w:r>
      <w:proofErr w:type="spellEnd"/>
      <w:r>
        <w:t xml:space="preserve"> </w:t>
      </w:r>
      <w:proofErr w:type="spellStart"/>
      <w:r>
        <w:t>Therapies</w:t>
      </w:r>
      <w:proofErr w:type="spellEnd"/>
      <w:r>
        <w:t>, Penguin, Londra, 2014.</w:t>
      </w:r>
    </w:p>
    <w:p w14:paraId="74ACC3FD" w14:textId="77777777" w:rsidR="007C4598" w:rsidRDefault="007C4598"/>
    <w:p w14:paraId="22E7B3B4" w14:textId="77777777" w:rsidR="007C4598" w:rsidRDefault="00000000">
      <w:pPr>
        <w:jc w:val="both"/>
      </w:pPr>
      <w:r>
        <w:rPr>
          <w:b/>
          <w:bCs/>
        </w:rPr>
        <w:t xml:space="preserve">Fonte:  </w:t>
      </w:r>
      <w:r>
        <w:t>https://www.penguin.co.uk — scheda editoriale dell’opera</w:t>
      </w:r>
    </w:p>
    <w:p w14:paraId="2DE5BE5C" w14:textId="77777777" w:rsidR="007C4598" w:rsidRDefault="007C4598"/>
    <w:p w14:paraId="61C48B37" w14:textId="77777777" w:rsidR="007C4598" w:rsidRDefault="00000000">
      <w:pPr>
        <w:jc w:val="both"/>
      </w:pPr>
      <w:r>
        <w:rPr>
          <w:b/>
          <w:bCs/>
        </w:rPr>
        <w:t xml:space="preserve">Sintesi:  </w:t>
      </w:r>
      <w:r>
        <w:rPr>
          <w:i/>
          <w:iCs/>
        </w:rPr>
        <w:t>Trattazione del valore economico e sociale delle terapie psicologiche basate sull’evidenza. Argomenta il ritorno sociale dell’investimento nella salute mentale, in coerenza con gli intervalli adottati.</w:t>
      </w:r>
    </w:p>
    <w:p w14:paraId="4C1D94DF" w14:textId="77777777" w:rsidR="007C4598" w:rsidRDefault="007C4598"/>
    <w:p w14:paraId="25E50B53" w14:textId="77777777" w:rsidR="007C4598" w:rsidRDefault="00000000">
      <w:pPr>
        <w:jc w:val="both"/>
      </w:pPr>
      <w:r>
        <w:rPr>
          <w:b/>
          <w:bCs/>
        </w:rPr>
        <w:t xml:space="preserve">15.  </w:t>
      </w:r>
      <w:r>
        <w:t>Organizzazione Mondiale della Sanità e UNICEF, rapporti sulla salute mentale dell’adolescenza, 2021.</w:t>
      </w:r>
    </w:p>
    <w:p w14:paraId="5EF04099" w14:textId="77777777" w:rsidR="007C4598" w:rsidRDefault="007C4598"/>
    <w:p w14:paraId="41EB186E" w14:textId="77777777" w:rsidR="007C4598" w:rsidRDefault="00000000">
      <w:pPr>
        <w:jc w:val="both"/>
      </w:pPr>
      <w:r>
        <w:rPr>
          <w:b/>
          <w:bCs/>
        </w:rPr>
        <w:t xml:space="preserve">Fonte:  </w:t>
      </w:r>
      <w:r>
        <w:t>https://www.unicef.org/reports/state-worlds-children-2021</w:t>
      </w:r>
    </w:p>
    <w:p w14:paraId="73150E8C" w14:textId="77777777" w:rsidR="007C4598" w:rsidRDefault="007C4598"/>
    <w:p w14:paraId="09DC01DB" w14:textId="77777777" w:rsidR="007C4598" w:rsidRDefault="00000000">
      <w:pPr>
        <w:jc w:val="both"/>
      </w:pPr>
      <w:r>
        <w:rPr>
          <w:b/>
          <w:bCs/>
        </w:rPr>
        <w:t xml:space="preserve">Sintesi:  </w:t>
      </w:r>
      <w:r>
        <w:rPr>
          <w:i/>
          <w:iCs/>
        </w:rPr>
        <w:t>Fonti internazionali sul disagio psichico in età evolutiva. Documentano il valore dell’intercettazione precoce nell’infanzia e nell’adolescenza, fondando la funzione preventiva del pediatra di libera scelta.</w:t>
      </w:r>
    </w:p>
    <w:p w14:paraId="583FDEBD" w14:textId="77777777" w:rsidR="007C4598" w:rsidRDefault="007C4598"/>
    <w:p w14:paraId="2550CAA2" w14:textId="77777777" w:rsidR="007C4598" w:rsidRDefault="00000000">
      <w:pPr>
        <w:jc w:val="both"/>
      </w:pPr>
      <w:r>
        <w:rPr>
          <w:b/>
          <w:bCs/>
        </w:rPr>
        <w:t xml:space="preserve">16.  </w:t>
      </w:r>
      <w:r>
        <w:t xml:space="preserve">National </w:t>
      </w:r>
      <w:proofErr w:type="spellStart"/>
      <w:r>
        <w:t>Institute</w:t>
      </w:r>
      <w:proofErr w:type="spellEnd"/>
      <w:r>
        <w:t xml:space="preserve"> for </w:t>
      </w:r>
      <w:proofErr w:type="spellStart"/>
      <w:r>
        <w:t>Health</w:t>
      </w:r>
      <w:proofErr w:type="spellEnd"/>
      <w:r>
        <w:t xml:space="preserve"> and Care </w:t>
      </w:r>
      <w:proofErr w:type="spellStart"/>
      <w:r>
        <w:t>Excellence</w:t>
      </w:r>
      <w:proofErr w:type="spellEnd"/>
      <w:r>
        <w:t xml:space="preserve"> (NICE), linee guida sull’intervento precoce nei disturbi emotivi e comportamentali in età evolutiva.</w:t>
      </w:r>
    </w:p>
    <w:p w14:paraId="277A77C1" w14:textId="77777777" w:rsidR="007C4598" w:rsidRDefault="007C4598"/>
    <w:p w14:paraId="2050E4DB" w14:textId="77777777" w:rsidR="007C4598" w:rsidRDefault="00000000">
      <w:pPr>
        <w:jc w:val="both"/>
      </w:pPr>
      <w:r>
        <w:rPr>
          <w:b/>
          <w:bCs/>
        </w:rPr>
        <w:t xml:space="preserve">Fonte:  </w:t>
      </w:r>
      <w:r>
        <w:t>https://www.nice.org.uk</w:t>
      </w:r>
    </w:p>
    <w:p w14:paraId="5A6872CF" w14:textId="77777777" w:rsidR="007C4598" w:rsidRDefault="007C4598"/>
    <w:p w14:paraId="74095373" w14:textId="77777777" w:rsidR="007C4598" w:rsidRDefault="00000000">
      <w:pPr>
        <w:jc w:val="both"/>
      </w:pPr>
      <w:r>
        <w:rPr>
          <w:b/>
          <w:bCs/>
        </w:rPr>
        <w:t xml:space="preserve">Sintesi:  </w:t>
      </w:r>
      <w:r>
        <w:rPr>
          <w:i/>
          <w:iCs/>
        </w:rPr>
        <w:t>Linee guida sull’intervento precoce in età evolutiva. La qualità dell’evidenza, da moderata a bassa secondo gli esiti, impone la proiezione prudenziale dei ritorni preventivi del livello pediatrico.</w:t>
      </w:r>
    </w:p>
    <w:p w14:paraId="24D36455" w14:textId="77777777" w:rsidR="007C4598" w:rsidRDefault="007C4598"/>
    <w:p w14:paraId="5CBCC69A" w14:textId="77777777" w:rsidR="007C4598" w:rsidRDefault="00000000">
      <w:pPr>
        <w:jc w:val="both"/>
      </w:pPr>
      <w:r>
        <w:rPr>
          <w:b/>
          <w:bCs/>
        </w:rPr>
        <w:t xml:space="preserve">17.  </w:t>
      </w:r>
      <w:proofErr w:type="spellStart"/>
      <w:r>
        <w:t>Wissow</w:t>
      </w:r>
      <w:proofErr w:type="spellEnd"/>
      <w:r>
        <w:t xml:space="preserve"> L. S. et al., contributi sulla salute mentale nelle cure primarie pediatriche, dal 2008 e successivi.</w:t>
      </w:r>
    </w:p>
    <w:p w14:paraId="511BE4DA" w14:textId="77777777" w:rsidR="007C4598" w:rsidRDefault="007C4598"/>
    <w:p w14:paraId="3627500B" w14:textId="77777777" w:rsidR="007C4598" w:rsidRDefault="00000000">
      <w:pPr>
        <w:jc w:val="both"/>
      </w:pPr>
      <w:r>
        <w:rPr>
          <w:b/>
          <w:bCs/>
        </w:rPr>
        <w:t xml:space="preserve">Fonte:  </w:t>
      </w:r>
      <w:r>
        <w:t>https://pubmed.ncbi.nlm.nih.gov — ricerca per autore e tema</w:t>
      </w:r>
    </w:p>
    <w:p w14:paraId="1D368F77" w14:textId="77777777" w:rsidR="007C4598" w:rsidRDefault="007C4598"/>
    <w:p w14:paraId="512A770F" w14:textId="77777777" w:rsidR="007C4598" w:rsidRDefault="00000000">
      <w:pPr>
        <w:jc w:val="both"/>
      </w:pPr>
      <w:r>
        <w:rPr>
          <w:b/>
          <w:bCs/>
        </w:rPr>
        <w:t xml:space="preserve">Sintesi:  </w:t>
      </w:r>
      <w:r>
        <w:rPr>
          <w:i/>
          <w:iCs/>
        </w:rPr>
        <w:t>Letteratura sulla salute mentale nel contesto delle cure primarie pediatriche. Sostiene il ruolo del pediatra come primo osservatore del disagio del minore e delle difficoltà genitoriali.</w:t>
      </w:r>
    </w:p>
    <w:p w14:paraId="65266871" w14:textId="77777777" w:rsidR="007C4598" w:rsidRDefault="007C4598"/>
    <w:p w14:paraId="0D81A9C5" w14:textId="77777777" w:rsidR="007C4598" w:rsidRDefault="00000000">
      <w:pPr>
        <w:jc w:val="both"/>
      </w:pPr>
      <w:r>
        <w:rPr>
          <w:b/>
          <w:bCs/>
        </w:rPr>
        <w:t xml:space="preserve">18.  </w:t>
      </w:r>
      <w:r>
        <w:t>Stone J., Carson A. et al., studi sulla prevalenza dei sintomi funzionali e medicalmente inspiegati nella casistica neurologica ambulatoriale.</w:t>
      </w:r>
    </w:p>
    <w:p w14:paraId="425AA190" w14:textId="77777777" w:rsidR="007C4598" w:rsidRDefault="007C4598"/>
    <w:p w14:paraId="29F4F797" w14:textId="77777777" w:rsidR="007C4598" w:rsidRDefault="00000000">
      <w:pPr>
        <w:jc w:val="both"/>
      </w:pPr>
      <w:r>
        <w:rPr>
          <w:b/>
          <w:bCs/>
        </w:rPr>
        <w:t xml:space="preserve">Fonte:  </w:t>
      </w:r>
      <w:r>
        <w:t>https://pubmed.ncbi.nlm.nih.gov — ricerca per autore e tema</w:t>
      </w:r>
    </w:p>
    <w:p w14:paraId="35CB335F" w14:textId="77777777" w:rsidR="007C4598" w:rsidRDefault="007C4598"/>
    <w:p w14:paraId="4F7EA358" w14:textId="77777777" w:rsidR="007C4598" w:rsidRDefault="00000000">
      <w:pPr>
        <w:jc w:val="both"/>
      </w:pPr>
      <w:r>
        <w:rPr>
          <w:b/>
          <w:bCs/>
        </w:rPr>
        <w:t xml:space="preserve">Sintesi:  </w:t>
      </w:r>
      <w:r>
        <w:rPr>
          <w:i/>
          <w:iCs/>
        </w:rPr>
        <w:t>Studi sulla quota di sintomi funzionali nella casistica neurologica. Fondano il ruolo del neurologo nell’intercettazione della componente psichica della domanda neurologica e nell’appropriatezza dell’invio.</w:t>
      </w:r>
    </w:p>
    <w:p w14:paraId="484D4D05" w14:textId="77777777" w:rsidR="007C4598" w:rsidRDefault="007C4598"/>
    <w:p w14:paraId="5890A1CA" w14:textId="77777777" w:rsidR="007C4598" w:rsidRDefault="00000000">
      <w:pPr>
        <w:jc w:val="both"/>
      </w:pPr>
      <w:r>
        <w:rPr>
          <w:b/>
          <w:bCs/>
        </w:rPr>
        <w:t xml:space="preserve">19.  </w:t>
      </w:r>
      <w:r>
        <w:t>Robinson R. G., Jorge R. E., «Post-</w:t>
      </w:r>
      <w:proofErr w:type="spellStart"/>
      <w:r>
        <w:t>stroke</w:t>
      </w:r>
      <w:proofErr w:type="spellEnd"/>
      <w:r>
        <w:t xml:space="preserve"> </w:t>
      </w:r>
      <w:proofErr w:type="spellStart"/>
      <w:r>
        <w:t>depression</w:t>
      </w:r>
      <w:proofErr w:type="spellEnd"/>
      <w:r>
        <w:t xml:space="preserve">: a </w:t>
      </w:r>
      <w:proofErr w:type="spellStart"/>
      <w:r>
        <w:t>review</w:t>
      </w:r>
      <w:proofErr w:type="spellEnd"/>
      <w:r>
        <w:t xml:space="preserve">», The American Journal of </w:t>
      </w:r>
      <w:proofErr w:type="spellStart"/>
      <w:r>
        <w:t>Psychiatry</w:t>
      </w:r>
      <w:proofErr w:type="spellEnd"/>
      <w:r>
        <w:t>, vol. 173, n. 3, 2016, pp. 221–231.</w:t>
      </w:r>
    </w:p>
    <w:p w14:paraId="3F9BAE94" w14:textId="77777777" w:rsidR="007C4598" w:rsidRDefault="007C4598"/>
    <w:p w14:paraId="528548B1" w14:textId="77777777" w:rsidR="007C4598" w:rsidRDefault="00000000">
      <w:pPr>
        <w:jc w:val="both"/>
      </w:pPr>
      <w:r>
        <w:rPr>
          <w:b/>
          <w:bCs/>
        </w:rPr>
        <w:t xml:space="preserve">Fonte:  </w:t>
      </w:r>
      <w:r>
        <w:t>https://doi.org/10.1176/appi.ajp.2015.15030363</w:t>
      </w:r>
    </w:p>
    <w:p w14:paraId="5E42A1D7" w14:textId="77777777" w:rsidR="007C4598" w:rsidRDefault="007C4598"/>
    <w:p w14:paraId="3D479264" w14:textId="77777777" w:rsidR="007C4598" w:rsidRDefault="00000000">
      <w:pPr>
        <w:jc w:val="both"/>
      </w:pPr>
      <w:r>
        <w:rPr>
          <w:b/>
          <w:bCs/>
        </w:rPr>
        <w:t xml:space="preserve">Sintesi:  </w:t>
      </w:r>
      <w:r>
        <w:rPr>
          <w:i/>
          <w:iCs/>
        </w:rPr>
        <w:t xml:space="preserve">Rassegna sulla </w:t>
      </w:r>
      <w:proofErr w:type="spellStart"/>
      <w:r>
        <w:rPr>
          <w:i/>
          <w:iCs/>
        </w:rPr>
        <w:t>comorbilità</w:t>
      </w:r>
      <w:proofErr w:type="spellEnd"/>
      <w:r>
        <w:rPr>
          <w:i/>
          <w:iCs/>
        </w:rPr>
        <w:t xml:space="preserve"> neuropsichiatrica nelle patologie neurologiche. Documenta la rilevanza della depressione post-</w:t>
      </w:r>
      <w:proofErr w:type="spellStart"/>
      <w:r>
        <w:rPr>
          <w:i/>
          <w:iCs/>
        </w:rPr>
        <w:t>ictale</w:t>
      </w:r>
      <w:proofErr w:type="spellEnd"/>
      <w:r>
        <w:rPr>
          <w:i/>
          <w:iCs/>
        </w:rPr>
        <w:t xml:space="preserve"> e sostiene la connessione tra neurologia e salute mentale nella cascata.</w:t>
      </w:r>
    </w:p>
    <w:p w14:paraId="7DC7E5A2" w14:textId="77777777" w:rsidR="007C4598" w:rsidRDefault="007C4598"/>
    <w:p w14:paraId="78C179D9" w14:textId="77777777" w:rsidR="007C4598" w:rsidRDefault="00000000">
      <w:pPr>
        <w:jc w:val="both"/>
      </w:pPr>
      <w:r>
        <w:rPr>
          <w:b/>
          <w:bCs/>
        </w:rPr>
        <w:t xml:space="preserve">20.  </w:t>
      </w:r>
      <w:proofErr w:type="spellStart"/>
      <w:r>
        <w:t>Gilbody</w:t>
      </w:r>
      <w:proofErr w:type="spellEnd"/>
      <w:r>
        <w:t xml:space="preserve"> S., </w:t>
      </w:r>
      <w:proofErr w:type="spellStart"/>
      <w:r>
        <w:t>Bower</w:t>
      </w:r>
      <w:proofErr w:type="spellEnd"/>
      <w:r>
        <w:t xml:space="preserve"> P., Fletcher J. et al., «Collaborative care for </w:t>
      </w:r>
      <w:proofErr w:type="spellStart"/>
      <w:r>
        <w:t>depression</w:t>
      </w:r>
      <w:proofErr w:type="spellEnd"/>
      <w:r>
        <w:t xml:space="preserve">: a </w:t>
      </w:r>
      <w:proofErr w:type="spellStart"/>
      <w:r>
        <w:t>systematic</w:t>
      </w:r>
      <w:proofErr w:type="spellEnd"/>
      <w:r>
        <w:t xml:space="preserve"> </w:t>
      </w:r>
      <w:proofErr w:type="spellStart"/>
      <w:r>
        <w:t>review</w:t>
      </w:r>
      <w:proofErr w:type="spellEnd"/>
      <w:r>
        <w:t xml:space="preserve"> and cumulative meta-</w:t>
      </w:r>
      <w:proofErr w:type="spellStart"/>
      <w:r>
        <w:t>analysis</w:t>
      </w:r>
      <w:proofErr w:type="spellEnd"/>
      <w:r>
        <w:t xml:space="preserve">», Archives of </w:t>
      </w:r>
      <w:proofErr w:type="spellStart"/>
      <w:r>
        <w:t>Internal</w:t>
      </w:r>
      <w:proofErr w:type="spellEnd"/>
      <w:r>
        <w:t xml:space="preserve"> Medicine, vol. 166, n. 21, 2006, pp. 2314–2321.</w:t>
      </w:r>
    </w:p>
    <w:p w14:paraId="316C7FBB" w14:textId="77777777" w:rsidR="007C4598" w:rsidRDefault="007C4598"/>
    <w:p w14:paraId="2A6CF330" w14:textId="77777777" w:rsidR="007C4598" w:rsidRDefault="00000000">
      <w:pPr>
        <w:jc w:val="both"/>
      </w:pPr>
      <w:r>
        <w:rPr>
          <w:b/>
          <w:bCs/>
        </w:rPr>
        <w:t xml:space="preserve">Fonte:  </w:t>
      </w:r>
      <w:r>
        <w:t>https://doi.org/10.1001/archinte.166.21.2314</w:t>
      </w:r>
    </w:p>
    <w:p w14:paraId="30BA5281" w14:textId="77777777" w:rsidR="007C4598" w:rsidRDefault="007C4598"/>
    <w:p w14:paraId="76FBDF13" w14:textId="77777777" w:rsidR="007C4598" w:rsidRDefault="00000000">
      <w:pPr>
        <w:jc w:val="both"/>
      </w:pPr>
      <w:r>
        <w:rPr>
          <w:b/>
          <w:bCs/>
        </w:rPr>
        <w:t xml:space="preserve">Sintesi:  </w:t>
      </w:r>
      <w:r>
        <w:rPr>
          <w:i/>
          <w:iCs/>
        </w:rPr>
        <w:t>Meta-analisi cumulativa sull’assistenza collaborativa. Rafforza, con elevata qualità dell’evidenza, il fondamento del modello su cui poggiano la coppia clinica e il raccordo con lo psichiatra consulente.</w:t>
      </w:r>
    </w:p>
    <w:p w14:paraId="37A9CF4B" w14:textId="77777777" w:rsidR="007C4598" w:rsidRDefault="007C4598"/>
    <w:p w14:paraId="08823F99" w14:textId="77777777" w:rsidR="007C4598" w:rsidRDefault="00000000">
      <w:pPr>
        <w:jc w:val="both"/>
      </w:pPr>
      <w:r>
        <w:rPr>
          <w:b/>
          <w:bCs/>
        </w:rPr>
        <w:t xml:space="preserve">21.  </w:t>
      </w:r>
      <w:r>
        <w:t>Decreto del Ministro della Salute 23 maggio 2022, n. 77, su modelli e standard per lo sviluppo dell’assistenza territoriale nel Servizio sanitario nazionale.</w:t>
      </w:r>
    </w:p>
    <w:p w14:paraId="07CE91C6" w14:textId="77777777" w:rsidR="007C4598" w:rsidRDefault="007C4598"/>
    <w:p w14:paraId="1ABB0D75" w14:textId="77777777" w:rsidR="007C4598" w:rsidRDefault="00000000">
      <w:pPr>
        <w:jc w:val="both"/>
      </w:pPr>
      <w:r>
        <w:rPr>
          <w:b/>
          <w:bCs/>
        </w:rPr>
        <w:t xml:space="preserve">Fonte:  </w:t>
      </w:r>
      <w:r>
        <w:t>https://www.gazzettaufficiale.it — G.U. Serie Generale</w:t>
      </w:r>
    </w:p>
    <w:p w14:paraId="150001A5" w14:textId="77777777" w:rsidR="007C4598" w:rsidRDefault="007C4598"/>
    <w:p w14:paraId="3C4BDD00" w14:textId="77777777" w:rsidR="007C4598" w:rsidRDefault="00000000">
      <w:pPr>
        <w:jc w:val="both"/>
      </w:pPr>
      <w:r>
        <w:rPr>
          <w:b/>
          <w:bCs/>
        </w:rPr>
        <w:t xml:space="preserve">Sintesi:  </w:t>
      </w:r>
      <w:r>
        <w:rPr>
          <w:i/>
          <w:iCs/>
        </w:rPr>
        <w:t>Quadro nazionale dell’assistenza territoriale. Definisce i modelli delle Case della Comunità e delle reti di prossimità entro cui il servizio si colloca e che gli attori istituzionali regionali attuano.</w:t>
      </w:r>
    </w:p>
    <w:p w14:paraId="456A1C78" w14:textId="77777777" w:rsidR="007C4598" w:rsidRDefault="007C4598"/>
    <w:p w14:paraId="12D30EC6" w14:textId="77777777" w:rsidR="007C4598" w:rsidRDefault="00000000">
      <w:pPr>
        <w:jc w:val="both"/>
      </w:pPr>
      <w:r>
        <w:rPr>
          <w:b/>
          <w:bCs/>
        </w:rPr>
        <w:t xml:space="preserve">22.  </w:t>
      </w:r>
      <w:r>
        <w:t>Agenzia Nazionale per i Servizi Sanitari Regionali (AGENAS) e Piano Nazionale di Governo delle Liste di Attesa.</w:t>
      </w:r>
    </w:p>
    <w:p w14:paraId="45EA79FA" w14:textId="77777777" w:rsidR="007C4598" w:rsidRDefault="007C4598"/>
    <w:p w14:paraId="4F564090" w14:textId="77777777" w:rsidR="007C4598" w:rsidRDefault="00000000">
      <w:pPr>
        <w:jc w:val="both"/>
      </w:pPr>
      <w:r>
        <w:rPr>
          <w:b/>
          <w:bCs/>
        </w:rPr>
        <w:t xml:space="preserve">Fonte:  </w:t>
      </w:r>
      <w:r>
        <w:t>https://www.agenas.gov.it</w:t>
      </w:r>
    </w:p>
    <w:p w14:paraId="3AF7BEDC" w14:textId="77777777" w:rsidR="007C4598" w:rsidRDefault="007C4598"/>
    <w:p w14:paraId="4D61E300" w14:textId="77777777" w:rsidR="007C4598" w:rsidRDefault="00000000">
      <w:pPr>
        <w:jc w:val="both"/>
      </w:pPr>
      <w:r>
        <w:rPr>
          <w:b/>
          <w:bCs/>
        </w:rPr>
        <w:t xml:space="preserve">Sintesi:  </w:t>
      </w:r>
      <w:r>
        <w:rPr>
          <w:i/>
          <w:iCs/>
        </w:rPr>
        <w:t xml:space="preserve">Fonte sulla </w:t>
      </w:r>
      <w:proofErr w:type="spellStart"/>
      <w:r>
        <w:rPr>
          <w:i/>
          <w:iCs/>
        </w:rPr>
        <w:t>governance</w:t>
      </w:r>
      <w:proofErr w:type="spellEnd"/>
      <w:r>
        <w:rPr>
          <w:i/>
          <w:iCs/>
        </w:rPr>
        <w:t xml:space="preserve"> delle liste di attesa. Inquadra la pressione sui servizi specialistici, su cui agisce la regolazione dell’invio operata dal primo livello e dallo psichiatra consulente.</w:t>
      </w:r>
    </w:p>
    <w:p w14:paraId="3F4E521D" w14:textId="77777777" w:rsidR="007C4598" w:rsidRDefault="007C4598"/>
    <w:p w14:paraId="3AB0F794" w14:textId="77777777" w:rsidR="007C4598" w:rsidRDefault="00000000">
      <w:pPr>
        <w:jc w:val="both"/>
      </w:pPr>
      <w:r>
        <w:rPr>
          <w:b/>
          <w:bCs/>
        </w:rPr>
        <w:t xml:space="preserve">23.  </w:t>
      </w:r>
      <w:r>
        <w:t>Ministero della Salute, Sistema Informativo per la Salute Mentale (SISM), Rapporto sulla salute mentale.</w:t>
      </w:r>
    </w:p>
    <w:p w14:paraId="3216C8D3" w14:textId="77777777" w:rsidR="007C4598" w:rsidRDefault="007C4598"/>
    <w:p w14:paraId="2F231B3F" w14:textId="77777777" w:rsidR="007C4598" w:rsidRDefault="00000000">
      <w:pPr>
        <w:jc w:val="both"/>
      </w:pPr>
      <w:r>
        <w:rPr>
          <w:b/>
          <w:bCs/>
        </w:rPr>
        <w:t xml:space="preserve">Fonte:  </w:t>
      </w:r>
      <w:r>
        <w:t>https://www.salute.gov.it — Sistema Informativo per la Salute Mentale</w:t>
      </w:r>
    </w:p>
    <w:p w14:paraId="70D91C7F" w14:textId="77777777" w:rsidR="007C4598" w:rsidRDefault="007C4598"/>
    <w:p w14:paraId="54272175" w14:textId="77777777" w:rsidR="007C4598" w:rsidRDefault="00000000">
      <w:pPr>
        <w:jc w:val="both"/>
      </w:pPr>
      <w:r>
        <w:rPr>
          <w:b/>
          <w:bCs/>
        </w:rPr>
        <w:t xml:space="preserve">Sintesi:  </w:t>
      </w:r>
      <w:r>
        <w:rPr>
          <w:i/>
          <w:iCs/>
        </w:rPr>
        <w:t>Fonte nazionale sull’attività dei servizi di salute mentale. Fornisce la base informativa per la collocazione dei Centri di Salute Mentale nella cascata e per il monitoraggio degli esiti.</w:t>
      </w:r>
    </w:p>
    <w:p w14:paraId="7C3B5FF0" w14:textId="77777777" w:rsidR="007C4598" w:rsidRDefault="007C4598"/>
    <w:p w14:paraId="0CDC839C" w14:textId="77777777" w:rsidR="007C4598" w:rsidRDefault="00000000">
      <w:pPr>
        <w:jc w:val="both"/>
      </w:pPr>
      <w:r>
        <w:rPr>
          <w:b/>
          <w:bCs/>
        </w:rPr>
        <w:t xml:space="preserve">24.  </w:t>
      </w:r>
      <w:r>
        <w:t>Agenzia Nazionale per i Servizi Sanitari Regionali (AGENAS), dati e rapporti sulla mobilità sanitaria interregionale.</w:t>
      </w:r>
    </w:p>
    <w:p w14:paraId="02B1B019" w14:textId="77777777" w:rsidR="007C4598" w:rsidRDefault="007C4598"/>
    <w:p w14:paraId="75BD59F0" w14:textId="77777777" w:rsidR="007C4598" w:rsidRDefault="00000000">
      <w:pPr>
        <w:jc w:val="both"/>
      </w:pPr>
      <w:r>
        <w:rPr>
          <w:b/>
          <w:bCs/>
        </w:rPr>
        <w:t xml:space="preserve">Fonte:  </w:t>
      </w:r>
      <w:r>
        <w:t>https://www.agenas.gov.it</w:t>
      </w:r>
    </w:p>
    <w:p w14:paraId="7C30487E" w14:textId="77777777" w:rsidR="007C4598" w:rsidRDefault="007C4598"/>
    <w:p w14:paraId="635A07BA" w14:textId="77777777" w:rsidR="007C4598" w:rsidRDefault="00000000">
      <w:pPr>
        <w:jc w:val="both"/>
      </w:pPr>
      <w:r>
        <w:rPr>
          <w:b/>
          <w:bCs/>
        </w:rPr>
        <w:t xml:space="preserve">Sintesi:  </w:t>
      </w:r>
      <w:r>
        <w:rPr>
          <w:i/>
          <w:iCs/>
        </w:rPr>
        <w:t>Fonte sulla mobilità sanitaria passiva. Documenta la quota di domanda che migra verso altre regioni, su cui la riforma agisce per via di contenimento, con ricaduta diretta sul bilancio regionale.</w:t>
      </w:r>
    </w:p>
    <w:p w14:paraId="0FE75173" w14:textId="77777777" w:rsidR="007C4598" w:rsidRDefault="007C4598"/>
    <w:p w14:paraId="382C6B51" w14:textId="77777777" w:rsidR="007C4598" w:rsidRDefault="00000000">
      <w:pPr>
        <w:jc w:val="both"/>
      </w:pPr>
      <w:r>
        <w:rPr>
          <w:b/>
          <w:bCs/>
        </w:rPr>
        <w:t xml:space="preserve">25.  </w:t>
      </w:r>
      <w:r>
        <w:t>Legge 8 novembre 2000, n. 328, per la realizzazione del sistema integrato di interventi e servizi sociali.</w:t>
      </w:r>
    </w:p>
    <w:p w14:paraId="1B1DC14B" w14:textId="77777777" w:rsidR="007C4598" w:rsidRDefault="007C4598"/>
    <w:p w14:paraId="5F8D1CEE" w14:textId="77777777" w:rsidR="007C4598" w:rsidRDefault="00000000">
      <w:pPr>
        <w:jc w:val="both"/>
      </w:pPr>
      <w:r>
        <w:rPr>
          <w:b/>
          <w:bCs/>
        </w:rPr>
        <w:t xml:space="preserve">Fonte:  </w:t>
      </w:r>
      <w:r>
        <w:t>https://www.normattiva.it</w:t>
      </w:r>
    </w:p>
    <w:p w14:paraId="439BC9A0" w14:textId="77777777" w:rsidR="007C4598" w:rsidRDefault="007C4598"/>
    <w:p w14:paraId="4A92DFEF" w14:textId="77777777" w:rsidR="007C4598" w:rsidRDefault="00000000">
      <w:pPr>
        <w:jc w:val="both"/>
      </w:pPr>
      <w:r>
        <w:rPr>
          <w:b/>
          <w:bCs/>
        </w:rPr>
        <w:t xml:space="preserve">Sintesi:  </w:t>
      </w:r>
      <w:r>
        <w:rPr>
          <w:i/>
          <w:iCs/>
        </w:rPr>
        <w:t>Fondamento normativo dell’integrazione socio-sanitaria. Pone a sistema gli interventi sociali su cui agisce l’assistente sociale nella presa in carico dei determinanti sociali del disagio psichico.</w:t>
      </w:r>
    </w:p>
    <w:p w14:paraId="7FA5A15F" w14:textId="77777777" w:rsidR="007C4598" w:rsidRDefault="007C4598"/>
    <w:p w14:paraId="102CB9A4" w14:textId="77777777" w:rsidR="007C4598" w:rsidRDefault="00000000">
      <w:pPr>
        <w:jc w:val="both"/>
      </w:pPr>
      <w:r>
        <w:rPr>
          <w:b/>
          <w:bCs/>
        </w:rPr>
        <w:t xml:space="preserve">26.  </w:t>
      </w:r>
      <w:proofErr w:type="spellStart"/>
      <w:r>
        <w:t>Bickerdike</w:t>
      </w:r>
      <w:proofErr w:type="spellEnd"/>
      <w:r>
        <w:t xml:space="preserve"> L. et al., «Social </w:t>
      </w:r>
      <w:proofErr w:type="spellStart"/>
      <w:r>
        <w:t>prescribing</w:t>
      </w:r>
      <w:proofErr w:type="spellEnd"/>
      <w:r>
        <w:t xml:space="preserve">: </w:t>
      </w:r>
      <w:proofErr w:type="spellStart"/>
      <w:r>
        <w:t>less</w:t>
      </w:r>
      <w:proofErr w:type="spellEnd"/>
      <w:r>
        <w:t xml:space="preserve"> </w:t>
      </w:r>
      <w:proofErr w:type="spellStart"/>
      <w:r>
        <w:t>rhetoric</w:t>
      </w:r>
      <w:proofErr w:type="spellEnd"/>
      <w:r>
        <w:t xml:space="preserve"> and more reality. A </w:t>
      </w:r>
      <w:proofErr w:type="spellStart"/>
      <w:r>
        <w:t>systematic</w:t>
      </w:r>
      <w:proofErr w:type="spellEnd"/>
      <w:r>
        <w:t xml:space="preserve"> </w:t>
      </w:r>
      <w:proofErr w:type="spellStart"/>
      <w:r>
        <w:t>review</w:t>
      </w:r>
      <w:proofErr w:type="spellEnd"/>
      <w:r>
        <w:t xml:space="preserve"> of the </w:t>
      </w:r>
      <w:proofErr w:type="spellStart"/>
      <w:r>
        <w:t>evidence</w:t>
      </w:r>
      <w:proofErr w:type="spellEnd"/>
      <w:r>
        <w:t>», BMJ Open, vol. 7, 2017.</w:t>
      </w:r>
    </w:p>
    <w:p w14:paraId="1EDA9349" w14:textId="77777777" w:rsidR="007C4598" w:rsidRDefault="007C4598"/>
    <w:p w14:paraId="42510EAB" w14:textId="77777777" w:rsidR="007C4598" w:rsidRDefault="00000000">
      <w:pPr>
        <w:jc w:val="both"/>
      </w:pPr>
      <w:r>
        <w:rPr>
          <w:b/>
          <w:bCs/>
        </w:rPr>
        <w:t xml:space="preserve">Fonte:  </w:t>
      </w:r>
      <w:r>
        <w:t>https://doi.org/10.1136/bmjopen-2016-013384</w:t>
      </w:r>
    </w:p>
    <w:p w14:paraId="3AAC83F9" w14:textId="77777777" w:rsidR="007C4598" w:rsidRDefault="007C4598"/>
    <w:p w14:paraId="074FB6BC" w14:textId="77777777" w:rsidR="007C4598" w:rsidRDefault="00000000">
      <w:pPr>
        <w:jc w:val="both"/>
      </w:pPr>
      <w:r>
        <w:rPr>
          <w:b/>
          <w:bCs/>
        </w:rPr>
        <w:t xml:space="preserve">Sintesi:  </w:t>
      </w:r>
      <w:r>
        <w:rPr>
          <w:i/>
          <w:iCs/>
        </w:rPr>
        <w:t>Revisione sistematica sulla prescrizione sociale. Riconosce il potenziale degli interventi sociali ma ne segnala la qualità dell’evidenza ancora limitata: fonda la proiezione prudenziale dei ritorni del livello sociale.</w:t>
      </w:r>
    </w:p>
    <w:p w14:paraId="18220485" w14:textId="77777777" w:rsidR="007C4598" w:rsidRDefault="007C4598"/>
    <w:p w14:paraId="6C141AF6" w14:textId="77777777" w:rsidR="007C4598" w:rsidRDefault="00000000">
      <w:pPr>
        <w:jc w:val="both"/>
      </w:pPr>
      <w:r>
        <w:rPr>
          <w:b/>
          <w:bCs/>
        </w:rPr>
        <w:t xml:space="preserve">27.  </w:t>
      </w:r>
      <w:r>
        <w:t>Decreto legislativo 3 ottobre 2009, n. 153, sulla farmacia dei servizi nel Servizio sanitario nazionale.</w:t>
      </w:r>
    </w:p>
    <w:p w14:paraId="5A5B357E" w14:textId="77777777" w:rsidR="007C4598" w:rsidRDefault="007C4598"/>
    <w:p w14:paraId="782012CA" w14:textId="77777777" w:rsidR="007C4598" w:rsidRDefault="00000000">
      <w:pPr>
        <w:jc w:val="both"/>
      </w:pPr>
      <w:r>
        <w:rPr>
          <w:b/>
          <w:bCs/>
        </w:rPr>
        <w:t xml:space="preserve">Fonte:  </w:t>
      </w:r>
      <w:r>
        <w:t>https://www.normattiva.it</w:t>
      </w:r>
    </w:p>
    <w:p w14:paraId="017DBE6E" w14:textId="77777777" w:rsidR="007C4598" w:rsidRDefault="007C4598"/>
    <w:p w14:paraId="4FFF3CC7" w14:textId="77777777" w:rsidR="007C4598" w:rsidRDefault="00000000">
      <w:pPr>
        <w:jc w:val="both"/>
      </w:pPr>
      <w:r>
        <w:rPr>
          <w:b/>
          <w:bCs/>
        </w:rPr>
        <w:t xml:space="preserve">Sintesi:  </w:t>
      </w:r>
      <w:r>
        <w:rPr>
          <w:i/>
          <w:iCs/>
        </w:rPr>
        <w:t>Cornice normativa della farmacia dei servizi. Definisce l’evoluzione della funzione della farmacia territoriale, su cui poggia il ruolo del farmacista di comunità come moltiplicatore dell’appropriatezza farmaceutica.</w:t>
      </w:r>
    </w:p>
    <w:p w14:paraId="0DCB8EB1" w14:textId="77777777" w:rsidR="007C4598" w:rsidRDefault="007C4598"/>
    <w:p w14:paraId="552DC68F" w14:textId="77777777" w:rsidR="007C4598" w:rsidRDefault="00000000">
      <w:pPr>
        <w:jc w:val="both"/>
      </w:pPr>
      <w:r>
        <w:rPr>
          <w:b/>
          <w:bCs/>
        </w:rPr>
        <w:t xml:space="preserve">28.  </w:t>
      </w:r>
      <w:r>
        <w:t>Letteratura internazionale sul ruolo della farmacia di comunità nella salute mentale (rassegne sull’intercettazione e sull’uso appropriato dei medicinali).</w:t>
      </w:r>
    </w:p>
    <w:p w14:paraId="582746DF" w14:textId="77777777" w:rsidR="007C4598" w:rsidRDefault="007C4598"/>
    <w:p w14:paraId="75D6BA91" w14:textId="77777777" w:rsidR="007C4598" w:rsidRDefault="00000000">
      <w:pPr>
        <w:jc w:val="both"/>
      </w:pPr>
      <w:r>
        <w:rPr>
          <w:b/>
          <w:bCs/>
        </w:rPr>
        <w:t xml:space="preserve">Fonte:  </w:t>
      </w:r>
      <w:r>
        <w:t>https://pubmed.ncbi.nlm.nih.gov — ricerca per tema</w:t>
      </w:r>
    </w:p>
    <w:p w14:paraId="49C0398C" w14:textId="77777777" w:rsidR="007C4598" w:rsidRDefault="007C4598"/>
    <w:p w14:paraId="6E6C86D9" w14:textId="77777777" w:rsidR="007C4598" w:rsidRDefault="00000000">
      <w:pPr>
        <w:jc w:val="both"/>
      </w:pPr>
      <w:r>
        <w:rPr>
          <w:b/>
          <w:bCs/>
        </w:rPr>
        <w:t xml:space="preserve">Sintesi:  </w:t>
      </w:r>
      <w:r>
        <w:rPr>
          <w:i/>
          <w:iCs/>
        </w:rPr>
        <w:t>Rassegne, di qualità eterogenea, sul contributo della farmacia di comunità all’intercettazione precoce e all’uso appropriato degli psicofarmaci. Sostengono il canale di rientro diretto del farmacista.</w:t>
      </w:r>
    </w:p>
    <w:p w14:paraId="547E2E9D" w14:textId="77777777" w:rsidR="007C4598" w:rsidRDefault="007C4598"/>
    <w:p w14:paraId="07CF1993" w14:textId="77777777" w:rsidR="007C4598" w:rsidRDefault="00000000">
      <w:pPr>
        <w:jc w:val="both"/>
      </w:pPr>
      <w:r>
        <w:rPr>
          <w:b/>
          <w:bCs/>
        </w:rPr>
        <w:t xml:space="preserve">29.  </w:t>
      </w:r>
      <w:r>
        <w:t xml:space="preserve">ISTAT ed </w:t>
      </w:r>
      <w:proofErr w:type="spellStart"/>
      <w:r>
        <w:t>Eurostat</w:t>
      </w:r>
      <w:proofErr w:type="spellEnd"/>
      <w:r>
        <w:t>, indicatori sull’uscita precoce dal sistema di istruzione e formazione (</w:t>
      </w:r>
      <w:proofErr w:type="spellStart"/>
      <w:r>
        <w:t>early</w:t>
      </w:r>
      <w:proofErr w:type="spellEnd"/>
      <w:r>
        <w:t xml:space="preserve"> </w:t>
      </w:r>
      <w:proofErr w:type="spellStart"/>
      <w:r>
        <w:t>leavers</w:t>
      </w:r>
      <w:proofErr w:type="spellEnd"/>
      <w:r>
        <w:t xml:space="preserve"> from </w:t>
      </w:r>
      <w:proofErr w:type="spellStart"/>
      <w:r>
        <w:t>education</w:t>
      </w:r>
      <w:proofErr w:type="spellEnd"/>
      <w:r>
        <w:t xml:space="preserve"> and training).</w:t>
      </w:r>
    </w:p>
    <w:p w14:paraId="2F14DC64" w14:textId="77777777" w:rsidR="007C4598" w:rsidRDefault="007C4598"/>
    <w:p w14:paraId="4E57C6D0" w14:textId="77777777" w:rsidR="007C4598" w:rsidRDefault="00000000">
      <w:pPr>
        <w:jc w:val="both"/>
      </w:pPr>
      <w:r>
        <w:rPr>
          <w:b/>
          <w:bCs/>
        </w:rPr>
        <w:t xml:space="preserve">Fonte:  </w:t>
      </w:r>
      <w:r>
        <w:t xml:space="preserve">http://dati.istat.it — </w:t>
      </w:r>
      <w:proofErr w:type="spellStart"/>
      <w:r>
        <w:t>ec.europa.eu</w:t>
      </w:r>
      <w:proofErr w:type="spellEnd"/>
      <w:r>
        <w:t>/</w:t>
      </w:r>
      <w:proofErr w:type="spellStart"/>
      <w:r>
        <w:t>eurostat</w:t>
      </w:r>
      <w:proofErr w:type="spellEnd"/>
    </w:p>
    <w:p w14:paraId="1872F547" w14:textId="77777777" w:rsidR="007C4598" w:rsidRDefault="007C4598"/>
    <w:p w14:paraId="0D3864DC" w14:textId="77777777" w:rsidR="007C4598" w:rsidRDefault="00000000">
      <w:pPr>
        <w:jc w:val="both"/>
      </w:pPr>
      <w:r>
        <w:rPr>
          <w:b/>
          <w:bCs/>
        </w:rPr>
        <w:t xml:space="preserve">Sintesi:  </w:t>
      </w:r>
      <w:r>
        <w:rPr>
          <w:i/>
          <w:iCs/>
        </w:rPr>
        <w:t>Fonti statistiche sulla dispersione scolastica. Documentano l’entità e il costo del fenomeno per il capitale umano, su cui agisce la funzione preventiva delle figure educative e scolastiche.</w:t>
      </w:r>
    </w:p>
    <w:p w14:paraId="47820B03" w14:textId="77777777" w:rsidR="007C4598" w:rsidRDefault="007C4598"/>
    <w:p w14:paraId="62ED49AE" w14:textId="77777777" w:rsidR="007C4598" w:rsidRDefault="00000000">
      <w:pPr>
        <w:jc w:val="both"/>
      </w:pPr>
      <w:r>
        <w:rPr>
          <w:b/>
          <w:bCs/>
        </w:rPr>
        <w:t xml:space="preserve">30.  </w:t>
      </w:r>
      <w:r>
        <w:t>Organizzazione Mondiale della Sanità e UNESCO, indirizzi sulla promozione della salute mentale nei contesti scolastici (</w:t>
      </w:r>
      <w:proofErr w:type="spellStart"/>
      <w:r>
        <w:t>Health</w:t>
      </w:r>
      <w:proofErr w:type="spellEnd"/>
      <w:r>
        <w:t xml:space="preserve"> </w:t>
      </w:r>
      <w:proofErr w:type="spellStart"/>
      <w:r>
        <w:t>Promoting</w:t>
      </w:r>
      <w:proofErr w:type="spellEnd"/>
      <w:r>
        <w:t xml:space="preserve"> Schools).</w:t>
      </w:r>
    </w:p>
    <w:p w14:paraId="44307F03" w14:textId="77777777" w:rsidR="007C4598" w:rsidRDefault="007C4598"/>
    <w:p w14:paraId="13857806" w14:textId="77777777" w:rsidR="007C4598" w:rsidRDefault="00000000">
      <w:pPr>
        <w:jc w:val="both"/>
      </w:pPr>
      <w:r>
        <w:rPr>
          <w:b/>
          <w:bCs/>
        </w:rPr>
        <w:t xml:space="preserve">Fonte:  </w:t>
      </w:r>
      <w:r>
        <w:t xml:space="preserve">https://www.who.int — iniziativa </w:t>
      </w:r>
      <w:proofErr w:type="spellStart"/>
      <w:r>
        <w:t>Making</w:t>
      </w:r>
      <w:proofErr w:type="spellEnd"/>
      <w:r>
        <w:t xml:space="preserve"> </w:t>
      </w:r>
      <w:proofErr w:type="spellStart"/>
      <w:r>
        <w:t>Every</w:t>
      </w:r>
      <w:proofErr w:type="spellEnd"/>
      <w:r>
        <w:t xml:space="preserve"> School </w:t>
      </w:r>
      <w:proofErr w:type="spellStart"/>
      <w:r>
        <w:t>Health-Promoting</w:t>
      </w:r>
      <w:proofErr w:type="spellEnd"/>
    </w:p>
    <w:p w14:paraId="025A412B" w14:textId="77777777" w:rsidR="007C4598" w:rsidRDefault="007C4598"/>
    <w:p w14:paraId="5B82D0EE" w14:textId="77777777" w:rsidR="007C4598" w:rsidRDefault="00000000">
      <w:pPr>
        <w:jc w:val="both"/>
      </w:pPr>
      <w:r>
        <w:rPr>
          <w:b/>
          <w:bCs/>
        </w:rPr>
        <w:t xml:space="preserve">Sintesi:  </w:t>
      </w:r>
      <w:r>
        <w:rPr>
          <w:i/>
          <w:iCs/>
        </w:rPr>
        <w:t>Indirizzi internazionali sulla promozione della salute mentale nella scuola. Raccomandano l’intervento scolastico come strategia di prevenzione, con evidenza da moderata a bassa secondo gli esiti.</w:t>
      </w:r>
    </w:p>
    <w:p w14:paraId="44963126" w14:textId="77777777" w:rsidR="007C4598" w:rsidRDefault="007C4598"/>
    <w:p w14:paraId="50E864DB" w14:textId="77777777" w:rsidR="007C4598" w:rsidRDefault="00000000">
      <w:pPr>
        <w:jc w:val="both"/>
      </w:pPr>
      <w:r>
        <w:rPr>
          <w:b/>
          <w:bCs/>
        </w:rPr>
        <w:t xml:space="preserve">31.  </w:t>
      </w:r>
      <w:r>
        <w:t>Istituto Nazionale della Previdenza Sociale (INPS), Osservatorio sulle prestazioni di invalidità e inabilità.</w:t>
      </w:r>
    </w:p>
    <w:p w14:paraId="7E720E88" w14:textId="77777777" w:rsidR="007C4598" w:rsidRDefault="007C4598"/>
    <w:p w14:paraId="78A46399" w14:textId="77777777" w:rsidR="007C4598" w:rsidRDefault="00000000">
      <w:pPr>
        <w:jc w:val="both"/>
      </w:pPr>
      <w:r>
        <w:rPr>
          <w:b/>
          <w:bCs/>
        </w:rPr>
        <w:t xml:space="preserve">Fonte:  </w:t>
      </w:r>
      <w:r>
        <w:t>https://www.inps.it — Osservatori statistici</w:t>
      </w:r>
    </w:p>
    <w:p w14:paraId="558DEFDF" w14:textId="77777777" w:rsidR="007C4598" w:rsidRDefault="007C4598"/>
    <w:p w14:paraId="413831A0" w14:textId="77777777" w:rsidR="007C4598" w:rsidRDefault="00000000">
      <w:pPr>
        <w:jc w:val="both"/>
      </w:pPr>
      <w:r>
        <w:rPr>
          <w:b/>
          <w:bCs/>
        </w:rPr>
        <w:t xml:space="preserve">Sintesi:  </w:t>
      </w:r>
      <w:r>
        <w:rPr>
          <w:i/>
          <w:iCs/>
        </w:rPr>
        <w:t>Fonte sulle prestazioni di invalidità e inabilità. Documenta l’incidenza delle prestazioni riconosciute per cause psichiche, su cui la riforma agisce per via di riduzione nel dominio previdenziale.</w:t>
      </w:r>
    </w:p>
    <w:p w14:paraId="23D4AB62" w14:textId="77777777" w:rsidR="007C4598" w:rsidRDefault="007C4598"/>
    <w:p w14:paraId="30BF836D" w14:textId="77777777" w:rsidR="007C4598" w:rsidRDefault="00000000">
      <w:pPr>
        <w:jc w:val="both"/>
      </w:pPr>
      <w:r>
        <w:rPr>
          <w:b/>
          <w:bCs/>
        </w:rPr>
        <w:t xml:space="preserve">32.  </w:t>
      </w:r>
      <w:r>
        <w:t>Decreto legislativo 9 aprile 2008, n. 81, in materia di tutela della salute e sicurezza nei luoghi di lavoro, con riguardo alla valutazione del rischio da stress lavoro-correlato.</w:t>
      </w:r>
    </w:p>
    <w:p w14:paraId="3E21C89C" w14:textId="77777777" w:rsidR="007C4598" w:rsidRDefault="007C4598"/>
    <w:p w14:paraId="3119E49C" w14:textId="77777777" w:rsidR="007C4598" w:rsidRDefault="00000000">
      <w:pPr>
        <w:jc w:val="both"/>
      </w:pPr>
      <w:r>
        <w:rPr>
          <w:b/>
          <w:bCs/>
        </w:rPr>
        <w:t xml:space="preserve">Fonte:  </w:t>
      </w:r>
      <w:r>
        <w:t xml:space="preserve">https://www.normattiva.it — risorse INAIL su </w:t>
      </w:r>
      <w:proofErr w:type="spellStart"/>
      <w:r>
        <w:t>www.inail.it</w:t>
      </w:r>
      <w:proofErr w:type="spellEnd"/>
    </w:p>
    <w:p w14:paraId="496409A4" w14:textId="77777777" w:rsidR="007C4598" w:rsidRDefault="007C4598"/>
    <w:p w14:paraId="1DD2B1AC" w14:textId="77777777" w:rsidR="007C4598" w:rsidRDefault="00000000">
      <w:pPr>
        <w:jc w:val="both"/>
      </w:pPr>
      <w:r>
        <w:rPr>
          <w:b/>
          <w:bCs/>
        </w:rPr>
        <w:t xml:space="preserve">Sintesi:  </w:t>
      </w:r>
      <w:r>
        <w:rPr>
          <w:i/>
          <w:iCs/>
        </w:rPr>
        <w:t>Cornice normativa del rischio psicosociale nei luoghi di lavoro. Riconduce alla valutazione obbligatoria del datore di lavoro lo stress lavoro-correlato, su cui incide l’azione della riforma nel dominio lavorativo.</w:t>
      </w:r>
    </w:p>
    <w:p w14:paraId="36F6C5D6" w14:textId="77777777" w:rsidR="007C4598" w:rsidRDefault="007C4598"/>
    <w:p w14:paraId="34107EFB" w14:textId="77777777" w:rsidR="007C4598" w:rsidRDefault="00000000">
      <w:pPr>
        <w:jc w:val="both"/>
      </w:pPr>
      <w:r>
        <w:rPr>
          <w:b/>
          <w:bCs/>
        </w:rPr>
        <w:t xml:space="preserve">33.  </w:t>
      </w:r>
      <w:r>
        <w:t xml:space="preserve">OCSE e Unione Europea, </w:t>
      </w:r>
      <w:proofErr w:type="spellStart"/>
      <w:r>
        <w:t>Health</w:t>
      </w:r>
      <w:proofErr w:type="spellEnd"/>
      <w:r>
        <w:t xml:space="preserve"> </w:t>
      </w:r>
      <w:proofErr w:type="spellStart"/>
      <w:r>
        <w:t>at</w:t>
      </w:r>
      <w:proofErr w:type="spellEnd"/>
      <w:r>
        <w:t xml:space="preserve"> a </w:t>
      </w:r>
      <w:proofErr w:type="spellStart"/>
      <w:r>
        <w:t>Glance</w:t>
      </w:r>
      <w:proofErr w:type="spellEnd"/>
      <w:r>
        <w:t>: Europe, capitolo sulla promozione della salute mentale, con la stima del costo complessivo della cattiva salute mentale.</w:t>
      </w:r>
    </w:p>
    <w:p w14:paraId="77E42DA9" w14:textId="77777777" w:rsidR="007C4598" w:rsidRDefault="007C4598"/>
    <w:p w14:paraId="07B89B5E" w14:textId="77777777" w:rsidR="007C4598" w:rsidRDefault="00000000">
      <w:pPr>
        <w:jc w:val="both"/>
      </w:pPr>
      <w:r>
        <w:rPr>
          <w:b/>
          <w:bCs/>
        </w:rPr>
        <w:t xml:space="preserve">Fonte:  </w:t>
      </w:r>
      <w:r>
        <w:t>https://www.oecd.org — https://doi.org/10.1787/health_glance_eur</w:t>
      </w:r>
    </w:p>
    <w:p w14:paraId="502D1913" w14:textId="77777777" w:rsidR="007C4598" w:rsidRDefault="007C4598"/>
    <w:p w14:paraId="6D27C305" w14:textId="77777777" w:rsidR="007C4598" w:rsidRDefault="00000000">
      <w:pPr>
        <w:jc w:val="both"/>
      </w:pPr>
      <w:r>
        <w:rPr>
          <w:b/>
          <w:bCs/>
        </w:rPr>
        <w:t xml:space="preserve">Sintesi:  </w:t>
      </w:r>
      <w:r>
        <w:rPr>
          <w:i/>
          <w:iCs/>
        </w:rPr>
        <w:t>Fonte economica internazionale. Stima il costo complessivo della cattiva salute mentale come quota significativa del prodotto, fondando la portata dei benefici indiretti nei domini produttivistico e industriale.</w:t>
      </w:r>
    </w:p>
    <w:p w14:paraId="29717DD8" w14:textId="77777777" w:rsidR="007C4598" w:rsidRDefault="007C4598"/>
    <w:p w14:paraId="01F59805" w14:textId="77777777" w:rsidR="007C4598" w:rsidRDefault="00000000">
      <w:pPr>
        <w:jc w:val="both"/>
      </w:pPr>
      <w:r>
        <w:rPr>
          <w:b/>
          <w:bCs/>
        </w:rPr>
        <w:t>Fine della Parte III</w:t>
      </w:r>
    </w:p>
    <w:p w14:paraId="45D5B568" w14:textId="77777777" w:rsidR="007C4598" w:rsidRDefault="007C4598"/>
    <w:p w14:paraId="329D3C76" w14:textId="77777777" w:rsidR="007C4598" w:rsidRDefault="00000000">
      <w:pPr>
        <w:jc w:val="both"/>
      </w:pPr>
      <w:r>
        <w:rPr>
          <w:i/>
          <w:iCs/>
        </w:rPr>
        <w:t>L’opera prosegue con la Parte IV — Il modello organizzativo integrato e le leve abilitanti.</w:t>
      </w:r>
    </w:p>
    <w:p w14:paraId="55255801" w14:textId="77777777" w:rsidR="007C4598" w:rsidRDefault="007C4598"/>
    <w:p w14:paraId="14ADEFBD" w14:textId="77777777" w:rsidR="007C4598" w:rsidRDefault="00000000">
      <w:pPr>
        <w:jc w:val="both"/>
      </w:pPr>
      <w:r>
        <w:t>—  —</w:t>
      </w:r>
    </w:p>
    <w:p w14:paraId="6FD2E32C" w14:textId="77777777" w:rsidR="007C4598" w:rsidRDefault="007C4598"/>
    <w:p w14:paraId="08621410" w14:textId="77777777" w:rsidR="007C4598" w:rsidRDefault="00000000">
      <w:pPr>
        <w:jc w:val="both"/>
      </w:pPr>
      <w:r>
        <w:rPr>
          <w:color w:val="555555"/>
          <w:sz w:val="16"/>
          <w:szCs w:val="16"/>
          <w:vertAlign w:val="superscript"/>
        </w:rPr>
        <w:t>[1]</w:t>
      </w:r>
      <w:r>
        <w:t xml:space="preserve">: </w:t>
      </w:r>
      <w:proofErr w:type="spellStart"/>
      <w:r>
        <w:t>Chisholm</w:t>
      </w:r>
      <w:proofErr w:type="spellEnd"/>
      <w:r>
        <w:t xml:space="preserve"> D., </w:t>
      </w:r>
      <w:proofErr w:type="spellStart"/>
      <w:r>
        <w:t>Sweeny</w:t>
      </w:r>
      <w:proofErr w:type="spellEnd"/>
      <w:r>
        <w:t xml:space="preserve"> K., </w:t>
      </w:r>
      <w:proofErr w:type="spellStart"/>
      <w:r>
        <w:t>Sheehan</w:t>
      </w:r>
      <w:proofErr w:type="spellEnd"/>
      <w:r>
        <w:t xml:space="preserve"> P. et al., «</w:t>
      </w:r>
      <w:proofErr w:type="spellStart"/>
      <w:r>
        <w:t>Scaling</w:t>
      </w:r>
      <w:proofErr w:type="spellEnd"/>
      <w:r>
        <w:t xml:space="preserve">-up treatment of </w:t>
      </w:r>
      <w:proofErr w:type="spellStart"/>
      <w:r>
        <w:t>depression</w:t>
      </w:r>
      <w:proofErr w:type="spellEnd"/>
      <w:r>
        <w:t xml:space="preserve"> and </w:t>
      </w:r>
      <w:proofErr w:type="spellStart"/>
      <w:r>
        <w:t>anxiety</w:t>
      </w:r>
      <w:proofErr w:type="spellEnd"/>
      <w:r>
        <w:t xml:space="preserve">: a global </w:t>
      </w:r>
      <w:proofErr w:type="spellStart"/>
      <w:r>
        <w:t>return</w:t>
      </w:r>
      <w:proofErr w:type="spellEnd"/>
      <w:r>
        <w:t xml:space="preserve"> on </w:t>
      </w:r>
      <w:proofErr w:type="spellStart"/>
      <w:r>
        <w:t>investment</w:t>
      </w:r>
      <w:proofErr w:type="spellEnd"/>
      <w:r>
        <w:t xml:space="preserve"> </w:t>
      </w:r>
      <w:proofErr w:type="spellStart"/>
      <w:r>
        <w:t>analysis</w:t>
      </w:r>
      <w:proofErr w:type="spellEnd"/>
      <w:r>
        <w:t xml:space="preserve">», The Lancet </w:t>
      </w:r>
      <w:proofErr w:type="spellStart"/>
      <w:r>
        <w:t>Psychiatry</w:t>
      </w:r>
      <w:proofErr w:type="spellEnd"/>
      <w:r>
        <w:t>, vol. 3, 2016, pp. 415–424.</w:t>
      </w:r>
    </w:p>
    <w:p w14:paraId="35A84DB4" w14:textId="77777777" w:rsidR="007C4598" w:rsidRDefault="00000000">
      <w:pPr>
        <w:jc w:val="both"/>
      </w:pPr>
      <w:r>
        <w:rPr>
          <w:color w:val="555555"/>
          <w:sz w:val="16"/>
          <w:szCs w:val="16"/>
          <w:vertAlign w:val="superscript"/>
        </w:rPr>
        <w:t>[2]</w:t>
      </w:r>
      <w:r>
        <w:t>: Sul mancato raggiungimento della significatività statistica dei risparmi sanitari diretti, isolatamente considerati, nell’analisi di lungo periodo dello studio IMPACT, si veda infra, nota 5.</w:t>
      </w:r>
    </w:p>
    <w:p w14:paraId="14B9CC75" w14:textId="77777777" w:rsidR="007C4598" w:rsidRDefault="00000000">
      <w:pPr>
        <w:jc w:val="both"/>
      </w:pPr>
      <w:r>
        <w:rPr>
          <w:color w:val="555555"/>
          <w:sz w:val="16"/>
          <w:szCs w:val="16"/>
          <w:vertAlign w:val="superscript"/>
        </w:rPr>
        <w:t>[3]</w:t>
      </w:r>
      <w:r>
        <w:t>: Regione Puglia, Legge regionale 8 marzo 2023, n. 11, recante l’istituzione del Servizio di Psicologia di Base nel Servizio sanitario regionale.</w:t>
      </w:r>
    </w:p>
    <w:p w14:paraId="36E564B8" w14:textId="77777777" w:rsidR="007C4598" w:rsidRDefault="00000000">
      <w:pPr>
        <w:jc w:val="both"/>
      </w:pPr>
      <w:r>
        <w:rPr>
          <w:color w:val="555555"/>
          <w:sz w:val="16"/>
          <w:szCs w:val="16"/>
          <w:vertAlign w:val="superscript"/>
        </w:rPr>
        <w:t>[4]</w:t>
      </w:r>
      <w:r>
        <w:t xml:space="preserve">: </w:t>
      </w:r>
      <w:proofErr w:type="spellStart"/>
      <w:r>
        <w:t>Unützer</w:t>
      </w:r>
      <w:proofErr w:type="spellEnd"/>
      <w:r>
        <w:t xml:space="preserve"> J., </w:t>
      </w:r>
      <w:proofErr w:type="spellStart"/>
      <w:r>
        <w:t>Katon</w:t>
      </w:r>
      <w:proofErr w:type="spellEnd"/>
      <w:r>
        <w:t xml:space="preserve"> W., </w:t>
      </w:r>
      <w:proofErr w:type="spellStart"/>
      <w:r>
        <w:t>Callahan</w:t>
      </w:r>
      <w:proofErr w:type="spellEnd"/>
      <w:r>
        <w:t xml:space="preserve"> C. M. et al., «Collaborative care management of late-life </w:t>
      </w:r>
      <w:proofErr w:type="spellStart"/>
      <w:r>
        <w:t>depression</w:t>
      </w:r>
      <w:proofErr w:type="spellEnd"/>
      <w:r>
        <w:t xml:space="preserve"> in the </w:t>
      </w:r>
      <w:proofErr w:type="spellStart"/>
      <w:r>
        <w:t>primary</w:t>
      </w:r>
      <w:proofErr w:type="spellEnd"/>
      <w:r>
        <w:t xml:space="preserve"> care </w:t>
      </w:r>
      <w:proofErr w:type="spellStart"/>
      <w:r>
        <w:t>setting</w:t>
      </w:r>
      <w:proofErr w:type="spellEnd"/>
      <w:r>
        <w:t>» (studio IMPACT), JAMA, vol. 288, 2002, pp. 2836–2845.</w:t>
      </w:r>
    </w:p>
    <w:p w14:paraId="1955B3DF" w14:textId="77777777" w:rsidR="007C4598" w:rsidRDefault="00000000">
      <w:pPr>
        <w:jc w:val="both"/>
      </w:pPr>
      <w:r>
        <w:rPr>
          <w:color w:val="555555"/>
          <w:sz w:val="16"/>
          <w:szCs w:val="16"/>
          <w:vertAlign w:val="superscript"/>
        </w:rPr>
        <w:t>[6]</w:t>
      </w:r>
      <w:r>
        <w:t xml:space="preserve">: </w:t>
      </w:r>
      <w:proofErr w:type="spellStart"/>
      <w:r>
        <w:t>Archer</w:t>
      </w:r>
      <w:proofErr w:type="spellEnd"/>
      <w:r>
        <w:t xml:space="preserve"> J., </w:t>
      </w:r>
      <w:proofErr w:type="spellStart"/>
      <w:r>
        <w:t>Bower</w:t>
      </w:r>
      <w:proofErr w:type="spellEnd"/>
      <w:r>
        <w:t xml:space="preserve"> P., </w:t>
      </w:r>
      <w:proofErr w:type="spellStart"/>
      <w:r>
        <w:t>Gilbody</w:t>
      </w:r>
      <w:proofErr w:type="spellEnd"/>
      <w:r>
        <w:t xml:space="preserve"> S. et al., «Collaborative care for </w:t>
      </w:r>
      <w:proofErr w:type="spellStart"/>
      <w:r>
        <w:t>depression</w:t>
      </w:r>
      <w:proofErr w:type="spellEnd"/>
      <w:r>
        <w:t xml:space="preserve"> and </w:t>
      </w:r>
      <w:proofErr w:type="spellStart"/>
      <w:r>
        <w:t>anxiety</w:t>
      </w:r>
      <w:proofErr w:type="spellEnd"/>
      <w:r>
        <w:t xml:space="preserve"> </w:t>
      </w:r>
      <w:proofErr w:type="spellStart"/>
      <w:r>
        <w:t>problems</w:t>
      </w:r>
      <w:proofErr w:type="spellEnd"/>
      <w:r>
        <w:t xml:space="preserve">», </w:t>
      </w:r>
      <w:proofErr w:type="spellStart"/>
      <w:r>
        <w:t>Cochrane</w:t>
      </w:r>
      <w:proofErr w:type="spellEnd"/>
      <w:r>
        <w:t xml:space="preserve"> Database of </w:t>
      </w:r>
      <w:proofErr w:type="spellStart"/>
      <w:r>
        <w:t>Systematic</w:t>
      </w:r>
      <w:proofErr w:type="spellEnd"/>
      <w:r>
        <w:t xml:space="preserve"> </w:t>
      </w:r>
      <w:proofErr w:type="spellStart"/>
      <w:r>
        <w:t>Reviews</w:t>
      </w:r>
      <w:proofErr w:type="spellEnd"/>
      <w:r>
        <w:t>, 2012.</w:t>
      </w:r>
    </w:p>
    <w:p w14:paraId="07E2415D" w14:textId="77777777" w:rsidR="007C4598" w:rsidRDefault="00000000">
      <w:pPr>
        <w:jc w:val="both"/>
      </w:pPr>
      <w:r>
        <w:rPr>
          <w:color w:val="555555"/>
          <w:sz w:val="16"/>
          <w:szCs w:val="16"/>
          <w:vertAlign w:val="superscript"/>
        </w:rPr>
        <w:t>[5]</w:t>
      </w:r>
      <w:r>
        <w:t xml:space="preserve">: </w:t>
      </w:r>
      <w:proofErr w:type="spellStart"/>
      <w:r>
        <w:t>Katon</w:t>
      </w:r>
      <w:proofErr w:type="spellEnd"/>
      <w:r>
        <w:t xml:space="preserve"> W., </w:t>
      </w:r>
      <w:proofErr w:type="spellStart"/>
      <w:r>
        <w:t>Unützer</w:t>
      </w:r>
      <w:proofErr w:type="spellEnd"/>
      <w:r>
        <w:t xml:space="preserve"> J., Fan M.-Y. et al., analisi di costo-efficacia e beneficio netto dello studio IMPACT (2005), che documenta la non significatività statistica dei risparmi sanitari diretti isolatamente considerati nel medio periodo.</w:t>
      </w:r>
    </w:p>
    <w:p w14:paraId="0DF24DFA" w14:textId="77777777" w:rsidR="007C4598" w:rsidRDefault="00000000">
      <w:pPr>
        <w:jc w:val="both"/>
      </w:pPr>
      <w:r>
        <w:rPr>
          <w:color w:val="555555"/>
          <w:sz w:val="16"/>
          <w:szCs w:val="16"/>
          <w:vertAlign w:val="superscript"/>
        </w:rPr>
        <w:t>[8]</w:t>
      </w:r>
      <w:r>
        <w:t>: ISTAT, Censimento permanente della popolazione e indicatori demografici, Regione Puglia, 2024.</w:t>
      </w:r>
    </w:p>
    <w:p w14:paraId="23A62459" w14:textId="77777777" w:rsidR="007C4598" w:rsidRDefault="00000000">
      <w:pPr>
        <w:jc w:val="both"/>
      </w:pPr>
      <w:r>
        <w:rPr>
          <w:color w:val="555555"/>
          <w:sz w:val="16"/>
          <w:szCs w:val="16"/>
          <w:vertAlign w:val="superscript"/>
        </w:rPr>
        <w:t>[7]</w:t>
      </w:r>
      <w:r>
        <w:t xml:space="preserve">: Organizzazione Mondiale della Sanità, World </w:t>
      </w:r>
      <w:proofErr w:type="spellStart"/>
      <w:r>
        <w:t>Mental</w:t>
      </w:r>
      <w:proofErr w:type="spellEnd"/>
      <w:r>
        <w:t xml:space="preserve"> </w:t>
      </w:r>
      <w:proofErr w:type="spellStart"/>
      <w:r>
        <w:t>Health</w:t>
      </w:r>
      <w:proofErr w:type="spellEnd"/>
      <w:r>
        <w:t xml:space="preserve"> Report: </w:t>
      </w:r>
      <w:proofErr w:type="spellStart"/>
      <w:r>
        <w:t>Transforming</w:t>
      </w:r>
      <w:proofErr w:type="spellEnd"/>
      <w:r>
        <w:t xml:space="preserve"> </w:t>
      </w:r>
      <w:proofErr w:type="spellStart"/>
      <w:r>
        <w:t>Mental</w:t>
      </w:r>
      <w:proofErr w:type="spellEnd"/>
      <w:r>
        <w:t xml:space="preserve"> </w:t>
      </w:r>
      <w:proofErr w:type="spellStart"/>
      <w:r>
        <w:t>Health</w:t>
      </w:r>
      <w:proofErr w:type="spellEnd"/>
      <w:r>
        <w:t xml:space="preserve"> for </w:t>
      </w:r>
      <w:proofErr w:type="spellStart"/>
      <w:r>
        <w:t>All</w:t>
      </w:r>
      <w:proofErr w:type="spellEnd"/>
      <w:r>
        <w:t>, Ginevra, 2022.</w:t>
      </w:r>
    </w:p>
    <w:p w14:paraId="37CD2A79" w14:textId="77777777" w:rsidR="007C4598" w:rsidRDefault="00000000">
      <w:pPr>
        <w:jc w:val="both"/>
      </w:pPr>
      <w:r>
        <w:rPr>
          <w:color w:val="555555"/>
          <w:sz w:val="16"/>
          <w:szCs w:val="16"/>
          <w:vertAlign w:val="superscript"/>
        </w:rPr>
        <w:t>[9]</w:t>
      </w:r>
      <w:r>
        <w:t>: Unione Europea, Regolamento (UE) 2024/1689 sull’intelligenza artificiale, in particolare per i sistemi a uso sanitario.</w:t>
      </w:r>
    </w:p>
    <w:p w14:paraId="54E32A04" w14:textId="77777777" w:rsidR="007C4598" w:rsidRDefault="00000000">
      <w:pPr>
        <w:jc w:val="both"/>
      </w:pPr>
      <w:r>
        <w:rPr>
          <w:color w:val="555555"/>
          <w:sz w:val="16"/>
          <w:szCs w:val="16"/>
          <w:vertAlign w:val="superscript"/>
        </w:rPr>
        <w:t>[10]</w:t>
      </w:r>
      <w:r>
        <w:t xml:space="preserve">: </w:t>
      </w:r>
      <w:proofErr w:type="spellStart"/>
      <w:r>
        <w:t>Bower</w:t>
      </w:r>
      <w:proofErr w:type="spellEnd"/>
      <w:r>
        <w:t xml:space="preserve"> P., </w:t>
      </w:r>
      <w:proofErr w:type="spellStart"/>
      <w:r>
        <w:t>Gilbody</w:t>
      </w:r>
      <w:proofErr w:type="spellEnd"/>
      <w:r>
        <w:t xml:space="preserve"> S., «</w:t>
      </w:r>
      <w:proofErr w:type="spellStart"/>
      <w:r>
        <w:t>Stepped</w:t>
      </w:r>
      <w:proofErr w:type="spellEnd"/>
      <w:r>
        <w:t xml:space="preserve"> care in </w:t>
      </w:r>
      <w:proofErr w:type="spellStart"/>
      <w:r>
        <w:t>psychological</w:t>
      </w:r>
      <w:proofErr w:type="spellEnd"/>
      <w:r>
        <w:t xml:space="preserve"> </w:t>
      </w:r>
      <w:proofErr w:type="spellStart"/>
      <w:r>
        <w:t>therapies</w:t>
      </w:r>
      <w:proofErr w:type="spellEnd"/>
      <w:r>
        <w:t xml:space="preserve">: </w:t>
      </w:r>
      <w:proofErr w:type="spellStart"/>
      <w:r>
        <w:t>access</w:t>
      </w:r>
      <w:proofErr w:type="spellEnd"/>
      <w:r>
        <w:t xml:space="preserve">, </w:t>
      </w:r>
      <w:proofErr w:type="spellStart"/>
      <w:r>
        <w:t>effectiveness</w:t>
      </w:r>
      <w:proofErr w:type="spellEnd"/>
      <w:r>
        <w:t xml:space="preserve"> and </w:t>
      </w:r>
      <w:proofErr w:type="spellStart"/>
      <w:r>
        <w:t>efficiency</w:t>
      </w:r>
      <w:proofErr w:type="spellEnd"/>
      <w:r>
        <w:t xml:space="preserve">», The </w:t>
      </w:r>
      <w:proofErr w:type="spellStart"/>
      <w:r>
        <w:t>British</w:t>
      </w:r>
      <w:proofErr w:type="spellEnd"/>
      <w:r>
        <w:t xml:space="preserve"> Journal of </w:t>
      </w:r>
      <w:proofErr w:type="spellStart"/>
      <w:r>
        <w:t>Psychiatry</w:t>
      </w:r>
      <w:proofErr w:type="spellEnd"/>
      <w:r>
        <w:t>, vol. 186, 2005, pp. 11–17.</w:t>
      </w:r>
    </w:p>
    <w:p w14:paraId="29CFAEED" w14:textId="77777777" w:rsidR="007C4598" w:rsidRDefault="00000000">
      <w:pPr>
        <w:jc w:val="both"/>
      </w:pPr>
      <w:r>
        <w:rPr>
          <w:color w:val="555555"/>
          <w:sz w:val="16"/>
          <w:szCs w:val="16"/>
          <w:vertAlign w:val="superscript"/>
        </w:rPr>
        <w:t>[12]</w:t>
      </w:r>
      <w:r>
        <w:t xml:space="preserve">: Agenzia Italiana del Farmaco (AIFA), Rapporto </w:t>
      </w:r>
      <w:proofErr w:type="spellStart"/>
      <w:r>
        <w:t>OsMed</w:t>
      </w:r>
      <w:proofErr w:type="spellEnd"/>
      <w:r>
        <w:t xml:space="preserve"> sull’uso dei farmaci in Italia, sezioni relative al consumo e all’appropriatezza degli psicofarmaci, con particolare riguardo alle benzodiazepine.</w:t>
      </w:r>
    </w:p>
    <w:p w14:paraId="1F767AEA" w14:textId="77777777" w:rsidR="007C4598" w:rsidRDefault="00000000">
      <w:pPr>
        <w:jc w:val="both"/>
      </w:pPr>
      <w:r>
        <w:rPr>
          <w:color w:val="555555"/>
          <w:sz w:val="16"/>
          <w:szCs w:val="16"/>
          <w:vertAlign w:val="superscript"/>
        </w:rPr>
        <w:t>[11]</w:t>
      </w:r>
      <w:r>
        <w:t>: Clark D. M., «</w:t>
      </w:r>
      <w:proofErr w:type="spellStart"/>
      <w:r>
        <w:t>Realizing</w:t>
      </w:r>
      <w:proofErr w:type="spellEnd"/>
      <w:r>
        <w:t xml:space="preserve"> the mass public benefit of </w:t>
      </w:r>
      <w:proofErr w:type="spellStart"/>
      <w:r>
        <w:t>evidence-based</w:t>
      </w:r>
      <w:proofErr w:type="spellEnd"/>
      <w:r>
        <w:t xml:space="preserve"> </w:t>
      </w:r>
      <w:proofErr w:type="spellStart"/>
      <w:r>
        <w:t>psychological</w:t>
      </w:r>
      <w:proofErr w:type="spellEnd"/>
      <w:r>
        <w:t xml:space="preserve"> </w:t>
      </w:r>
      <w:proofErr w:type="spellStart"/>
      <w:r>
        <w:t>therapies</w:t>
      </w:r>
      <w:proofErr w:type="spellEnd"/>
      <w:r>
        <w:t xml:space="preserve">: the IAPT </w:t>
      </w:r>
      <w:proofErr w:type="spellStart"/>
      <w:r>
        <w:t>program</w:t>
      </w:r>
      <w:proofErr w:type="spellEnd"/>
      <w:r>
        <w:t xml:space="preserve">», </w:t>
      </w:r>
      <w:proofErr w:type="spellStart"/>
      <w:r>
        <w:t>Annual</w:t>
      </w:r>
      <w:proofErr w:type="spellEnd"/>
      <w:r>
        <w:t xml:space="preserve"> </w:t>
      </w:r>
      <w:proofErr w:type="spellStart"/>
      <w:r>
        <w:t>Review</w:t>
      </w:r>
      <w:proofErr w:type="spellEnd"/>
      <w:r>
        <w:t xml:space="preserve"> of </w:t>
      </w:r>
      <w:proofErr w:type="spellStart"/>
      <w:r>
        <w:t>Clinical</w:t>
      </w:r>
      <w:proofErr w:type="spellEnd"/>
      <w:r>
        <w:t xml:space="preserve"> </w:t>
      </w:r>
      <w:proofErr w:type="spellStart"/>
      <w:r>
        <w:t>Psychology</w:t>
      </w:r>
      <w:proofErr w:type="spellEnd"/>
      <w:r>
        <w:t>, vol. 14, 2018, pp. 159–183.</w:t>
      </w:r>
    </w:p>
    <w:p w14:paraId="1F561B0E" w14:textId="77777777" w:rsidR="007C4598" w:rsidRDefault="00000000">
      <w:pPr>
        <w:jc w:val="both"/>
      </w:pPr>
      <w:r>
        <w:rPr>
          <w:color w:val="555555"/>
          <w:sz w:val="16"/>
          <w:szCs w:val="16"/>
          <w:vertAlign w:val="superscript"/>
        </w:rPr>
        <w:t>[13]</w:t>
      </w:r>
      <w:r>
        <w:t xml:space="preserve">: National </w:t>
      </w:r>
      <w:proofErr w:type="spellStart"/>
      <w:r>
        <w:t>Institute</w:t>
      </w:r>
      <w:proofErr w:type="spellEnd"/>
      <w:r>
        <w:t xml:space="preserve"> for </w:t>
      </w:r>
      <w:proofErr w:type="spellStart"/>
      <w:r>
        <w:t>Health</w:t>
      </w:r>
      <w:proofErr w:type="spellEnd"/>
      <w:r>
        <w:t xml:space="preserve"> and Care </w:t>
      </w:r>
      <w:proofErr w:type="spellStart"/>
      <w:r>
        <w:t>Excellence</w:t>
      </w:r>
      <w:proofErr w:type="spellEnd"/>
      <w:r>
        <w:t xml:space="preserve"> (NICE), linee guida sui disturbi mentali comuni nell’adulto (identificazione e percorsi di cura).</w:t>
      </w:r>
    </w:p>
    <w:p w14:paraId="4558BCD4" w14:textId="77777777" w:rsidR="007C4598" w:rsidRDefault="00000000">
      <w:pPr>
        <w:jc w:val="both"/>
      </w:pPr>
      <w:r>
        <w:rPr>
          <w:color w:val="555555"/>
          <w:sz w:val="16"/>
          <w:szCs w:val="16"/>
          <w:vertAlign w:val="superscript"/>
        </w:rPr>
        <w:t>[14]</w:t>
      </w:r>
      <w:r>
        <w:t xml:space="preserve">: </w:t>
      </w:r>
      <w:proofErr w:type="spellStart"/>
      <w:r>
        <w:t>Layard</w:t>
      </w:r>
      <w:proofErr w:type="spellEnd"/>
      <w:r>
        <w:t xml:space="preserve"> R., Clark D. M., </w:t>
      </w:r>
      <w:proofErr w:type="spellStart"/>
      <w:r>
        <w:t>Thrive</w:t>
      </w:r>
      <w:proofErr w:type="spellEnd"/>
      <w:r>
        <w:t xml:space="preserve">: The </w:t>
      </w:r>
      <w:proofErr w:type="spellStart"/>
      <w:r>
        <w:t>Power</w:t>
      </w:r>
      <w:proofErr w:type="spellEnd"/>
      <w:r>
        <w:t xml:space="preserve"> of </w:t>
      </w:r>
      <w:proofErr w:type="spellStart"/>
      <w:r>
        <w:t>Evidence-Based</w:t>
      </w:r>
      <w:proofErr w:type="spellEnd"/>
      <w:r>
        <w:t xml:space="preserve"> </w:t>
      </w:r>
      <w:proofErr w:type="spellStart"/>
      <w:r>
        <w:t>Psychological</w:t>
      </w:r>
      <w:proofErr w:type="spellEnd"/>
      <w:r>
        <w:t xml:space="preserve"> </w:t>
      </w:r>
      <w:proofErr w:type="spellStart"/>
      <w:r>
        <w:t>Therapies</w:t>
      </w:r>
      <w:proofErr w:type="spellEnd"/>
      <w:r>
        <w:t>, Penguin, 2014.</w:t>
      </w:r>
    </w:p>
    <w:p w14:paraId="7850FB8F" w14:textId="77777777" w:rsidR="007C4598" w:rsidRDefault="00000000">
      <w:pPr>
        <w:jc w:val="both"/>
      </w:pPr>
      <w:r>
        <w:rPr>
          <w:color w:val="555555"/>
          <w:sz w:val="16"/>
          <w:szCs w:val="16"/>
          <w:vertAlign w:val="superscript"/>
        </w:rPr>
        <w:t>[15]</w:t>
      </w:r>
      <w:r>
        <w:t>: Organizzazione Mondiale della Sanità e UNICEF, rapporti sulla salute mentale dell’adolescenza, 2021.</w:t>
      </w:r>
    </w:p>
    <w:p w14:paraId="55CFA864" w14:textId="77777777" w:rsidR="007C4598" w:rsidRDefault="00000000">
      <w:pPr>
        <w:jc w:val="both"/>
      </w:pPr>
      <w:r>
        <w:rPr>
          <w:color w:val="555555"/>
          <w:sz w:val="16"/>
          <w:szCs w:val="16"/>
          <w:vertAlign w:val="superscript"/>
        </w:rPr>
        <w:t>[16]</w:t>
      </w:r>
      <w:r>
        <w:t xml:space="preserve">: National </w:t>
      </w:r>
      <w:proofErr w:type="spellStart"/>
      <w:r>
        <w:t>Institute</w:t>
      </w:r>
      <w:proofErr w:type="spellEnd"/>
      <w:r>
        <w:t xml:space="preserve"> for </w:t>
      </w:r>
      <w:proofErr w:type="spellStart"/>
      <w:r>
        <w:t>Health</w:t>
      </w:r>
      <w:proofErr w:type="spellEnd"/>
      <w:r>
        <w:t xml:space="preserve"> and Care </w:t>
      </w:r>
      <w:proofErr w:type="spellStart"/>
      <w:r>
        <w:t>Excellence</w:t>
      </w:r>
      <w:proofErr w:type="spellEnd"/>
      <w:r>
        <w:t xml:space="preserve"> (NICE), linee guida sull’intervento precoce nei disturbi emotivi e comportamentali in età evolutiva.</w:t>
      </w:r>
    </w:p>
    <w:p w14:paraId="1A7BDF85" w14:textId="77777777" w:rsidR="007C4598" w:rsidRDefault="00000000">
      <w:pPr>
        <w:jc w:val="both"/>
      </w:pPr>
      <w:r>
        <w:rPr>
          <w:color w:val="555555"/>
          <w:sz w:val="16"/>
          <w:szCs w:val="16"/>
          <w:vertAlign w:val="superscript"/>
        </w:rPr>
        <w:t>[17]</w:t>
      </w:r>
      <w:r>
        <w:t xml:space="preserve">: </w:t>
      </w:r>
      <w:proofErr w:type="spellStart"/>
      <w:r>
        <w:t>Wissow</w:t>
      </w:r>
      <w:proofErr w:type="spellEnd"/>
      <w:r>
        <w:t xml:space="preserve"> L. S. et al., contributi sulla salute mentale nelle cure primarie pediatriche, dal 2008 e successivi.</w:t>
      </w:r>
    </w:p>
    <w:p w14:paraId="1D3AA6F8" w14:textId="77777777" w:rsidR="007C4598" w:rsidRDefault="00000000">
      <w:pPr>
        <w:jc w:val="both"/>
      </w:pPr>
      <w:r>
        <w:rPr>
          <w:color w:val="555555"/>
          <w:sz w:val="16"/>
          <w:szCs w:val="16"/>
          <w:vertAlign w:val="superscript"/>
        </w:rPr>
        <w:t>[18]</w:t>
      </w:r>
      <w:r>
        <w:t>: Stone J., Carson A. et al., studi sulla prevalenza dei sintomi funzionali e medicalmente inspiegati nella casistica neurologica ambulatoriale.</w:t>
      </w:r>
    </w:p>
    <w:p w14:paraId="6E242DAA" w14:textId="77777777" w:rsidR="007C4598" w:rsidRDefault="00000000">
      <w:pPr>
        <w:jc w:val="both"/>
      </w:pPr>
      <w:r>
        <w:rPr>
          <w:color w:val="555555"/>
          <w:sz w:val="16"/>
          <w:szCs w:val="16"/>
          <w:vertAlign w:val="superscript"/>
        </w:rPr>
        <w:t>[19]</w:t>
      </w:r>
      <w:r>
        <w:t>: Robinson R. G., Jorge R. E., «Post-</w:t>
      </w:r>
      <w:proofErr w:type="spellStart"/>
      <w:r>
        <w:t>stroke</w:t>
      </w:r>
      <w:proofErr w:type="spellEnd"/>
      <w:r>
        <w:t xml:space="preserve"> </w:t>
      </w:r>
      <w:proofErr w:type="spellStart"/>
      <w:r>
        <w:t>depression</w:t>
      </w:r>
      <w:proofErr w:type="spellEnd"/>
      <w:r>
        <w:t xml:space="preserve">: a </w:t>
      </w:r>
      <w:proofErr w:type="spellStart"/>
      <w:r>
        <w:t>review</w:t>
      </w:r>
      <w:proofErr w:type="spellEnd"/>
      <w:r>
        <w:t xml:space="preserve">», The American Journal of </w:t>
      </w:r>
      <w:proofErr w:type="spellStart"/>
      <w:r>
        <w:t>Psychiatry</w:t>
      </w:r>
      <w:proofErr w:type="spellEnd"/>
      <w:r>
        <w:t xml:space="preserve">, 2016, e letteratura sulla </w:t>
      </w:r>
      <w:proofErr w:type="spellStart"/>
      <w:r>
        <w:t>comorbilità</w:t>
      </w:r>
      <w:proofErr w:type="spellEnd"/>
      <w:r>
        <w:t xml:space="preserve"> neuropsichiatrica nelle patologie neurologiche.</w:t>
      </w:r>
    </w:p>
    <w:p w14:paraId="7CF8CE16" w14:textId="77777777" w:rsidR="007C4598" w:rsidRDefault="00000000">
      <w:pPr>
        <w:jc w:val="both"/>
      </w:pPr>
      <w:r>
        <w:rPr>
          <w:color w:val="555555"/>
          <w:sz w:val="16"/>
          <w:szCs w:val="16"/>
          <w:vertAlign w:val="superscript"/>
        </w:rPr>
        <w:t>[21]</w:t>
      </w:r>
      <w:r>
        <w:t>: Decreto del Ministro della Salute 23 maggio 2022, n. 77, recante modelli e standard per lo sviluppo dell’assistenza territoriale nel Servizio sanitario nazionale.</w:t>
      </w:r>
    </w:p>
    <w:p w14:paraId="70072171" w14:textId="77777777" w:rsidR="007C4598" w:rsidRDefault="00000000">
      <w:pPr>
        <w:jc w:val="both"/>
      </w:pPr>
      <w:r>
        <w:rPr>
          <w:color w:val="555555"/>
          <w:sz w:val="16"/>
          <w:szCs w:val="16"/>
          <w:vertAlign w:val="superscript"/>
        </w:rPr>
        <w:t>[20]</w:t>
      </w:r>
      <w:r>
        <w:t xml:space="preserve">: </w:t>
      </w:r>
      <w:proofErr w:type="spellStart"/>
      <w:r>
        <w:t>Gilbody</w:t>
      </w:r>
      <w:proofErr w:type="spellEnd"/>
      <w:r>
        <w:t xml:space="preserve"> S., </w:t>
      </w:r>
      <w:proofErr w:type="spellStart"/>
      <w:r>
        <w:t>Bower</w:t>
      </w:r>
      <w:proofErr w:type="spellEnd"/>
      <w:r>
        <w:t xml:space="preserve"> P., Fletcher J. et al., «Collaborative care for </w:t>
      </w:r>
      <w:proofErr w:type="spellStart"/>
      <w:r>
        <w:t>depression</w:t>
      </w:r>
      <w:proofErr w:type="spellEnd"/>
      <w:r>
        <w:t xml:space="preserve">: a </w:t>
      </w:r>
      <w:proofErr w:type="spellStart"/>
      <w:r>
        <w:t>systematic</w:t>
      </w:r>
      <w:proofErr w:type="spellEnd"/>
      <w:r>
        <w:t xml:space="preserve"> </w:t>
      </w:r>
      <w:proofErr w:type="spellStart"/>
      <w:r>
        <w:t>review</w:t>
      </w:r>
      <w:proofErr w:type="spellEnd"/>
      <w:r>
        <w:t xml:space="preserve"> and cumulative meta-</w:t>
      </w:r>
      <w:proofErr w:type="spellStart"/>
      <w:r>
        <w:t>analysis</w:t>
      </w:r>
      <w:proofErr w:type="spellEnd"/>
      <w:r>
        <w:t xml:space="preserve">», Archives of </w:t>
      </w:r>
      <w:proofErr w:type="spellStart"/>
      <w:r>
        <w:t>Internal</w:t>
      </w:r>
      <w:proofErr w:type="spellEnd"/>
      <w:r>
        <w:t xml:space="preserve"> Medicine, vol. 166, 2006, pp. 2314–2321.</w:t>
      </w:r>
    </w:p>
    <w:p w14:paraId="5C9AEB34" w14:textId="77777777" w:rsidR="007C4598" w:rsidRDefault="00000000">
      <w:pPr>
        <w:jc w:val="both"/>
      </w:pPr>
      <w:r>
        <w:rPr>
          <w:color w:val="555555"/>
          <w:sz w:val="16"/>
          <w:szCs w:val="16"/>
          <w:vertAlign w:val="superscript"/>
        </w:rPr>
        <w:t>[20]</w:t>
      </w:r>
      <w:r>
        <w:t xml:space="preserve">: </w:t>
      </w:r>
      <w:proofErr w:type="spellStart"/>
      <w:r>
        <w:t>Gilbody</w:t>
      </w:r>
      <w:proofErr w:type="spellEnd"/>
      <w:r>
        <w:t xml:space="preserve"> S., </w:t>
      </w:r>
      <w:proofErr w:type="spellStart"/>
      <w:r>
        <w:t>Bower</w:t>
      </w:r>
      <w:proofErr w:type="spellEnd"/>
      <w:r>
        <w:t xml:space="preserve"> P., Fletcher J. et al., «Collaborative care for </w:t>
      </w:r>
      <w:proofErr w:type="spellStart"/>
      <w:r>
        <w:t>depression</w:t>
      </w:r>
      <w:proofErr w:type="spellEnd"/>
      <w:r>
        <w:t xml:space="preserve">: a </w:t>
      </w:r>
      <w:proofErr w:type="spellStart"/>
      <w:r>
        <w:t>systematic</w:t>
      </w:r>
      <w:proofErr w:type="spellEnd"/>
      <w:r>
        <w:t xml:space="preserve"> </w:t>
      </w:r>
      <w:proofErr w:type="spellStart"/>
      <w:r>
        <w:t>review</w:t>
      </w:r>
      <w:proofErr w:type="spellEnd"/>
      <w:r>
        <w:t xml:space="preserve"> and cumulative meta-</w:t>
      </w:r>
      <w:proofErr w:type="spellStart"/>
      <w:r>
        <w:t>analysis</w:t>
      </w:r>
      <w:proofErr w:type="spellEnd"/>
      <w:r>
        <w:t xml:space="preserve">», Archives of </w:t>
      </w:r>
      <w:proofErr w:type="spellStart"/>
      <w:r>
        <w:t>Internal</w:t>
      </w:r>
      <w:proofErr w:type="spellEnd"/>
      <w:r>
        <w:t xml:space="preserve"> Medicine, vol. 166, 2006, pp. 2314–2321.</w:t>
      </w:r>
    </w:p>
    <w:p w14:paraId="3E3E0D2C" w14:textId="77777777" w:rsidR="007C4598" w:rsidRDefault="00000000">
      <w:pPr>
        <w:jc w:val="both"/>
      </w:pPr>
      <w:r>
        <w:rPr>
          <w:color w:val="555555"/>
          <w:sz w:val="16"/>
          <w:szCs w:val="16"/>
          <w:vertAlign w:val="superscript"/>
        </w:rPr>
        <w:t>[4]</w:t>
      </w:r>
      <w:r>
        <w:t xml:space="preserve">: </w:t>
      </w:r>
      <w:proofErr w:type="spellStart"/>
      <w:r>
        <w:t>Unützer</w:t>
      </w:r>
      <w:proofErr w:type="spellEnd"/>
      <w:r>
        <w:t xml:space="preserve"> J., </w:t>
      </w:r>
      <w:proofErr w:type="spellStart"/>
      <w:r>
        <w:t>Katon</w:t>
      </w:r>
      <w:proofErr w:type="spellEnd"/>
      <w:r>
        <w:t xml:space="preserve"> W., </w:t>
      </w:r>
      <w:proofErr w:type="spellStart"/>
      <w:r>
        <w:t>Callahan</w:t>
      </w:r>
      <w:proofErr w:type="spellEnd"/>
      <w:r>
        <w:t xml:space="preserve"> C. M. et al., «Collaborative care management of late-life </w:t>
      </w:r>
      <w:proofErr w:type="spellStart"/>
      <w:r>
        <w:t>depression</w:t>
      </w:r>
      <w:proofErr w:type="spellEnd"/>
      <w:r>
        <w:t xml:space="preserve"> in the </w:t>
      </w:r>
      <w:proofErr w:type="spellStart"/>
      <w:r>
        <w:t>primary</w:t>
      </w:r>
      <w:proofErr w:type="spellEnd"/>
      <w:r>
        <w:t xml:space="preserve"> care </w:t>
      </w:r>
      <w:proofErr w:type="spellStart"/>
      <w:r>
        <w:t>setting</w:t>
      </w:r>
      <w:proofErr w:type="spellEnd"/>
      <w:r>
        <w:t>» (studio IMPACT), JAMA, vol. 288, 2002, pp. 2836–2845.</w:t>
      </w:r>
    </w:p>
    <w:p w14:paraId="6D8C1E4F" w14:textId="77777777" w:rsidR="007C4598" w:rsidRDefault="00000000">
      <w:pPr>
        <w:jc w:val="both"/>
      </w:pPr>
      <w:r>
        <w:rPr>
          <w:color w:val="555555"/>
          <w:sz w:val="16"/>
          <w:szCs w:val="16"/>
          <w:vertAlign w:val="superscript"/>
        </w:rPr>
        <w:t>[23]</w:t>
      </w:r>
      <w:r>
        <w:t>: Ministero della Salute, Sistema Informativo per la Salute Mentale (SISM), Rapporto sulla salute mentale.</w:t>
      </w:r>
    </w:p>
    <w:p w14:paraId="3373A7EC" w14:textId="77777777" w:rsidR="007C4598" w:rsidRDefault="00000000">
      <w:pPr>
        <w:jc w:val="both"/>
      </w:pPr>
      <w:r>
        <w:rPr>
          <w:color w:val="555555"/>
          <w:sz w:val="16"/>
          <w:szCs w:val="16"/>
          <w:vertAlign w:val="superscript"/>
        </w:rPr>
        <w:t>[22]</w:t>
      </w:r>
      <w:r>
        <w:t>: Agenzia Nazionale per i Servizi Sanitari Regionali (AGENAS) e Piano Nazionale di Governo delle Liste di Attesa.</w:t>
      </w:r>
    </w:p>
    <w:p w14:paraId="76FDDFDF" w14:textId="77777777" w:rsidR="007C4598" w:rsidRDefault="00000000">
      <w:pPr>
        <w:jc w:val="both"/>
      </w:pPr>
      <w:r>
        <w:rPr>
          <w:color w:val="555555"/>
          <w:sz w:val="16"/>
          <w:szCs w:val="16"/>
          <w:vertAlign w:val="superscript"/>
        </w:rPr>
        <w:t>[24]</w:t>
      </w:r>
      <w:r>
        <w:t>: AGENAS, dati e rapporti sulla mobilità sanitaria interregionale.</w:t>
      </w:r>
    </w:p>
    <w:p w14:paraId="048277BC" w14:textId="77777777" w:rsidR="007C4598" w:rsidRDefault="00000000">
      <w:pPr>
        <w:jc w:val="both"/>
      </w:pPr>
      <w:r>
        <w:rPr>
          <w:color w:val="555555"/>
          <w:sz w:val="16"/>
          <w:szCs w:val="16"/>
          <w:vertAlign w:val="superscript"/>
        </w:rPr>
        <w:t>[6]</w:t>
      </w:r>
      <w:r>
        <w:t xml:space="preserve">: </w:t>
      </w:r>
      <w:proofErr w:type="spellStart"/>
      <w:r>
        <w:t>Archer</w:t>
      </w:r>
      <w:proofErr w:type="spellEnd"/>
      <w:r>
        <w:t xml:space="preserve"> J., </w:t>
      </w:r>
      <w:proofErr w:type="spellStart"/>
      <w:r>
        <w:t>Bower</w:t>
      </w:r>
      <w:proofErr w:type="spellEnd"/>
      <w:r>
        <w:t xml:space="preserve"> P., </w:t>
      </w:r>
      <w:proofErr w:type="spellStart"/>
      <w:r>
        <w:t>Gilbody</w:t>
      </w:r>
      <w:proofErr w:type="spellEnd"/>
      <w:r>
        <w:t xml:space="preserve"> S. et al., «Collaborative care for </w:t>
      </w:r>
      <w:proofErr w:type="spellStart"/>
      <w:r>
        <w:t>depression</w:t>
      </w:r>
      <w:proofErr w:type="spellEnd"/>
      <w:r>
        <w:t xml:space="preserve"> and </w:t>
      </w:r>
      <w:proofErr w:type="spellStart"/>
      <w:r>
        <w:t>anxiety</w:t>
      </w:r>
      <w:proofErr w:type="spellEnd"/>
      <w:r>
        <w:t xml:space="preserve"> </w:t>
      </w:r>
      <w:proofErr w:type="spellStart"/>
      <w:r>
        <w:t>problems</w:t>
      </w:r>
      <w:proofErr w:type="spellEnd"/>
      <w:r>
        <w:t xml:space="preserve">», </w:t>
      </w:r>
      <w:proofErr w:type="spellStart"/>
      <w:r>
        <w:t>Cochrane</w:t>
      </w:r>
      <w:proofErr w:type="spellEnd"/>
      <w:r>
        <w:t xml:space="preserve"> Database of </w:t>
      </w:r>
      <w:proofErr w:type="spellStart"/>
      <w:r>
        <w:t>Systematic</w:t>
      </w:r>
      <w:proofErr w:type="spellEnd"/>
      <w:r>
        <w:t xml:space="preserve"> </w:t>
      </w:r>
      <w:proofErr w:type="spellStart"/>
      <w:r>
        <w:t>Reviews</w:t>
      </w:r>
      <w:proofErr w:type="spellEnd"/>
      <w:r>
        <w:t>, 2012.</w:t>
      </w:r>
    </w:p>
    <w:p w14:paraId="1C38153B" w14:textId="77777777" w:rsidR="007C4598" w:rsidRDefault="00000000">
      <w:pPr>
        <w:jc w:val="both"/>
      </w:pPr>
      <w:r>
        <w:rPr>
          <w:color w:val="555555"/>
          <w:sz w:val="16"/>
          <w:szCs w:val="16"/>
          <w:vertAlign w:val="superscript"/>
        </w:rPr>
        <w:t>[25]</w:t>
      </w:r>
      <w:r>
        <w:t>: Legge 8 novembre 2000, n. 328, per la realizzazione del sistema integrato di interventi e servizi sociali.</w:t>
      </w:r>
    </w:p>
    <w:p w14:paraId="2E93392C" w14:textId="77777777" w:rsidR="007C4598" w:rsidRDefault="00000000">
      <w:pPr>
        <w:jc w:val="both"/>
      </w:pPr>
      <w:r>
        <w:rPr>
          <w:color w:val="555555"/>
          <w:sz w:val="16"/>
          <w:szCs w:val="16"/>
          <w:vertAlign w:val="superscript"/>
        </w:rPr>
        <w:t>[26]</w:t>
      </w:r>
      <w:r>
        <w:t xml:space="preserve">: </w:t>
      </w:r>
      <w:proofErr w:type="spellStart"/>
      <w:r>
        <w:t>Bickerdike</w:t>
      </w:r>
      <w:proofErr w:type="spellEnd"/>
      <w:r>
        <w:t xml:space="preserve"> L., </w:t>
      </w:r>
      <w:proofErr w:type="spellStart"/>
      <w:r>
        <w:t>Booth</w:t>
      </w:r>
      <w:proofErr w:type="spellEnd"/>
      <w:r>
        <w:t xml:space="preserve"> A., Wilson P. M. et al., «Social </w:t>
      </w:r>
      <w:proofErr w:type="spellStart"/>
      <w:r>
        <w:t>prescribing</w:t>
      </w:r>
      <w:proofErr w:type="spellEnd"/>
      <w:r>
        <w:t xml:space="preserve">: </w:t>
      </w:r>
      <w:proofErr w:type="spellStart"/>
      <w:r>
        <w:t>less</w:t>
      </w:r>
      <w:proofErr w:type="spellEnd"/>
      <w:r>
        <w:t xml:space="preserve"> </w:t>
      </w:r>
      <w:proofErr w:type="spellStart"/>
      <w:r>
        <w:t>rhetoric</w:t>
      </w:r>
      <w:proofErr w:type="spellEnd"/>
      <w:r>
        <w:t xml:space="preserve"> and more reality. A </w:t>
      </w:r>
      <w:proofErr w:type="spellStart"/>
      <w:r>
        <w:t>systematic</w:t>
      </w:r>
      <w:proofErr w:type="spellEnd"/>
      <w:r>
        <w:t xml:space="preserve"> </w:t>
      </w:r>
      <w:proofErr w:type="spellStart"/>
      <w:r>
        <w:t>review</w:t>
      </w:r>
      <w:proofErr w:type="spellEnd"/>
      <w:r>
        <w:t xml:space="preserve"> of the </w:t>
      </w:r>
      <w:proofErr w:type="spellStart"/>
      <w:r>
        <w:t>evidence</w:t>
      </w:r>
      <w:proofErr w:type="spellEnd"/>
      <w:r>
        <w:t>», BMJ Open, vol. 7, 2017, e328.</w:t>
      </w:r>
    </w:p>
    <w:p w14:paraId="6105246D" w14:textId="77777777" w:rsidR="007C4598" w:rsidRDefault="00000000">
      <w:pPr>
        <w:jc w:val="both"/>
      </w:pPr>
      <w:r>
        <w:rPr>
          <w:color w:val="555555"/>
          <w:sz w:val="16"/>
          <w:szCs w:val="16"/>
          <w:vertAlign w:val="superscript"/>
        </w:rPr>
        <w:t>[26]</w:t>
      </w:r>
      <w:r>
        <w:t xml:space="preserve">: </w:t>
      </w:r>
      <w:proofErr w:type="spellStart"/>
      <w:r>
        <w:t>Bickerdike</w:t>
      </w:r>
      <w:proofErr w:type="spellEnd"/>
      <w:r>
        <w:t xml:space="preserve"> L., </w:t>
      </w:r>
      <w:proofErr w:type="spellStart"/>
      <w:r>
        <w:t>Booth</w:t>
      </w:r>
      <w:proofErr w:type="spellEnd"/>
      <w:r>
        <w:t xml:space="preserve"> A., Wilson P. M. et al., «Social </w:t>
      </w:r>
      <w:proofErr w:type="spellStart"/>
      <w:r>
        <w:t>prescribing</w:t>
      </w:r>
      <w:proofErr w:type="spellEnd"/>
      <w:r>
        <w:t xml:space="preserve">: </w:t>
      </w:r>
      <w:proofErr w:type="spellStart"/>
      <w:r>
        <w:t>less</w:t>
      </w:r>
      <w:proofErr w:type="spellEnd"/>
      <w:r>
        <w:t xml:space="preserve"> </w:t>
      </w:r>
      <w:proofErr w:type="spellStart"/>
      <w:r>
        <w:t>rhetoric</w:t>
      </w:r>
      <w:proofErr w:type="spellEnd"/>
      <w:r>
        <w:t xml:space="preserve"> and more reality. A </w:t>
      </w:r>
      <w:proofErr w:type="spellStart"/>
      <w:r>
        <w:t>systematic</w:t>
      </w:r>
      <w:proofErr w:type="spellEnd"/>
      <w:r>
        <w:t xml:space="preserve"> </w:t>
      </w:r>
      <w:proofErr w:type="spellStart"/>
      <w:r>
        <w:t>review</w:t>
      </w:r>
      <w:proofErr w:type="spellEnd"/>
      <w:r>
        <w:t xml:space="preserve"> of the </w:t>
      </w:r>
      <w:proofErr w:type="spellStart"/>
      <w:r>
        <w:t>evidence</w:t>
      </w:r>
      <w:proofErr w:type="spellEnd"/>
      <w:r>
        <w:t>», BMJ Open, vol. 7, 2017, e328.</w:t>
      </w:r>
    </w:p>
    <w:p w14:paraId="1D534277" w14:textId="77777777" w:rsidR="007C4598" w:rsidRDefault="00000000">
      <w:pPr>
        <w:jc w:val="both"/>
      </w:pPr>
      <w:r>
        <w:rPr>
          <w:color w:val="555555"/>
          <w:sz w:val="16"/>
          <w:szCs w:val="16"/>
          <w:vertAlign w:val="superscript"/>
        </w:rPr>
        <w:t>[27]</w:t>
      </w:r>
      <w:r>
        <w:t>: Decreto legislativo 3 ottobre 2009, n. 153, recante la disciplina della farmacia dei servizi nel Servizio sanitario nazionale.</w:t>
      </w:r>
    </w:p>
    <w:p w14:paraId="1E29930B" w14:textId="77777777" w:rsidR="007C4598" w:rsidRDefault="00000000">
      <w:pPr>
        <w:jc w:val="both"/>
      </w:pPr>
      <w:r>
        <w:rPr>
          <w:color w:val="555555"/>
          <w:sz w:val="16"/>
          <w:szCs w:val="16"/>
          <w:vertAlign w:val="superscript"/>
        </w:rPr>
        <w:t>[28]</w:t>
      </w:r>
      <w:r>
        <w:t>: Letteratura internazionale sul ruolo della farmacia di comunità nella salute mentale, relativa all’intercettazione precoce e all’uso appropriato dei medicinali.</w:t>
      </w:r>
    </w:p>
    <w:p w14:paraId="3BFACF3C" w14:textId="77777777" w:rsidR="007C4598" w:rsidRDefault="00000000">
      <w:pPr>
        <w:jc w:val="both"/>
      </w:pPr>
      <w:r>
        <w:rPr>
          <w:color w:val="555555"/>
          <w:sz w:val="16"/>
          <w:szCs w:val="16"/>
          <w:vertAlign w:val="superscript"/>
        </w:rPr>
        <w:t>[29]</w:t>
      </w:r>
      <w:r>
        <w:t xml:space="preserve">: ISTAT ed </w:t>
      </w:r>
      <w:proofErr w:type="spellStart"/>
      <w:r>
        <w:t>Eurostat</w:t>
      </w:r>
      <w:proofErr w:type="spellEnd"/>
      <w:r>
        <w:t>, indicatori sull’uscita precoce dal sistema di istruzione e formazione (</w:t>
      </w:r>
      <w:proofErr w:type="spellStart"/>
      <w:r>
        <w:t>early</w:t>
      </w:r>
      <w:proofErr w:type="spellEnd"/>
      <w:r>
        <w:t xml:space="preserve"> </w:t>
      </w:r>
      <w:proofErr w:type="spellStart"/>
      <w:r>
        <w:t>leavers</w:t>
      </w:r>
      <w:proofErr w:type="spellEnd"/>
      <w:r>
        <w:t xml:space="preserve"> from </w:t>
      </w:r>
      <w:proofErr w:type="spellStart"/>
      <w:r>
        <w:t>education</w:t>
      </w:r>
      <w:proofErr w:type="spellEnd"/>
      <w:r>
        <w:t xml:space="preserve"> and training).</w:t>
      </w:r>
    </w:p>
    <w:p w14:paraId="1FECFA27" w14:textId="77777777" w:rsidR="007C4598" w:rsidRDefault="00000000">
      <w:pPr>
        <w:jc w:val="both"/>
      </w:pPr>
      <w:r>
        <w:rPr>
          <w:color w:val="555555"/>
          <w:sz w:val="16"/>
          <w:szCs w:val="16"/>
          <w:vertAlign w:val="superscript"/>
        </w:rPr>
        <w:t>[30]</w:t>
      </w:r>
      <w:r>
        <w:t>: Organizzazione Mondiale della Sanità e UNESCO, indirizzi sulla promozione della salute mentale nei contesti scolastici (</w:t>
      </w:r>
      <w:proofErr w:type="spellStart"/>
      <w:r>
        <w:t>Health</w:t>
      </w:r>
      <w:proofErr w:type="spellEnd"/>
      <w:r>
        <w:t xml:space="preserve"> </w:t>
      </w:r>
      <w:proofErr w:type="spellStart"/>
      <w:r>
        <w:t>Promoting</w:t>
      </w:r>
      <w:proofErr w:type="spellEnd"/>
      <w:r>
        <w:t xml:space="preserve"> Schools).</w:t>
      </w:r>
    </w:p>
    <w:p w14:paraId="61457D56" w14:textId="77777777" w:rsidR="007C4598" w:rsidRDefault="00000000">
      <w:pPr>
        <w:jc w:val="both"/>
      </w:pPr>
      <w:r>
        <w:rPr>
          <w:color w:val="555555"/>
          <w:sz w:val="16"/>
          <w:szCs w:val="16"/>
          <w:vertAlign w:val="superscript"/>
        </w:rPr>
        <w:t>[21]</w:t>
      </w:r>
      <w:r>
        <w:t>: Decreto del Ministro della Salute 23 maggio 2022, n. 77, recante modelli e standard per lo sviluppo dell’assistenza territoriale nel Servizio sanitario nazionale.</w:t>
      </w:r>
    </w:p>
    <w:p w14:paraId="41E63DE9" w14:textId="77777777" w:rsidR="007C4598" w:rsidRDefault="00000000">
      <w:pPr>
        <w:jc w:val="both"/>
      </w:pPr>
      <w:r>
        <w:rPr>
          <w:color w:val="555555"/>
          <w:sz w:val="16"/>
          <w:szCs w:val="16"/>
          <w:vertAlign w:val="superscript"/>
        </w:rPr>
        <w:t>[31]</w:t>
      </w:r>
      <w:r>
        <w:t>: Istituto Nazionale della Previdenza Sociale (INPS), Osservatorio sulle prestazioni di invalidità e inabilità.</w:t>
      </w:r>
    </w:p>
    <w:p w14:paraId="38E1DC2D" w14:textId="77777777" w:rsidR="007C4598" w:rsidRDefault="00000000">
      <w:pPr>
        <w:jc w:val="both"/>
      </w:pPr>
      <w:r>
        <w:rPr>
          <w:color w:val="555555"/>
          <w:sz w:val="16"/>
          <w:szCs w:val="16"/>
          <w:vertAlign w:val="superscript"/>
        </w:rPr>
        <w:t>[32]</w:t>
      </w:r>
      <w:r>
        <w:t>: Decreto legislativo 9 aprile 2008, n. 81, in materia di tutela della salute e della sicurezza nei luoghi di lavoro, con riguardo alla valutazione del rischio da stress lavoro-correlato.</w:t>
      </w:r>
    </w:p>
    <w:p w14:paraId="4BC87D98" w14:textId="77777777" w:rsidR="007C4598" w:rsidRDefault="00000000">
      <w:pPr>
        <w:jc w:val="both"/>
      </w:pPr>
      <w:r>
        <w:rPr>
          <w:color w:val="555555"/>
          <w:sz w:val="16"/>
          <w:szCs w:val="16"/>
          <w:vertAlign w:val="superscript"/>
        </w:rPr>
        <w:t>[33]</w:t>
      </w:r>
      <w:r>
        <w:t xml:space="preserve">: OCSE e Unione Europea, </w:t>
      </w:r>
      <w:proofErr w:type="spellStart"/>
      <w:r>
        <w:t>Health</w:t>
      </w:r>
      <w:proofErr w:type="spellEnd"/>
      <w:r>
        <w:t xml:space="preserve"> </w:t>
      </w:r>
      <w:proofErr w:type="spellStart"/>
      <w:r>
        <w:t>at</w:t>
      </w:r>
      <w:proofErr w:type="spellEnd"/>
      <w:r>
        <w:t xml:space="preserve"> a </w:t>
      </w:r>
      <w:proofErr w:type="spellStart"/>
      <w:r>
        <w:t>Glance</w:t>
      </w:r>
      <w:proofErr w:type="spellEnd"/>
      <w:r>
        <w:t>: Europe, capitolo sulla promozione della salute mentale e stima del costo complessivo della cattiva salute mentale.</w:t>
      </w:r>
    </w:p>
    <w:p w14:paraId="6587027D" w14:textId="77777777" w:rsidR="007C4598" w:rsidRDefault="00000000">
      <w:r>
        <w:br w:type="page"/>
      </w:r>
    </w:p>
    <w:p w14:paraId="07776030" w14:textId="77777777" w:rsidR="007C4598" w:rsidRDefault="00000000">
      <w:pPr>
        <w:spacing w:before="1200" w:after="200"/>
        <w:jc w:val="center"/>
      </w:pPr>
      <w:r>
        <w:rPr>
          <w:b/>
          <w:bCs/>
          <w:color w:val="C49A48"/>
          <w:sz w:val="64"/>
          <w:szCs w:val="64"/>
        </w:rPr>
        <w:t>PARTE IV</w:t>
      </w:r>
    </w:p>
    <w:p w14:paraId="09B1BEB3" w14:textId="77777777" w:rsidR="007C4598" w:rsidRDefault="00000000">
      <w:pPr>
        <w:spacing w:after="600"/>
        <w:jc w:val="center"/>
      </w:pPr>
      <w:r>
        <w:rPr>
          <w:b/>
          <w:bCs/>
          <w:color w:val="16264B"/>
          <w:sz w:val="32"/>
          <w:szCs w:val="32"/>
        </w:rPr>
        <w:t>Il modello organizzativo integrato e le leve abilitanti</w:t>
      </w:r>
    </w:p>
    <w:p w14:paraId="02ED816B" w14:textId="77777777" w:rsidR="007C4598" w:rsidRDefault="007C4598">
      <w:pPr>
        <w:pBdr>
          <w:bottom w:val="single" w:sz="6" w:space="1" w:color="C49A48"/>
        </w:pBdr>
        <w:spacing w:after="200"/>
      </w:pPr>
    </w:p>
    <w:p w14:paraId="6C8A95AC" w14:textId="77777777" w:rsidR="007C4598" w:rsidRDefault="00000000">
      <w:pPr>
        <w:jc w:val="both"/>
      </w:pPr>
      <w:r>
        <w:t>Studio Integrale, Finale e Definitivo · Parte IV — Il modello organizzativo integrato e le leve abilitanti</w:t>
      </w:r>
    </w:p>
    <w:p w14:paraId="1B9CE359" w14:textId="77777777" w:rsidR="007C4598" w:rsidRDefault="007C4598"/>
    <w:p w14:paraId="6CCA7B1C" w14:textId="77777777" w:rsidR="007C4598" w:rsidRDefault="00000000">
      <w:pPr>
        <w:jc w:val="both"/>
      </w:pPr>
      <w:r>
        <w:rPr>
          <w:b/>
          <w:bCs/>
        </w:rPr>
        <w:t>PROGETTO «PSICOLOGO DI BASE» · REGIONE PUGLIA</w:t>
      </w:r>
    </w:p>
    <w:p w14:paraId="2EE1E0B4" w14:textId="77777777" w:rsidR="007C4598" w:rsidRDefault="007C4598"/>
    <w:p w14:paraId="2A7612B6" w14:textId="77777777" w:rsidR="007C4598" w:rsidRDefault="00000000">
      <w:pPr>
        <w:jc w:val="both"/>
      </w:pPr>
      <w:r>
        <w:rPr>
          <w:b/>
          <w:bCs/>
        </w:rPr>
        <w:t>Studio Integrale, Finale e Definitivo</w:t>
      </w:r>
    </w:p>
    <w:p w14:paraId="0EB8A83C" w14:textId="77777777" w:rsidR="007C4598" w:rsidRDefault="007C4598"/>
    <w:p w14:paraId="5D1AD0A6" w14:textId="77777777" w:rsidR="007C4598" w:rsidRDefault="00000000">
      <w:pPr>
        <w:jc w:val="both"/>
      </w:pPr>
      <w:r>
        <w:rPr>
          <w:b/>
          <w:bCs/>
        </w:rPr>
        <w:t>PARTE IV</w:t>
      </w:r>
    </w:p>
    <w:p w14:paraId="68C35BC0" w14:textId="77777777" w:rsidR="007C4598" w:rsidRDefault="007C4598"/>
    <w:p w14:paraId="29A3C0B9" w14:textId="77777777" w:rsidR="007C4598" w:rsidRDefault="00000000">
      <w:pPr>
        <w:jc w:val="both"/>
      </w:pPr>
      <w:r>
        <w:rPr>
          <w:b/>
          <w:bCs/>
        </w:rPr>
        <w:t>Il modello organizzativo integrato e le leve abilitanti</w:t>
      </w:r>
    </w:p>
    <w:p w14:paraId="0A25493C" w14:textId="77777777" w:rsidR="007C4598" w:rsidRDefault="007C4598"/>
    <w:p w14:paraId="537735F9" w14:textId="77777777" w:rsidR="007C4598" w:rsidRDefault="00000000">
      <w:pPr>
        <w:jc w:val="both"/>
      </w:pPr>
      <w:r>
        <w:rPr>
          <w:i/>
          <w:iCs/>
        </w:rPr>
        <w:t>Il funzionamento operativo del Servizio di Psicologia di Base, l’integrazione tra i livelli di cura e l’ordinamento delle leve che ne accrescono efficacia e sostenibilità, con l’Intelligenza Artificiale collocata lungo il ciclo assistenziale come strumento abilitante soggetto alla supervisione umana</w:t>
      </w:r>
    </w:p>
    <w:p w14:paraId="1F5E6D9F" w14:textId="77777777" w:rsidR="007C4598" w:rsidRDefault="007C4598"/>
    <w:p w14:paraId="04A03047" w14:textId="77777777" w:rsidR="007C4598" w:rsidRDefault="00000000">
      <w:pPr>
        <w:jc w:val="both"/>
      </w:pPr>
      <w:r>
        <w:t xml:space="preserve">Telaio HTA · </w:t>
      </w:r>
      <w:proofErr w:type="spellStart"/>
      <w:r>
        <w:t>Five</w:t>
      </w:r>
      <w:proofErr w:type="spellEnd"/>
      <w:r>
        <w:t xml:space="preserve"> Case Model · CHEERS 2022 · criteri OCSE-DAC</w:t>
      </w:r>
    </w:p>
    <w:p w14:paraId="1068BA29" w14:textId="77777777" w:rsidR="007C4598" w:rsidRDefault="007C4598"/>
    <w:p w14:paraId="1CBA6A5F" w14:textId="77777777" w:rsidR="007C4598" w:rsidRDefault="00000000">
      <w:pPr>
        <w:jc w:val="both"/>
      </w:pPr>
      <w:r>
        <w:rPr>
          <w:b/>
          <w:bCs/>
        </w:rPr>
        <w:t>Autore intellettuale della riforma: Luigi De Michele</w:t>
      </w:r>
    </w:p>
    <w:p w14:paraId="368F902F" w14:textId="77777777" w:rsidR="007C4598" w:rsidRDefault="007C4598"/>
    <w:p w14:paraId="3C9B3477" w14:textId="77777777" w:rsidR="007C4598" w:rsidRDefault="00000000">
      <w:pPr>
        <w:jc w:val="both"/>
      </w:pPr>
      <w:r>
        <w:t>Ordine degli Psicologi della Puglia · Giugno 2026</w:t>
      </w:r>
    </w:p>
    <w:p w14:paraId="29388775" w14:textId="77777777" w:rsidR="007C4598" w:rsidRDefault="007C4598"/>
    <w:p w14:paraId="78B15F41" w14:textId="77777777" w:rsidR="007C4598" w:rsidRDefault="00000000">
      <w:pPr>
        <w:jc w:val="both"/>
      </w:pPr>
      <w:r>
        <w:rPr>
          <w:b/>
          <w:bCs/>
        </w:rPr>
        <w:t>Avvertenza sui vincoli metodologici invarianti</w:t>
      </w:r>
    </w:p>
    <w:p w14:paraId="47A032F4" w14:textId="77777777" w:rsidR="007C4598" w:rsidRDefault="007C4598"/>
    <w:p w14:paraId="67CF9B85" w14:textId="77777777" w:rsidR="007C4598" w:rsidRDefault="00000000">
      <w:pPr>
        <w:jc w:val="both"/>
      </w:pPr>
      <w:r>
        <w:t xml:space="preserve">La presente parte è governata, come l’intera opera, dai principi metodologici invarianti del progetto, che qui si richiamano e che nessuna affermazione successiva potrà violare. Il ritorno economico degli investimenti in salute mentale è espresso nei soli intervalli corretti, compresi tra 2,3 e 3,0 a 1 per i soli benefici economici e tra 3,3 e 5,7 a 1 con l’inclusione dei ritorni in salute; sono esclusi i valori non sostenuti dalla letteratura. Il </w:t>
      </w:r>
      <w:proofErr w:type="spellStart"/>
      <w:r>
        <w:t>caveat</w:t>
      </w:r>
      <w:proofErr w:type="spellEnd"/>
      <w:r>
        <w:t xml:space="preserve"> dello studio IMPACT, secondo cui i risparmi sui costi sanitari diretti non raggiungono la significatività statistica, è preservato in ogni passaggio pertinente. Le grandezze fiscali dirette e quelle sociali e indirette sono mantenute rigorosamente distinte, senza duplicazioni tra le categorie. Ogni proiezione adotta bande prudenziali e previsioni falsificabili. Ogni evidenza, comprese quelle relative all’Intelligenza Artificiale e agli strumenti digitali, è graduata secondo la sua qualità con il medesimo rigore applicato alle affermazioni cliniche. In questa quarta parte tali vincoli operano soprattutto come disciplina del linguaggio: la parte descrive il modello organizzativo e le leve abilitanti, e rinvia alle parti settima, ottava, nona e decima la quantificazione monetaria dei costi e dei benefici che il modello rende conseguibili.</w:t>
      </w:r>
    </w:p>
    <w:p w14:paraId="228E3833" w14:textId="77777777" w:rsidR="007C4598" w:rsidRDefault="007C4598"/>
    <w:p w14:paraId="450ED22C" w14:textId="77777777" w:rsidR="007C4598" w:rsidRDefault="00000000">
      <w:pPr>
        <w:pStyle w:val="Titolo1"/>
        <w:pageBreakBefore/>
      </w:pPr>
      <w:r>
        <w:rPr>
          <w:sz w:val="22"/>
          <w:szCs w:val="22"/>
        </w:rPr>
        <w:t>Parte IV — Il modello organizzativo integrato e le leve abilitanti</w:t>
      </w:r>
    </w:p>
    <w:p w14:paraId="64A1AD10" w14:textId="77777777" w:rsidR="007C4598" w:rsidRDefault="007C4598"/>
    <w:p w14:paraId="297918CE" w14:textId="77777777" w:rsidR="007C4598" w:rsidRDefault="00000000">
      <w:pPr>
        <w:pStyle w:val="Titolo2"/>
        <w:spacing w:before="200" w:after="100"/>
      </w:pPr>
      <w:r>
        <w:rPr>
          <w:sz w:val="22"/>
          <w:szCs w:val="22"/>
        </w:rPr>
        <w:t>Premessa</w:t>
      </w:r>
    </w:p>
    <w:p w14:paraId="25B95015" w14:textId="77777777" w:rsidR="007C4598" w:rsidRDefault="007C4598"/>
    <w:p w14:paraId="514206C7" w14:textId="77777777" w:rsidR="007C4598" w:rsidRDefault="00000000">
      <w:pPr>
        <w:jc w:val="both"/>
      </w:pPr>
      <w:r>
        <w:t>Le tre parti che precedono hanno fissato, nell’ordine, il metodo, il bisogno e l’architettura delle figure. La prima parte ha stabilito il quadro, il mandato, il telaio metodologico e le regole della rinegoziazione dei costi e dei benefici; la seconda ha ricostruito il bisogno di salute e il contesto pugliese, misurando il divario tra il fabbisogno e la risposta oggi disponibile; la terza ha disposto lungo la cascata gerarchica piramidale le figure direttamente e indirettamente connesse alla riforma, ordinandole per influenza e per capacità di generare rientro economico o revisione della spesa. Resta ora da descrivere il modo in cui tutto questo funziona: per quali percorsi il bisogno intercettato diventa presa in carico, come la presa in carico si distribuisce tra i livelli di cura, quali leve organizzative, di processo e digitali rendono la figura dello Psicologo di Base più efficace e più sostenibile, e a quale scala il servizio debba essere dimensionato perché la sua promessa si traduca in copertura reale.</w:t>
      </w:r>
    </w:p>
    <w:p w14:paraId="6D0ACF44" w14:textId="77777777" w:rsidR="007C4598" w:rsidRDefault="007C4598"/>
    <w:p w14:paraId="52BE4EC6" w14:textId="77777777" w:rsidR="007C4598" w:rsidRDefault="00000000">
      <w:pPr>
        <w:jc w:val="both"/>
      </w:pPr>
      <w:r>
        <w:t xml:space="preserve">La quarta parte assolve questa funzione. Essa non è una valutazione economica, ma la descrizione del dispositivo operativo su cui la valutazione economica delle parti successive poggerà. È la parte che traduce l’architettura statica delle figure nel movimento di un servizio: definisce il modello fondato sulla cura per intensità crescente, sull’assistenza collaborativa e sui percorsi diagnostico-terapeutici assistenziali; espone l’integrazione tra il livello delle cure primarie e quello dei servizi specialistici; ordina le leve abilitanti, tra le quali la leva digitale e l’Intelligenza Artificiale; definisce i dispositivi terapeutici digitali su prescrizione e la loro cornice di rischio; stabilisce la </w:t>
      </w:r>
      <w:proofErr w:type="spellStart"/>
      <w:r>
        <w:t>governance</w:t>
      </w:r>
      <w:proofErr w:type="spellEnd"/>
      <w:r>
        <w:t xml:space="preserve"> prudenziale dell’Intelligenza Artificiale; e fissa i criteri di dimensionamento del servizio insieme agli scenari di copertura che reggeranno l’intera modellazione economica.</w:t>
      </w:r>
    </w:p>
    <w:p w14:paraId="69E0F17F" w14:textId="77777777" w:rsidR="007C4598" w:rsidRDefault="007C4598"/>
    <w:p w14:paraId="759D80BB" w14:textId="77777777" w:rsidR="007C4598" w:rsidRDefault="00000000">
      <w:pPr>
        <w:jc w:val="both"/>
      </w:pPr>
      <w:r>
        <w:t xml:space="preserve">Due avvertenze orientano la lettura di questa parte e ne dichiarano in apertura la postura. La prima riguarda la collocazione dell’Intelligenza Artificiale. In coerenza con l’impianto dell’opera, essa non è qui l’oggetto centrale dell’analisi, ma una delle leve che rendono la figura dello Psicologo di Base più funzionale ed efficace, accanto e subordinata alle leve organizzative, di processo e formative. L’Intelligenza Artificiale compare lungo il ciclo assistenziale come strumento abilitante, sempre soggetto alla supervisione umana e alla </w:t>
      </w:r>
      <w:proofErr w:type="spellStart"/>
      <w:r>
        <w:t>governance</w:t>
      </w:r>
      <w:proofErr w:type="spellEnd"/>
      <w:r>
        <w:t xml:space="preserve"> prudenziale, e la sua evidenza è graduata con il medesimo rigore applicato alle affermazioni cliniche. La seconda avvertenza riguarda il rapporto tra il modello e i costi. La descrizione del dispositivo operativo individua, lungo il percorso, i punti in cui il modello genera costo diretto e i punti in cui esso produce efficienza; ma la traduzione di questi punti in cifre — il costo del personale, della struttura, della leva digitale e della formazione, da un lato; i risparmi diretti e i benefici indiretti, dall’altro — è rinviata alle parti settima, ottava, nona e decima, dove sarà condotta con la disciplina della separazione tra grandezze dirette e indirette e della regola di non duplicazione.</w:t>
      </w:r>
    </w:p>
    <w:p w14:paraId="36607FD8" w14:textId="77777777" w:rsidR="007C4598" w:rsidRDefault="007C4598"/>
    <w:p w14:paraId="2F154954" w14:textId="77777777" w:rsidR="007C4598" w:rsidRDefault="00000000">
      <w:pPr>
        <w:pStyle w:val="Titolo2"/>
        <w:spacing w:before="200" w:after="100"/>
      </w:pPr>
      <w:r>
        <w:rPr>
          <w:sz w:val="22"/>
          <w:szCs w:val="22"/>
        </w:rPr>
        <w:t>Introduzione</w:t>
      </w:r>
    </w:p>
    <w:p w14:paraId="5EAAD668" w14:textId="77777777" w:rsidR="007C4598" w:rsidRDefault="007C4598"/>
    <w:p w14:paraId="5AF04B24" w14:textId="77777777" w:rsidR="007C4598" w:rsidRDefault="00000000">
      <w:pPr>
        <w:jc w:val="both"/>
      </w:pPr>
      <w:r>
        <w:t>Un modello organizzativo è la forma che un servizio assume per trasformare una capacità potenziale in una prestazione effettiva. Nel caso del Servizio di Psicologia di Base, la capacità potenziale è quella di intercettare precocemente il disagio psichico comune, di trattarlo con interventi brevi e fondati sull’evidenza nel luogo più prossimo alla persona, e di riservare ai servizi specialistici i quadri di maggiore gravità; la prestazione effettiva è la presa in carico di prossimità, gratuita e tempestiva, che la riforma promette. Tra la capacità e la prestazione si interpone il modello: l’insieme dei percorsi, dei criteri, delle regole di collaborazione e degli strumenti che determinano se e come la promessa si realizzi. La letteratura internazionale sull’integrazione della salute mentale nelle cure primarie ha individuato, in oltre due decenni di sperimentazione, alcuni principi organizzativi ricorrenti, che i sistemi sanitari dei paesi ad alto reddito hanno adottato sotto denominazioni diverse — assistenza collaborativa, cura integrata, cura per intensità crescente, salute mentale nelle cure primarie — e che condividono un nucleo comune.</w:t>
      </w:r>
      <w:r>
        <w:rPr>
          <w:color w:val="555555"/>
          <w:sz w:val="16"/>
          <w:szCs w:val="16"/>
          <w:vertAlign w:val="superscript"/>
        </w:rPr>
        <w:t>[1]</w:t>
      </w:r>
      <w:r>
        <w:t xml:space="preserve"> Questo nucleo comune costituisce il fondamento del modello qui descritto, adattato alle condizioni e alle sedi del sistema sanitario pugliese.</w:t>
      </w:r>
    </w:p>
    <w:p w14:paraId="4F7F8B7B" w14:textId="77777777" w:rsidR="007C4598" w:rsidRDefault="007C4598"/>
    <w:p w14:paraId="6B16BAA2" w14:textId="77777777" w:rsidR="007C4598" w:rsidRDefault="00000000">
      <w:pPr>
        <w:jc w:val="both"/>
      </w:pPr>
      <w:r>
        <w:t xml:space="preserve">La parte si articola in sette voci, che procedono dal cuore clinico-organizzativo del servizio verso le sue condizioni di sostenibilità e di scala. La prima voce definisce il modello operativo nei suoi quattro elementi costitutivi: la cura per intensità crescente, che ordina gli interventi per livelli di intensità; l’assistenza collaborativa, che struttura la cooperazione tra le figure; la coppia clinica, che vincola lo Psicologo di Base e il medico di medicina generale in una relazione di lavoro stabile; e i percorsi diagnostico-terapeutici assistenziali, che codificano la sequenza delle azioni dall’ingresso all’esito. La seconda voce espone l’integrazione tra il livello delle cure primarie e quello dei servizi specialistici, e i percorsi clinici che la rendono operativa, con particolare attenzione alle regole di invio e di ritorno che governano il flusso dei pazienti. La terza voce ordina le leve abilitanti organizzative e di processo, distinguendole dalla leva digitale e collocandole nella loro funzione propria. La quarta voce tratta la leva digitale e l’Intelligenza Artificiale lungo l’intero ciclo assistenziale — la diagnostica e il triage, la prevenzione e la stratificazione del rischio, il trattamento con le terapie digitali e con la terapia cognitivo-comportamentale erogata via internet, la riabilitazione e il monitoraggio remoto — con la graduazione dell’evidenza che la disciplina dell’opera impone. La quinta voce definisce i dispositivi terapeutici digitali su prescrizione e la cornice di rischio che ne governa l’impiego. La sesta voce stabilisce la </w:t>
      </w:r>
      <w:proofErr w:type="spellStart"/>
      <w:r>
        <w:t>governance</w:t>
      </w:r>
      <w:proofErr w:type="spellEnd"/>
      <w:r>
        <w:t xml:space="preserve"> prudenziale dell’Intelligenza Artificiale, nei suoi presidi di sicurezza, equità, supervisione umana e responsabilità. La settima voce fissa il dimensionamento del servizio e gli scenari di copertura che reggeranno la modellazione economica delle parti successive.</w:t>
      </w:r>
    </w:p>
    <w:p w14:paraId="6202C798" w14:textId="77777777" w:rsidR="007C4598" w:rsidRDefault="007C4598"/>
    <w:p w14:paraId="1FAFFDE5" w14:textId="77777777" w:rsidR="007C4598" w:rsidRDefault="00000000">
      <w:pPr>
        <w:jc w:val="both"/>
      </w:pPr>
      <w:r>
        <w:t xml:space="preserve">Il filo che tiene insieme le sette voci è la coerenza tra la forma del servizio e la sua funzione. Ogni elemento del modello — il livello di intensità, la regola di invio, la leva abilitante, lo strumento digitale, il presidio di </w:t>
      </w:r>
      <w:proofErr w:type="spellStart"/>
      <w:r>
        <w:t>governance</w:t>
      </w:r>
      <w:proofErr w:type="spellEnd"/>
      <w:r>
        <w:t>, lo scenario di copertura — è descritto non come una caratteristica tecnica isolata, ma in rapporto al fine che la riforma persegue e al posto che esso occupa nella cascata delle figure e nella distribuzione degli effetti tra i domini. In questo modo la quarta parte prepara il terreno alle parti economiche: quando, nelle parti settima e ottava, si quantificheranno i costi e i risparmi diretti, e quando, nella nona, si misureranno i benefici indiretti lungo il perimetro multidisciplinare integrale, il lettore disporrà già della descrizione del dispositivo che quei costi sostiene e quei benefici produce.</w:t>
      </w:r>
    </w:p>
    <w:p w14:paraId="3DABEE58" w14:textId="77777777" w:rsidR="007C4598" w:rsidRDefault="007C4598"/>
    <w:p w14:paraId="07E369A2" w14:textId="77777777" w:rsidR="007C4598" w:rsidRDefault="00000000">
      <w:pPr>
        <w:pStyle w:val="Titolo2"/>
        <w:spacing w:before="200" w:after="100"/>
      </w:pPr>
      <w:r>
        <w:rPr>
          <w:sz w:val="22"/>
          <w:szCs w:val="22"/>
        </w:rPr>
        <w:t>4.1  Il modello operativo: cura per intensità crescente, assistenza collaborativa, coppia clinica, percorsi diagnostico-terapeutici assistenziali</w:t>
      </w:r>
    </w:p>
    <w:p w14:paraId="3A582027" w14:textId="77777777" w:rsidR="007C4598" w:rsidRDefault="007C4598"/>
    <w:p w14:paraId="61D649C3" w14:textId="77777777" w:rsidR="007C4598" w:rsidRDefault="00000000">
      <w:pPr>
        <w:jc w:val="both"/>
      </w:pPr>
      <w:r>
        <w:rPr>
          <w:i/>
          <w:iCs/>
        </w:rPr>
        <w:t>Questa prima voce definisce l’ossatura clinico-organizzativa del servizio. Essa descrive i quattro elementi costitutivi del modello operativo — la cura per intensità crescente, l’assistenza collaborativa, la coppia clinica e i percorsi diagnostico-terapeutici assistenziali — mostrando come ciascuno risponda a una funzione precisa e come i quattro, insieme, compongano il dispositivo che trasforma il bisogno intercettato in presa in carico appropriata. Il modello è ricondotto ai programmi internazionali che lo hanno validato e adattato alle sedi del sistema sanitario pugliese.</w:t>
      </w:r>
    </w:p>
    <w:p w14:paraId="74D8B69F" w14:textId="77777777" w:rsidR="007C4598" w:rsidRDefault="007C4598"/>
    <w:p w14:paraId="38E2EA79" w14:textId="77777777" w:rsidR="007C4598" w:rsidRDefault="00000000">
      <w:pPr>
        <w:pStyle w:val="Titolo3"/>
        <w:spacing w:before="200" w:after="100"/>
      </w:pPr>
      <w:r>
        <w:rPr>
          <w:color w:val="16264B"/>
          <w:sz w:val="22"/>
          <w:szCs w:val="22"/>
        </w:rPr>
        <w:t>La cura per intensità crescente</w:t>
      </w:r>
    </w:p>
    <w:p w14:paraId="7449EF68" w14:textId="77777777" w:rsidR="007C4598" w:rsidRDefault="007C4598"/>
    <w:p w14:paraId="5372659C" w14:textId="77777777" w:rsidR="007C4598" w:rsidRDefault="00000000">
      <w:pPr>
        <w:jc w:val="both"/>
      </w:pPr>
      <w:r>
        <w:t>Il primo elemento del modello è la cura per intensità crescente, principio organizzativo secondo cui gli interventi sono ordinati per livelli di intensità e la persona è indirizzata, in prima istanza, all’intervento meno intensivo che risulti appropriato al suo quadro, riservando gli interventi più intensivi a chi non risponda al primo livello o presenti una complessità maggiore. Il principio risponde a una duplice esigenza, clinica ed economica: clinica, perché evita di sottoporre i quadri lievi a trattamenti sproporzionati e di lasciare i quadri gravi a interventi insufficienti; economica, perché alloca la risorsa più costosa — il tempo dello specialista — dove essa produce il maggiore valore, e affida ai livelli meno intensivi la grande massa dei disturbi comuni. Il programma inglese di terapie psicologiche, avviato nel 2008 e oggi denominato terapie psicologiche del Servizio sanitario nazionale, costituisce l’applicazione più consolidata e meglio documentata di questo principio.</w:t>
      </w:r>
      <w:r>
        <w:rPr>
          <w:color w:val="555555"/>
          <w:sz w:val="16"/>
          <w:szCs w:val="16"/>
          <w:vertAlign w:val="superscript"/>
        </w:rPr>
        <w:t>[2]</w:t>
      </w:r>
      <w:r>
        <w:t xml:space="preserve"> Esso si articola su due livelli di intensità: un primo livello, a bassa intensità, di interventi brevi di quattro-sei sedute fondati su principi cognitivo-comportamentali ed erogati in forme flessibili, comprese le sessioni individuali brevi, gli interventi di gruppo e l’auto-aiuto guidato con supporto telefonico o digitale; e un secondo livello, ad alta intensità, di terapie cognitivo-comportamentali strutturate di otto-venti sedute, destinate a chi non abbia risposto al primo livello o presenti quadri di maggiore complessità.</w:t>
      </w:r>
    </w:p>
    <w:p w14:paraId="66B10309" w14:textId="77777777" w:rsidR="007C4598" w:rsidRDefault="007C4598"/>
    <w:p w14:paraId="2FCE69A8" w14:textId="77777777" w:rsidR="007C4598" w:rsidRDefault="00000000">
      <w:pPr>
        <w:jc w:val="both"/>
      </w:pPr>
      <w:r>
        <w:t xml:space="preserve">Il modello del Servizio di Psicologia di Base in Puglia recepisce questo principio adattandolo alle proprie sedi e alle proprie figure. Il primo livello è collocato nelle cure primarie, presso le Case della Comunità e gli studi della medicina generale, e affidato allo Psicologo di Base, che eroga interventi brevi, fondati sull’evidenza e orientati agli esiti, alla grande massa dei disturbi comuni di severità lieve e moderata. Il secondo livello è costituito dai servizi specialistici territoriali — i Centri di Salute Mentale, i servizi per le dipendenze, la neuropsichiatria dell’infanzia e dell’adolescenza — che accolgono i quadri di maggiore gravità, le situazioni di rischio e le condizioni che richiedano la presa in carico </w:t>
      </w:r>
      <w:proofErr w:type="spellStart"/>
      <w:r>
        <w:t>multiprofessionale</w:t>
      </w:r>
      <w:proofErr w:type="spellEnd"/>
      <w:r>
        <w:t xml:space="preserve"> o il ricorso alla farmacoterapia specialistica. Tra i due livelli opera un filtro strutturato, fondato su criteri espliciti di intensità e di rischio, che determina l’indirizzo iniziale della persona e ne regola l’eventuale passaggio dall’uno all’altro. La funzione di filtro è economicamente decisiva, perché è essa a produrre la riallocazione della domanda che le parti successive quantificheranno: trattenendo nel primo livello i quadri che oggi, in assenza di un’offerta di prossimità, si rivolgono impropriamente al pronto soccorso o ai servizi specialistici, il modello libera capacità specialistica e riduce gli accessi inappropriati.</w:t>
      </w:r>
    </w:p>
    <w:p w14:paraId="1CB80F66" w14:textId="77777777" w:rsidR="007C4598" w:rsidRDefault="007C4598"/>
    <w:p w14:paraId="5C338CD3" w14:textId="77777777" w:rsidR="007C4598" w:rsidRDefault="00000000">
      <w:pPr>
        <w:pStyle w:val="Titolo3"/>
        <w:spacing w:before="200" w:after="100"/>
      </w:pPr>
      <w:r>
        <w:rPr>
          <w:color w:val="16264B"/>
          <w:sz w:val="22"/>
          <w:szCs w:val="22"/>
        </w:rPr>
        <w:t>L’assistenza collaborativa</w:t>
      </w:r>
    </w:p>
    <w:p w14:paraId="40AE7383" w14:textId="77777777" w:rsidR="007C4598" w:rsidRDefault="007C4598"/>
    <w:p w14:paraId="7F9241E7" w14:textId="77777777" w:rsidR="007C4598" w:rsidRDefault="00000000">
      <w:pPr>
        <w:jc w:val="both"/>
      </w:pPr>
      <w:r>
        <w:t>Il secondo elemento del modello è l’assistenza collaborativa, che struttura la cooperazione tra le figure attorno alla persona presa in carico. Mentre la cura per intensità crescente ordina gli interventi in senso verticale, per livelli, l’assistenza collaborativa li integra in senso orizzontale, definendo i ruoli, i flussi di comunicazione e i criteri di responsabilità condivisa che legano le figure coinvolte. Il modello di assistenza collaborativa sviluppato presso l’Università di Washington, validato da oltre novanta studi randomizzati controllati, ne costituisce il riferimento più solido.</w:t>
      </w:r>
      <w:r>
        <w:rPr>
          <w:color w:val="555555"/>
          <w:sz w:val="16"/>
          <w:szCs w:val="16"/>
          <w:vertAlign w:val="superscript"/>
        </w:rPr>
        <w:t>[3]</w:t>
      </w:r>
      <w:r>
        <w:t xml:space="preserve"> Esso prevede un’équipe integrata, composta dal medico di base, da un responsabile dell’assistenza con formazione in salute mentale e da uno psichiatra consulente per i casi complessi; uno screening sistematico mediante questionari standardizzati; un insieme di interventi che combinano la </w:t>
      </w:r>
      <w:proofErr w:type="spellStart"/>
      <w:r>
        <w:t>psicoeducazione</w:t>
      </w:r>
      <w:proofErr w:type="spellEnd"/>
      <w:r>
        <w:t>, gli interventi comportamentali brevi e, ove appropriata, la farmacoterapia; e un monitoraggio continuo degli esiti, con adattamento del piano di cura in funzione della risposta. La revisione sistematica della letteratura ha documentato, per questo modello, un miglioramento dei sintomi depressivi e ansiosi superiore a quello dell’assistenza ordinaria, con effetti che si mantengono nel tempo.</w:t>
      </w:r>
      <w:r>
        <w:rPr>
          <w:color w:val="555555"/>
          <w:sz w:val="16"/>
          <w:szCs w:val="16"/>
          <w:vertAlign w:val="superscript"/>
        </w:rPr>
        <w:t>[4]</w:t>
      </w:r>
    </w:p>
    <w:p w14:paraId="28F7288A" w14:textId="77777777" w:rsidR="007C4598" w:rsidRDefault="007C4598"/>
    <w:p w14:paraId="2CDB0615" w14:textId="77777777" w:rsidR="007C4598" w:rsidRDefault="00000000">
      <w:pPr>
        <w:jc w:val="both"/>
      </w:pPr>
      <w:r>
        <w:t>Nel modello pugliese l’assistenza collaborativa si concretizza in alcune regole di funzionamento. La presa in carico è condivisa: lo Psicologo di Base non opera come un erogatore isolato di prestazioni, ma come componente di un’équipe territoriale in cui il medico di medicina generale conserva la titolarità clinica complessiva del paziente, l’infermiere di famiglia e di comunità assume, ove previsto, la funzione di responsabile dell’assistenza per il monitoraggio e la continuità, e lo psichiatra dei Centri di Salute Mentale interviene in consulenza per i quadri che la superino. La comunicazione tra le figure è strutturata e tracciata: l’invio dal medico allo psicologo e il ritorno dallo psicologo al medico avvengono secondo protocolli espliciti, con la restituzione sistematica dell’esito e con la condivisione del piano. Il monitoraggio degli esiti è il perno della collaborazione: la somministrazione dei questionari standardizzati prima e dopo l’intervento, e in alcuni casi seduta per seduta, fornisce a tutte le figure la misura oggettiva della risposta e attiva, in caso di mancato miglioramento, il passaggio al livello superiore. L’assistenza collaborativa è dunque, al tempo stesso, un principio clinico e un’architettura informativa, e la sua efficacia dipende dalla qualità degli strumenti che la sostengono — una circostanza che, come si vedrà, definisce lo spazio proprio della leva digitale.</w:t>
      </w:r>
    </w:p>
    <w:p w14:paraId="69852633" w14:textId="77777777" w:rsidR="007C4598" w:rsidRDefault="007C4598"/>
    <w:p w14:paraId="341752D0" w14:textId="77777777" w:rsidR="007C4598" w:rsidRDefault="00000000">
      <w:pPr>
        <w:pStyle w:val="Titolo3"/>
        <w:spacing w:before="200" w:after="100"/>
      </w:pPr>
      <w:r>
        <w:rPr>
          <w:color w:val="16264B"/>
          <w:sz w:val="22"/>
          <w:szCs w:val="22"/>
        </w:rPr>
        <w:t>La coppia clinica</w:t>
      </w:r>
    </w:p>
    <w:p w14:paraId="7DD0B8B2" w14:textId="77777777" w:rsidR="007C4598" w:rsidRDefault="007C4598"/>
    <w:p w14:paraId="4B4A7B46" w14:textId="77777777" w:rsidR="007C4598" w:rsidRDefault="00000000">
      <w:pPr>
        <w:jc w:val="both"/>
      </w:pPr>
      <w:r>
        <w:t>Il terzo elemento del modello è la coppia clinica, ossia la relazione di lavoro stabile tra lo Psicologo di Base e il medico di medicina generale collocata al centro del dispositivo. La nozione di coppia clinica non è una semplice metafora organizzativa, ma la specificazione del legame funzionale che, nel modello pugliese, costituisce l’unità elementare della presa in carico nelle cure primarie. Il medico di medicina generale è, per la grande maggioranza delle persone, il primo e più frequente punto di contatto con il sistema sanitario, ed è presso il suo studio che il disagio psichico comune si manifesta per la prima volta, spesso in forma somatizzata o intrecciata alla patologia organica. Lo Psicologo di Base, collocato accanto al medico nella stessa sede o in sedi prossime e collegate, riceve da questo gli invii, restituisce gli esiti e condivide la responsabilità della cura. La coppia clinica realizza così la prossimità non solo fisica ma relazionale tra la competenza medica e la competenza psicologica, e supera la frammentazione che oggi separa il momento dell’intercettazione, affidato al medico, dal momento del trattamento, rinviato a servizi specialistici distanti e congestionati.</w:t>
      </w:r>
    </w:p>
    <w:p w14:paraId="03681AF4" w14:textId="77777777" w:rsidR="007C4598" w:rsidRDefault="007C4598"/>
    <w:p w14:paraId="4BDEB30B" w14:textId="77777777" w:rsidR="007C4598" w:rsidRDefault="00000000">
      <w:pPr>
        <w:jc w:val="both"/>
      </w:pPr>
      <w:r>
        <w:t>La coppia clinica produce effetti che attraversano l’intera cascata delle figure e che le parti economiche dovranno valutare. Sul versante dell’appropriatezza, essa consente al medico di indirizzare il disagio psichico verso un trattamento specifico anziché verso la prescrizione farmacologica impropria o l’invio allo specialista, riducendo il consumo inappropriato di farmaci e gli invii non necessari. Sul versante della continuità, essa mantiene il paziente all’interno del medesimo presidio di cura, evitando le dispersioni e le interruzioni che segnano i percorsi frammentati. Sul versante del carico, essa alleggerisce il medico di medicina generale, oggi gravato da una quota rilevante di consultazioni a contenuto psicologico per le quali non dispone né del tempo né degli strumenti appropriati, e restituisce alla sua attività la concentrazione sulla componente clinica di propria competenza. La coppia clinica è, in questo senso, il punto in cui la riforma incide più direttamente sulla figura collocata, nella cascata, immediatamente al di sotto dell’apice, e da cui si propagano gli effetti verso le figure e i domini ulteriori.</w:t>
      </w:r>
    </w:p>
    <w:p w14:paraId="398793E0" w14:textId="77777777" w:rsidR="007C4598" w:rsidRDefault="007C4598"/>
    <w:p w14:paraId="2140BAEA" w14:textId="77777777" w:rsidR="007C4598" w:rsidRDefault="00000000">
      <w:pPr>
        <w:pStyle w:val="Titolo3"/>
        <w:spacing w:before="200" w:after="100"/>
      </w:pPr>
      <w:r>
        <w:rPr>
          <w:color w:val="16264B"/>
          <w:sz w:val="22"/>
          <w:szCs w:val="22"/>
        </w:rPr>
        <w:t>I percorsi diagnostico-terapeutici assistenziali</w:t>
      </w:r>
    </w:p>
    <w:p w14:paraId="4B4F61DF" w14:textId="77777777" w:rsidR="007C4598" w:rsidRDefault="007C4598"/>
    <w:p w14:paraId="3F6A9110" w14:textId="77777777" w:rsidR="007C4598" w:rsidRDefault="00000000">
      <w:pPr>
        <w:jc w:val="both"/>
      </w:pPr>
      <w:r>
        <w:t>Il quarto elemento del modello è costituito dai percorsi diagnostico-terapeutici assistenziali, che codificano in una sequenza esplicita le azioni che conducono la persona dall’ingresso nel servizio all’esito della presa in carico. Un percorso diagnostico-terapeutico assistenziale è la rappresentazione formale del processo di cura per una determinata condizione: esso definisce chi fa che cosa, in quale ordine, con quali criteri di decisione e con quali punti di verifica, e traduce in pratica operativa i principi della cura per intensità crescente e dell’assistenza collaborativa. Per i disturbi comuni di competenza dello Psicologo di Base — i disturbi depressivi e ansiosi di severità lieve e moderata, i disturbi dell’adattamento, le reazioni acute allo stress, le componenti psicologiche delle patologie croniche — il modello prevede percorsi che muovono dall’intercettazione presso il medico di medicina generale, proseguono con la valutazione iniziale e la stratificazione del rischio, conducono all’intervento breve appropriato e si chiudono con la verifica dell’esito e, secondo i casi, con la dimissione, con un ulteriore ciclo di intervento o con il passaggio al livello specialistico.</w:t>
      </w:r>
    </w:p>
    <w:p w14:paraId="764BDF9C" w14:textId="77777777" w:rsidR="007C4598" w:rsidRDefault="007C4598"/>
    <w:p w14:paraId="57CE6AD7" w14:textId="77777777" w:rsidR="007C4598" w:rsidRDefault="00000000">
      <w:pPr>
        <w:jc w:val="both"/>
      </w:pPr>
      <w:r>
        <w:t>La codificazione dei percorsi assolve tre funzioni che concorrono alla sostenibilità del modello. Essa garantisce l’uniformità della presa in carico, sottraendo la decisione clinica all’arbitrio del singolo e ancorandola a criteri condivisi e verificabili, condizione necessaria perché il servizio produca esiti misurabili e confrontabili tra i territori. Essa rende possibile la valutazione, perché un processo codificato è un processo misurabile, e fornisce i punti di rilevazione su cui poggeranno gli indicatori del sistema di monitoraggio. Essa, infine, definisce i confini delle responsabilità, stabilendo con precisione il momento in cui il paziente transita da una figura all’altra e da un livello all’altro, e prevenendo così tanto le sovrapposizioni quanto le omissioni. I percorsi diagnostico-terapeutici assistenziali sono, in questo senso, l’elemento che conferisce al modello la sua qualità di sistema: non un insieme di prestazioni giustapposte, ma una sequenza ordinata e governata, di cui ogni passaggio è definito, attribuito e verificabile. La tabella che segue ricompone i quattro elementi costitutivi del modello operativo, indicandone per ciascuno la funzione e il riferimento.</w:t>
      </w:r>
    </w:p>
    <w:p w14:paraId="24E5AE06" w14:textId="77777777" w:rsidR="007C4598" w:rsidRDefault="007C4598"/>
    <w:p w14:paraId="1A51CF95" w14:textId="77777777" w:rsidR="007C4598" w:rsidRDefault="00000000">
      <w:pPr>
        <w:jc w:val="both"/>
      </w:pPr>
      <w:r>
        <w:rPr>
          <w:b/>
          <w:bCs/>
        </w:rPr>
        <w:t>Tabella 4.1 — I quattro elementi costitutivi del modello operativo</w:t>
      </w:r>
    </w:p>
    <w:p w14:paraId="4F9551D5"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536250A1"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E7135E4" w14:textId="77777777" w:rsidR="007C4598" w:rsidRDefault="00000000">
            <w:pPr>
              <w:spacing w:after="40"/>
            </w:pPr>
            <w:r>
              <w:rPr>
                <w:b/>
                <w:bCs/>
                <w:color w:val="FFFFFF"/>
                <w:sz w:val="18"/>
                <w:szCs w:val="18"/>
              </w:rPr>
              <w:t>Elemento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82D39AE" w14:textId="77777777" w:rsidR="007C4598" w:rsidRDefault="00000000">
            <w:pPr>
              <w:spacing w:after="40"/>
            </w:pPr>
            <w:r>
              <w:rPr>
                <w:b/>
                <w:bCs/>
                <w:color w:val="FFFFFF"/>
                <w:sz w:val="18"/>
                <w:szCs w:val="18"/>
              </w:rPr>
              <w:t>Funzione nel modello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A0A977D" w14:textId="77777777" w:rsidR="007C4598" w:rsidRDefault="00000000">
            <w:pPr>
              <w:spacing w:after="40"/>
            </w:pPr>
            <w:r>
              <w:rPr>
                <w:b/>
                <w:bCs/>
                <w:color w:val="FFFFFF"/>
                <w:sz w:val="18"/>
                <w:szCs w:val="18"/>
              </w:rPr>
              <w:t>Riferimento e adattamento pugliese</w:t>
            </w:r>
          </w:p>
        </w:tc>
      </w:tr>
      <w:tr w:rsidR="007C4598" w14:paraId="09BB8D1B"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DBC0F7E" w14:textId="77777777" w:rsidR="007C4598" w:rsidRDefault="00000000">
            <w:pPr>
              <w:spacing w:after="40"/>
            </w:pPr>
            <w:r>
              <w:t>Cura per intensità crescente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2AB6144" w14:textId="77777777" w:rsidR="007C4598" w:rsidRDefault="00000000">
            <w:pPr>
              <w:spacing w:after="40"/>
            </w:pPr>
            <w:r>
              <w:t>Ordina gli interventi per livelli di intensità; indirizza al livello meno intensivo appropriato e riserva i livelli più intensivi ai quadri non responsivi o complessi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3BF375B" w14:textId="77777777" w:rsidR="007C4598" w:rsidRDefault="00000000">
            <w:pPr>
              <w:spacing w:after="40"/>
            </w:pPr>
            <w:r>
              <w:t>Programma inglese di terapie psicologiche; primo livello nelle cure primarie (Psicologo di Base), secondo livello nei servizi specialistici</w:t>
            </w:r>
          </w:p>
        </w:tc>
      </w:tr>
      <w:tr w:rsidR="007C4598" w14:paraId="532CD0E5"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B20FFA0" w14:textId="77777777" w:rsidR="007C4598" w:rsidRDefault="00000000">
            <w:pPr>
              <w:spacing w:after="40"/>
            </w:pPr>
            <w:r>
              <w:t>Assistenza collaborativa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BFB8D85" w14:textId="77777777" w:rsidR="007C4598" w:rsidRDefault="00000000">
            <w:pPr>
              <w:spacing w:after="40"/>
            </w:pPr>
            <w:r>
              <w:t>Integra le figure in senso orizzontale; definisce ruoli, comunicazione strutturata e responsabilità condivisa attorno alla persona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C70EC7A" w14:textId="77777777" w:rsidR="007C4598" w:rsidRDefault="00000000">
            <w:pPr>
              <w:spacing w:after="40"/>
            </w:pPr>
            <w:r>
              <w:t>Modello dell’Università di Washington; équipe territoriale con titolarità del medico, responsabile dell’assistenza e consulenza specialistica</w:t>
            </w:r>
          </w:p>
        </w:tc>
      </w:tr>
      <w:tr w:rsidR="007C4598" w14:paraId="31C344DC"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956D374" w14:textId="77777777" w:rsidR="007C4598" w:rsidRDefault="00000000">
            <w:pPr>
              <w:spacing w:after="40"/>
            </w:pPr>
            <w:r>
              <w:t>Coppia clinica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2FB096C" w14:textId="77777777" w:rsidR="007C4598" w:rsidRDefault="00000000">
            <w:pPr>
              <w:spacing w:after="40"/>
            </w:pPr>
            <w:r>
              <w:t>Vincola lo Psicologo di Base e il medico di medicina generale in una relazione di lavoro stabile; unità elementare della presa in carico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3A52683" w14:textId="77777777" w:rsidR="007C4598" w:rsidRDefault="00000000">
            <w:pPr>
              <w:spacing w:after="40"/>
            </w:pPr>
            <w:r>
              <w:t>Collocazione dello psicologo nella sede del medico o in sedi prossime e collegate, presso le Case della Comunità</w:t>
            </w:r>
          </w:p>
        </w:tc>
      </w:tr>
      <w:tr w:rsidR="007C4598" w14:paraId="73BB31FE"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B357A86" w14:textId="77777777" w:rsidR="007C4598" w:rsidRDefault="00000000">
            <w:pPr>
              <w:spacing w:after="40"/>
            </w:pPr>
            <w:r>
              <w:t>Percorsi diagnostico-terapeutici assistenziali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DAA2EE9" w14:textId="77777777" w:rsidR="007C4598" w:rsidRDefault="00000000">
            <w:pPr>
              <w:spacing w:after="40"/>
            </w:pPr>
            <w:r>
              <w:t>Codificano la sequenza delle azioni dall’ingresso all’esito; garantiscono uniformità, misurabilità e confini di responsabilità</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4D67E61" w14:textId="77777777" w:rsidR="007C4598" w:rsidRDefault="00000000">
            <w:pPr>
              <w:spacing w:after="40"/>
            </w:pPr>
            <w:r>
              <w:t>Percorsi per i disturbi comuni lievi-moderati, dall’intercettazione alla verifica dell’esito e all’eventuale passaggio di livello</w:t>
            </w:r>
          </w:p>
        </w:tc>
      </w:tr>
    </w:tbl>
    <w:p w14:paraId="6F79C68C" w14:textId="77777777" w:rsidR="007C4598" w:rsidRDefault="007C4598"/>
    <w:p w14:paraId="2DC2CAA4" w14:textId="77777777" w:rsidR="007C4598" w:rsidRDefault="00000000">
      <w:pPr>
        <w:jc w:val="both"/>
      </w:pPr>
      <w:r>
        <w:rPr>
          <w:i/>
          <w:iCs/>
        </w:rPr>
        <w:t>Elaborazione dello studio sui modelli internazionali di integrazione della salute mentale nelle cure primarie e sull’assetto del sistema sanitario regionale pugliese.</w:t>
      </w:r>
    </w:p>
    <w:p w14:paraId="24E4D111"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0B4B140C"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9354AB2" w14:textId="77777777" w:rsidR="007C4598" w:rsidRDefault="00000000">
            <w:pPr>
              <w:spacing w:after="40"/>
            </w:pPr>
            <w:r>
              <w:rPr>
                <w:b/>
                <w:bCs/>
                <w:color w:val="FFFFFF"/>
                <w:sz w:val="18"/>
                <w:szCs w:val="18"/>
              </w:rPr>
              <w:t xml:space="preserve">◆  SEGNALIBRO — INFOGRAFICA 4.1 · DA INSERIRE A POSTERIORI Titolo previsto: Il modello a intensità crescente del Servizio di Psicologia di Base — Puglia Contenuto da rappresentare: Piramide a due livelli che colloca alla base il primo livello a bassa intensità (cure primarie, Psicologo di Base, interventi brevi per i disturbi comuni) e al vertice il secondo livello ad alta intensità (servizi specialistici per i quadri gravi e complessi); fra i due livelli, il filtro strutturato di triage che regola l’indirizzo iniziale e il passaggio di livello. Obiettivo: mostrare come la grande massa della domanda sia trattenuta e risolta nel primo livello, liberando capacità specialistica. Codice </w:t>
            </w:r>
            <w:proofErr w:type="spellStart"/>
            <w:r>
              <w:rPr>
                <w:b/>
                <w:bCs/>
                <w:color w:val="FFFFFF"/>
                <w:sz w:val="18"/>
                <w:szCs w:val="18"/>
              </w:rPr>
              <w:t>Canva-Friendly</w:t>
            </w:r>
            <w:proofErr w:type="spellEnd"/>
            <w:r>
              <w:rPr>
                <w:b/>
                <w:bCs/>
                <w:color w:val="FFFFFF"/>
                <w:sz w:val="18"/>
                <w:szCs w:val="18"/>
              </w:rPr>
              <w:t xml:space="preserve"> (scheda di generazione) TIPO: piramide a due strati con banda intermedia (filtro) e graffe laterali FORMATO: 1280 × 1000 </w:t>
            </w:r>
            <w:proofErr w:type="spellStart"/>
            <w:r>
              <w:rPr>
                <w:b/>
                <w:bCs/>
                <w:color w:val="FFFFFF"/>
                <w:sz w:val="18"/>
                <w:szCs w:val="18"/>
              </w:rPr>
              <w:t>px</w:t>
            </w:r>
            <w:proofErr w:type="spellEnd"/>
            <w:r>
              <w:rPr>
                <w:b/>
                <w:bCs/>
                <w:color w:val="FFFFFF"/>
                <w:sz w:val="18"/>
                <w:szCs w:val="18"/>
              </w:rPr>
              <w:t xml:space="preserve">; adatta a slide e ad A4 SFONDO: gradiente verticale bianco #FFFFFF 85% → crema #F3EAD6 15% PALETTE: base (primo livello) #2E5AA0; vertice (secondo livello) #101F3C; banda filtro #C49A48; testo su </w:t>
            </w:r>
            <w:proofErr w:type="spellStart"/>
            <w:r>
              <w:rPr>
                <w:b/>
                <w:bCs/>
                <w:color w:val="FFFFFF"/>
                <w:sz w:val="18"/>
                <w:szCs w:val="18"/>
              </w:rPr>
              <w:t>navy</w:t>
            </w:r>
            <w:proofErr w:type="spellEnd"/>
            <w:r>
              <w:rPr>
                <w:b/>
                <w:bCs/>
                <w:color w:val="FFFFFF"/>
                <w:sz w:val="18"/>
                <w:szCs w:val="18"/>
              </w:rPr>
              <w:t xml:space="preserve"> #FFFFFF, testo su chiaro #16264B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etichette dei livelli </w:t>
            </w:r>
            <w:proofErr w:type="spellStart"/>
            <w:r>
              <w:rPr>
                <w:b/>
                <w:bCs/>
                <w:color w:val="FFFFFF"/>
                <w:sz w:val="18"/>
                <w:szCs w:val="18"/>
              </w:rPr>
              <w:t>Bold</w:t>
            </w:r>
            <w:proofErr w:type="spellEnd"/>
            <w:r>
              <w:rPr>
                <w:b/>
                <w:bCs/>
                <w:color w:val="FFFFFF"/>
                <w:sz w:val="18"/>
                <w:szCs w:val="18"/>
              </w:rPr>
              <w:t xml:space="preserve">, descrizioni Regular TITOLO: «Il modello a intensità crescente — Servizio di Psicologia di Base, Puglia» BASE (primo livello): Cure primarie · Psicologo di Base · interventi brevi (4-6 sedute) · disturbi comuni lievi-moderati BANDA INTERMEDIA (filtro): Triage strutturato per intensità e rischio · indirizzo iniziale e passaggio di livello VERTICE (secondo livello): Servizi specialistici · Centri di Salute Mentale · quadri gravi e complessi · presa in carico </w:t>
            </w:r>
            <w:proofErr w:type="spellStart"/>
            <w:r>
              <w:rPr>
                <w:b/>
                <w:bCs/>
                <w:color w:val="FFFFFF"/>
                <w:sz w:val="18"/>
                <w:szCs w:val="18"/>
              </w:rPr>
              <w:t>multiprofessionale</w:t>
            </w:r>
            <w:proofErr w:type="spellEnd"/>
            <w:r>
              <w:rPr>
                <w:b/>
                <w:bCs/>
                <w:color w:val="FFFFFF"/>
                <w:sz w:val="18"/>
                <w:szCs w:val="18"/>
              </w:rPr>
              <w:t xml:space="preserve"> GRAFFA SINISTRA: da base a vertice: «intensità crescente dell’intervento» GRAFFA DESTRA: sul primo livello: «la grande massa della domanda è risolta qui» DIDASCALIA: «Il filtro trattiene nel primo livello i quadri comuni, liberando la capacità specialistica per i casi gravi» VARIANTE 3D (consigliata): piramide isometrica a due strati con base ampia in evidenza; etichette in piano FONTE (piè di figura): Elaborazione dello studio sui modelli internazionali di cura a intensità crescente</w:t>
            </w:r>
          </w:p>
          <w:p w14:paraId="0C7F807C" w14:textId="77777777" w:rsidR="007C4598" w:rsidRDefault="00000000">
            <w:pPr>
              <w:spacing w:before="120" w:after="60"/>
              <w:jc w:val="center"/>
            </w:pPr>
            <w:r>
              <w:rPr>
                <w:noProof/>
              </w:rPr>
              <w:drawing>
                <wp:inline distT="0" distB="0" distL="0" distR="0" wp14:anchorId="5A34610B" wp14:editId="267BBA11">
                  <wp:extent cx="8229600" cy="4629150"/>
                  <wp:effectExtent l="0" t="0" r="0" b="0"/>
                  <wp:docPr id="119" name="Infografica19" descr="Il modello a intensità crescente e i livelli di c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Infografica19"/>
                          <pic:cNvPicPr>
                            <a:picLocks noChangeAspect="1" noChangeArrowheads="1"/>
                          </pic:cNvPicPr>
                        </pic:nvPicPr>
                        <pic:blipFill>
                          <a:blip r:embed="rId27">
                            <a:extLst>
                              <a:ext uri="{96DAC541-7B7A-43D3-8B79-37D633B846F1}">
                                <asvg:svgBlip xmlns:asvg="http://schemas.microsoft.com/office/drawing/2016/SVG/main" r:embed="rId28"/>
                              </a:ext>
                            </a:extLst>
                          </a:blip>
                          <a:stretch>
                            <a:fillRect/>
                          </a:stretch>
                        </pic:blipFill>
                        <pic:spPr bwMode="auto">
                          <a:xfrm>
                            <a:off x="0" y="0"/>
                            <a:ext cx="8229600" cy="4629150"/>
                          </a:xfrm>
                          <a:prstGeom prst="rect">
                            <a:avLst/>
                          </a:prstGeom>
                          <a:noFill/>
                          <a:ln>
                            <a:noFill/>
                          </a:ln>
                        </pic:spPr>
                      </pic:pic>
                    </a:graphicData>
                  </a:graphic>
                </wp:inline>
              </w:drawing>
            </w:r>
          </w:p>
          <w:p w14:paraId="1270C53B" w14:textId="77777777" w:rsidR="007C4598" w:rsidRDefault="00000000">
            <w:pPr>
              <w:spacing w:before="40" w:after="200"/>
              <w:jc w:val="center"/>
            </w:pPr>
            <w:r>
              <w:rPr>
                <w:i/>
                <w:color w:val="2E5A8F"/>
                <w:sz w:val="16"/>
                <w:szCs w:val="16"/>
              </w:rPr>
              <w:t>Fig. 4.1 — Il modello a intensità crescente e i livelli di cura. Elaborazione dello studio · Luigi De Michele · Giugno 2026.</w:t>
            </w:r>
          </w:p>
        </w:tc>
      </w:tr>
    </w:tbl>
    <w:p w14:paraId="5A4CB8E5" w14:textId="77777777" w:rsidR="007C4598" w:rsidRDefault="007C4598"/>
    <w:p w14:paraId="4C5E0D4C" w14:textId="77777777" w:rsidR="007C4598" w:rsidRDefault="00000000">
      <w:pPr>
        <w:jc w:val="both"/>
      </w:pPr>
      <w:r>
        <w:t>Definiti i quattro elementi del modello operativo, resta da precisare il modo in cui i due livelli si integrano e i percorsi clinici si snodano tra le cure primarie e i servizi specialistici. È l’oggetto della voce seguente.</w:t>
      </w:r>
    </w:p>
    <w:p w14:paraId="4F30E9DC" w14:textId="77777777" w:rsidR="007C4598" w:rsidRDefault="007C4598"/>
    <w:p w14:paraId="2288812E" w14:textId="77777777" w:rsidR="007C4598" w:rsidRDefault="00000000">
      <w:pPr>
        <w:pStyle w:val="Titolo2"/>
        <w:spacing w:before="200" w:after="100"/>
      </w:pPr>
      <w:r>
        <w:rPr>
          <w:sz w:val="22"/>
          <w:szCs w:val="22"/>
        </w:rPr>
        <w:t>4.2  L’integrazione tra livelli e i percorsi clinici (cure primarie e servizi specialistici)</w:t>
      </w:r>
    </w:p>
    <w:p w14:paraId="69D07688" w14:textId="77777777" w:rsidR="007C4598" w:rsidRDefault="007C4598"/>
    <w:p w14:paraId="7D6041C7" w14:textId="77777777" w:rsidR="007C4598" w:rsidRDefault="00000000">
      <w:pPr>
        <w:jc w:val="both"/>
      </w:pPr>
      <w:r>
        <w:rPr>
          <w:i/>
          <w:iCs/>
        </w:rPr>
        <w:t>Questa voce espone il modo in cui i due livelli del modello — le cure primarie e i servizi specialistici — si integrano in un sistema unitario, e descrive i percorsi clinici che ne governano il funzionamento. Al centro dell’esposizione stanno le regole di invio e di ritorno, ossia i criteri espliciti che determinano quando una persona transita dal primo al secondo livello e quando rientra dal secondo al primo, perché è in queste regole che si decide la tenuta dell’intero dispositivo e si producono gli effetti economici che le parti successive quantificheranno.</w:t>
      </w:r>
    </w:p>
    <w:p w14:paraId="70C87197" w14:textId="77777777" w:rsidR="007C4598" w:rsidRDefault="007C4598"/>
    <w:p w14:paraId="54BAA943" w14:textId="77777777" w:rsidR="007C4598" w:rsidRDefault="00000000">
      <w:pPr>
        <w:pStyle w:val="Titolo3"/>
        <w:spacing w:before="200" w:after="100"/>
      </w:pPr>
      <w:r>
        <w:rPr>
          <w:color w:val="16264B"/>
          <w:sz w:val="22"/>
          <w:szCs w:val="22"/>
        </w:rPr>
        <w:t>Il principio dell’integrazione e l’assenza di porte sbagliate</w:t>
      </w:r>
    </w:p>
    <w:p w14:paraId="17FC4F7A" w14:textId="77777777" w:rsidR="007C4598" w:rsidRDefault="007C4598"/>
    <w:p w14:paraId="4581B085" w14:textId="77777777" w:rsidR="007C4598" w:rsidRDefault="00000000">
      <w:pPr>
        <w:jc w:val="both"/>
      </w:pPr>
      <w:r>
        <w:t>L’integrazione tra i livelli non è la giustapposizione di due servizi separati, ma la loro composizione in un sistema unico, entro il quale la persona si muove secondo il proprio bisogno e non secondo la rigidità delle competenze. Il principio che ne governa l’ingresso è quello dell’assenza di porte sbagliate: chiunque acceda al sistema, da qualunque punto, deve poter essere indirizzato al livello appropriato senza essere respinto o disperso. Nel modello pugliese il punto di ingresso ordinario è la coppia clinica nelle cure primarie, dove il disagio comune si manifesta e dove lo Psicologo di Base interviene in prima istanza; ma il sistema deve accogliere anche gli ingressi che avvengono per altre vie — l’accesso al pronto soccorso per una crisi acuta, l’invio dalla scuola per il disagio di un minore, la segnalazione dal servizio sociale per una situazione di fragilità — e ricondurli, attraverso la valutazione e il triage, al percorso corretto. L’integrazione è dunque, prima di tutto, una proprietà del sistema nel suo insieme: la capacità di trattare l’ingresso da qualunque punto come l’avvio di un percorso governato, e non come un evento isolato da risolvere localmente.</w:t>
      </w:r>
    </w:p>
    <w:p w14:paraId="1B5DB6CF" w14:textId="77777777" w:rsidR="007C4598" w:rsidRDefault="007C4598"/>
    <w:p w14:paraId="753AEA87" w14:textId="77777777" w:rsidR="007C4598" w:rsidRDefault="00000000">
      <w:pPr>
        <w:jc w:val="both"/>
      </w:pPr>
      <w:r>
        <w:t xml:space="preserve">Il presidio fisico e organizzativo che rende possibile l’integrazione è la Casa della Comunità, sede in cui le cure primarie e una parte dei servizi territoriali convergono e in cui la coppia clinica trova la sua collocazione naturale. La Casa della Comunità funge da nodo del sistema: accoglie l’ingresso, ospita la valutazione iniziale, eroga gli interventi del primo livello e costituisce il punto di raccordo con i servizi specialistici, ai quali invia i quadri che li richiedano e dai quali riceve i pazienti dimessi per la prosecuzione della presa in carico di prossimità. I servizi specialistici — i Centri di Salute Mentale, i servizi per le dipendenze, la neuropsichiatria dell’infanzia e dell’adolescenza — costituiscono il secondo livello, dotato delle competenze </w:t>
      </w:r>
      <w:proofErr w:type="spellStart"/>
      <w:r>
        <w:t>multiprofessionali</w:t>
      </w:r>
      <w:proofErr w:type="spellEnd"/>
      <w:r>
        <w:t xml:space="preserve"> e degli strumenti, compresa la farmacoterapia specialistica, che i quadri gravi e complessi richiedono. L’integrazione tra il nodo delle cure primarie e i poli specialistici è la condizione perché il sistema funzioni come un continuo, e non come una catena di segmenti separati da soglie e attese.</w:t>
      </w:r>
    </w:p>
    <w:p w14:paraId="70443A3F" w14:textId="77777777" w:rsidR="007C4598" w:rsidRDefault="007C4598"/>
    <w:p w14:paraId="047B70CF" w14:textId="77777777" w:rsidR="007C4598" w:rsidRDefault="00000000">
      <w:pPr>
        <w:pStyle w:val="Titolo3"/>
        <w:spacing w:before="200" w:after="100"/>
      </w:pPr>
      <w:r>
        <w:rPr>
          <w:color w:val="16264B"/>
          <w:sz w:val="22"/>
          <w:szCs w:val="22"/>
        </w:rPr>
        <w:t>Le regole di invio dal primo al secondo livello</w:t>
      </w:r>
    </w:p>
    <w:p w14:paraId="0EA37AA9" w14:textId="77777777" w:rsidR="007C4598" w:rsidRDefault="007C4598"/>
    <w:p w14:paraId="30A5677C" w14:textId="77777777" w:rsidR="007C4598" w:rsidRDefault="00000000">
      <w:pPr>
        <w:jc w:val="both"/>
      </w:pPr>
      <w:r>
        <w:t xml:space="preserve">Il passaggio dal primo al secondo livello è governato da criteri espliciti, che traducono in regole operative il principio della cura per intensità crescente. L’invio allo specialista non è la conseguenza di una valutazione discrezionale, ma l’esito dell’applicazione di soglie definite, relative alla gravità del quadro, al livello di rischio e alla complessità della condizione. Costituiscono indicazione all’invio i quadri di severità grave, le condizioni a rischio per la persona o per altri, i disturbi che richiedano la presa in carico </w:t>
      </w:r>
      <w:proofErr w:type="spellStart"/>
      <w:r>
        <w:t>multiprofessionale</w:t>
      </w:r>
      <w:proofErr w:type="spellEnd"/>
      <w:r>
        <w:t xml:space="preserve"> o il ricorso alla farmacoterapia specialistica, le situazioni di </w:t>
      </w:r>
      <w:proofErr w:type="spellStart"/>
      <w:r>
        <w:t>comorbilità</w:t>
      </w:r>
      <w:proofErr w:type="spellEnd"/>
      <w:r>
        <w:t xml:space="preserve"> complessa e i casi che non abbiano risposto agli interventi del primo livello entro un ciclo definito. I modelli internazionali offrono un termine di riferimento per la quota di domanda che, in un sistema funzionante, transita al secondo livello: nel modello olandese che integra gli psicologi nelle cure primarie, l’invio ai servizi specialistici riguarda tipicamente una quota dell’ordine del quindici per cento dei casi trattati nelle cure primarie.</w:t>
      </w:r>
      <w:r>
        <w:rPr>
          <w:color w:val="555555"/>
          <w:sz w:val="16"/>
          <w:szCs w:val="16"/>
          <w:vertAlign w:val="superscript"/>
        </w:rPr>
        <w:t>[5]</w:t>
      </w:r>
      <w:r>
        <w:t xml:space="preserve"> Questa proporzione — per cui la grande maggioranza dei casi è trattata e risolta nel primo livello, e solo una minoranza transita allo specialista — è la misura quantitativa dell’efficacia del filtro, e costituisce il parametro che le parti economiche assumeranno per stimare la riallocazione della domanda.</w:t>
      </w:r>
    </w:p>
    <w:p w14:paraId="547FBB77" w14:textId="77777777" w:rsidR="007C4598" w:rsidRDefault="007C4598"/>
    <w:p w14:paraId="43479FA5" w14:textId="77777777" w:rsidR="007C4598" w:rsidRDefault="00000000">
      <w:pPr>
        <w:jc w:val="both"/>
      </w:pPr>
      <w:r>
        <w:t>La definizione di soglie esplicite di invio assolve una funzione che eccede la sola appropriatezza clinica e investe la sostenibilità economica del sistema. Un filtro troppo permissivo, che inviasse al secondo livello una quota eccessiva di casi, vanificherebbe la funzione del primo livello e riprodurrebbe la congestione dei servizi specialistici che la riforma intende ridurre; un filtro troppo restrittivo, che trattenesse nel primo livello quadri che richiedono la competenza specialistica, esporrebbe le persone a un rischio clinico e differirebbe interventi necessari, con un aggravamento dei costi futuri. La calibrazione del filtro — la definizione delle soglie che ne determinano la selettività — è dunque una decisione che ha conseguenze cliniche ed economiche insieme, e che il modello affida a criteri condivisi, periodicamente verificati alla luce degli esiti, anziché alla variabilità delle valutazioni individuali. Su questa calibrazione poggia la stima della quota di domanda trattenuta nel primo livello, da cui dipendono a loro volta le stime della riduzione degli accessi inappropriati al pronto soccorso, della riduzione degli invii specialistici impropri e della riduzione della mobilità sanitaria passiva.</w:t>
      </w:r>
    </w:p>
    <w:p w14:paraId="2DC4477F" w14:textId="77777777" w:rsidR="007C4598" w:rsidRDefault="007C4598"/>
    <w:p w14:paraId="5DF7A2B6" w14:textId="77777777" w:rsidR="007C4598" w:rsidRDefault="00000000">
      <w:pPr>
        <w:pStyle w:val="Titolo3"/>
        <w:spacing w:before="200" w:after="100"/>
      </w:pPr>
      <w:r>
        <w:rPr>
          <w:color w:val="16264B"/>
          <w:sz w:val="22"/>
          <w:szCs w:val="22"/>
        </w:rPr>
        <w:t>Le regole di ritorno e la continuità della presa in carico</w:t>
      </w:r>
    </w:p>
    <w:p w14:paraId="0029F637" w14:textId="77777777" w:rsidR="007C4598" w:rsidRDefault="007C4598"/>
    <w:p w14:paraId="64D74424" w14:textId="77777777" w:rsidR="007C4598" w:rsidRDefault="00000000">
      <w:pPr>
        <w:jc w:val="both"/>
      </w:pPr>
      <w:r>
        <w:t>Il flusso tra i livelli è bidirezionale: al passaggio dal primo al secondo livello corrisponde il ritorno dal secondo al primo, che riconduce il paziente, una volta superata la fase acuta o stabilizzato il quadro, alla presa in carico di prossimità delle cure primarie. La regola di ritorno è speculare a quella di invio e altrettanto necessaria: senza un ritorno governato, i servizi specialistici si caricherebbero progressivamente di pazienti stabilizzati che potrebbero essere seguiti a un livello meno intensivo, e si riprodurrebbe, in forma diversa, la congestione che il modello intende dissolvere. Il ritorno presuppone la condivisione del piano di cura tra i due livelli, la trasmissione strutturata delle informazioni cliniche e l’assunzione, da parte della coppia clinica nelle cure primarie, della prosecuzione del monitoraggio e dell’eventuale intervento di mantenimento. La continuità della presa in carico — la garanzia che il paziente non si perda nei passaggi tra i livelli e che il suo percorso si mantenga unitario attraverso le transizioni — è la qualità che distingue un sistema integrato da una sequenza di servizi separati, ed è essa stessa una determinante degli esiti, perché le interruzioni e le dispersioni sono tra le principali cause di ricaduta e di cronicizzazione.</w:t>
      </w:r>
    </w:p>
    <w:p w14:paraId="315E00B5" w14:textId="77777777" w:rsidR="007C4598" w:rsidRDefault="007C4598"/>
    <w:p w14:paraId="7E4DE9A1" w14:textId="77777777" w:rsidR="007C4598" w:rsidRDefault="00000000">
      <w:pPr>
        <w:jc w:val="both"/>
      </w:pPr>
      <w:r>
        <w:t>La continuità si oppone, in particolare, al fenomeno della presa in carico intermittente, per cui il paziente entra ed esce ripetutamente dal sistema senza che la sua condizione sia stabilmente governata, accumulando accessi, interruzioni e riprese che moltiplicano i costi senza produrre l’esito. Il modello integrato contrasta questo fenomeno con il monitoraggio continuo, che mantiene il paziente sotto osservazione anche nelle fasi di intervallo tra gli interventi attivi, e con la titolarità stabile della coppia clinica, che assicura un riferimento permanente attraverso le transizioni. La continuità è perciò, oltre che una qualità clinica, una leva di efficienza, perché un percorso continuo è meno costoso, a parità di esito, di una successione di percorsi interrotti e ripresi. La tabella che segue ricompone le regole di invio e di ritorno e le condizioni che le rendono operative.</w:t>
      </w:r>
    </w:p>
    <w:p w14:paraId="0E08C971" w14:textId="77777777" w:rsidR="007C4598" w:rsidRDefault="007C4598"/>
    <w:p w14:paraId="0224A296" w14:textId="77777777" w:rsidR="007C4598" w:rsidRDefault="00000000">
      <w:pPr>
        <w:jc w:val="both"/>
      </w:pPr>
      <w:r>
        <w:rPr>
          <w:b/>
          <w:bCs/>
        </w:rPr>
        <w:t>Tabella 4.2 — Le regole di invio e di ritorno tra i livelli</w:t>
      </w:r>
    </w:p>
    <w:p w14:paraId="527E0040"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7D27ED97"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6DC7417" w14:textId="77777777" w:rsidR="007C4598" w:rsidRDefault="00000000">
            <w:pPr>
              <w:spacing w:after="40"/>
            </w:pPr>
            <w:r>
              <w:rPr>
                <w:b/>
                <w:bCs/>
                <w:color w:val="FFFFFF"/>
                <w:sz w:val="18"/>
                <w:szCs w:val="18"/>
              </w:rPr>
              <w:t>Direzione del flusso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25E62DC" w14:textId="77777777" w:rsidR="007C4598" w:rsidRDefault="00000000">
            <w:pPr>
              <w:spacing w:after="40"/>
            </w:pPr>
            <w:r>
              <w:rPr>
                <w:b/>
                <w:bCs/>
                <w:color w:val="FFFFFF"/>
                <w:sz w:val="18"/>
                <w:szCs w:val="18"/>
              </w:rPr>
              <w:t>Criteri e condizioni</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A0356DB" w14:textId="77777777" w:rsidR="007C4598" w:rsidRDefault="00000000">
            <w:pPr>
              <w:spacing w:after="40"/>
            </w:pPr>
            <w:r>
              <w:rPr>
                <w:b/>
                <w:bCs/>
                <w:color w:val="FFFFFF"/>
                <w:sz w:val="18"/>
                <w:szCs w:val="18"/>
              </w:rPr>
              <w:t>Effetto sul sistema</w:t>
            </w:r>
          </w:p>
        </w:tc>
      </w:tr>
      <w:tr w:rsidR="007C4598" w14:paraId="3FC3E182"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FD2B87B" w14:textId="77777777" w:rsidR="007C4598" w:rsidRDefault="00000000">
            <w:pPr>
              <w:spacing w:after="40"/>
            </w:pPr>
            <w:r>
              <w:t>Invio dal primo al secondo livello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1FC45D6" w14:textId="77777777" w:rsidR="007C4598" w:rsidRDefault="00000000">
            <w:pPr>
              <w:spacing w:after="40"/>
            </w:pPr>
            <w:r>
              <w:t xml:space="preserve">Severità grave; rischio per sé o per altri; necessità di presa in carico </w:t>
            </w:r>
            <w:proofErr w:type="spellStart"/>
            <w:r>
              <w:t>multiprofessionale</w:t>
            </w:r>
            <w:proofErr w:type="spellEnd"/>
            <w:r>
              <w:t xml:space="preserve"> o di farmacoterapia specialistica; </w:t>
            </w:r>
            <w:proofErr w:type="spellStart"/>
            <w:r>
              <w:t>comorbilità</w:t>
            </w:r>
            <w:proofErr w:type="spellEnd"/>
            <w:r>
              <w:t xml:space="preserve"> complessa; mancata risposta agli interventi del primo livello entro un ciclo definito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6100605" w14:textId="77777777" w:rsidR="007C4598" w:rsidRDefault="00000000">
            <w:pPr>
              <w:spacing w:after="40"/>
            </w:pPr>
            <w:r>
              <w:t>Indirizzo dei quadri gravi alla competenza specialistica; quota di transito di riferimento dell’ordine del quindici per cento dei casi trattati</w:t>
            </w:r>
          </w:p>
        </w:tc>
      </w:tr>
      <w:tr w:rsidR="007C4598" w14:paraId="6C412528"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8AEFD16" w14:textId="77777777" w:rsidR="007C4598" w:rsidRDefault="00000000">
            <w:pPr>
              <w:spacing w:after="40"/>
            </w:pPr>
            <w:r>
              <w:t>Ritorno dal secondo al primo livello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C300C0F" w14:textId="77777777" w:rsidR="007C4598" w:rsidRDefault="00000000">
            <w:pPr>
              <w:spacing w:after="40"/>
            </w:pPr>
            <w:r>
              <w:t>Superamento della fase acuta o stabilizzazione del quadro; condivisione del piano di cura; trasmissione strutturata delle informazioni; assunzione del monitoraggio da parte della coppia clinica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A4B77D5" w14:textId="77777777" w:rsidR="007C4598" w:rsidRDefault="00000000">
            <w:pPr>
              <w:spacing w:after="40"/>
            </w:pPr>
            <w:r>
              <w:t>Restituzione dei pazienti stabilizzati alla prossimità; alleggerimento dei servizi specialistici; prevenzione della congestione del secondo livello</w:t>
            </w:r>
          </w:p>
        </w:tc>
      </w:tr>
      <w:tr w:rsidR="007C4598" w14:paraId="3D812F39"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A3B5643" w14:textId="77777777" w:rsidR="007C4598" w:rsidRDefault="00000000">
            <w:pPr>
              <w:spacing w:after="40"/>
            </w:pPr>
            <w:r>
              <w:t>Continuità attraverso le transizioni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168FD03" w14:textId="77777777" w:rsidR="007C4598" w:rsidRDefault="00000000">
            <w:pPr>
              <w:spacing w:after="40"/>
            </w:pPr>
            <w:r>
              <w:t>Monitoraggio continuo anche nelle fasi di intervallo; titolarità stabile della coppia clinica; riferimento permanente per il paziente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3BF5087" w14:textId="77777777" w:rsidR="007C4598" w:rsidRDefault="00000000">
            <w:pPr>
              <w:spacing w:after="40"/>
            </w:pPr>
            <w:r>
              <w:t>Contrasto alla presa in carico intermittente; riduzione delle ricadute e delle cronicizzazioni; minore costo a parità di esito</w:t>
            </w:r>
          </w:p>
        </w:tc>
      </w:tr>
    </w:tbl>
    <w:p w14:paraId="1FFD71EE" w14:textId="77777777" w:rsidR="007C4598" w:rsidRDefault="007C4598"/>
    <w:p w14:paraId="5908713B" w14:textId="77777777" w:rsidR="007C4598" w:rsidRDefault="00000000">
      <w:pPr>
        <w:jc w:val="both"/>
      </w:pPr>
      <w:r>
        <w:rPr>
          <w:i/>
          <w:iCs/>
        </w:rPr>
        <w:t>Elaborazione dello studio. Le soglie quantitative di invio e la quota di transito sono parametri di riferimento, da calibrare sui dati primari regionali e da verificare periodicamente alla luce degli esiti.</w:t>
      </w:r>
    </w:p>
    <w:p w14:paraId="33ECBFFF" w14:textId="77777777" w:rsidR="007C4598" w:rsidRDefault="007C4598"/>
    <w:p w14:paraId="1C8E7221" w14:textId="77777777" w:rsidR="007C4598" w:rsidRDefault="00000000">
      <w:pPr>
        <w:jc w:val="both"/>
      </w:pPr>
      <w:r>
        <w:t>Definite le regole che governano il flusso tra i livelli, l’esposizione può procedere alle leve che, all’interno di ciascun livello, accrescono l’efficacia e la sostenibilità del servizio. La voce seguente ordina le leve organizzative e di processo, distinte dalla leva digitale che sarà trattata separatamente.</w:t>
      </w:r>
    </w:p>
    <w:p w14:paraId="1FBD2353" w14:textId="77777777" w:rsidR="007C4598" w:rsidRDefault="007C4598"/>
    <w:p w14:paraId="3600D7A2" w14:textId="77777777" w:rsidR="007C4598" w:rsidRDefault="00000000">
      <w:pPr>
        <w:pStyle w:val="Titolo2"/>
        <w:spacing w:before="200" w:after="100"/>
      </w:pPr>
      <w:r>
        <w:rPr>
          <w:sz w:val="22"/>
          <w:szCs w:val="22"/>
        </w:rPr>
        <w:t>4.3  Le leve abilitanti organizzative e di processo</w:t>
      </w:r>
    </w:p>
    <w:p w14:paraId="595D2955" w14:textId="77777777" w:rsidR="007C4598" w:rsidRDefault="007C4598"/>
    <w:p w14:paraId="660786A8" w14:textId="77777777" w:rsidR="007C4598" w:rsidRDefault="00000000">
      <w:pPr>
        <w:jc w:val="both"/>
      </w:pPr>
      <w:r>
        <w:rPr>
          <w:i/>
          <w:iCs/>
        </w:rPr>
        <w:t>Questa voce ordina le leve che, agendo sull’organizzazione e sui processi del servizio, ne accrescono l’efficacia e la sostenibilità senza ricorrere alla tecnologia digitale. La loro trattazione separata dalla leva digitale risponde a una scelta di metodo: le leve organizzative e di processo costituiscono il fondamento su cui la leva digitale si innesta, e la loro priorità logica e operativa è la condizione perché l’innesto digitale produca valore anziché complessità. La voce descrive ciascuna leva nella sua funzione e nel suo effetto, e ne ricompone l’insieme in una tabella ordinata.</w:t>
      </w:r>
    </w:p>
    <w:p w14:paraId="49C5C0A2" w14:textId="77777777" w:rsidR="007C4598" w:rsidRDefault="007C4598"/>
    <w:p w14:paraId="427BEC61" w14:textId="77777777" w:rsidR="007C4598" w:rsidRDefault="00000000">
      <w:pPr>
        <w:pStyle w:val="Titolo3"/>
        <w:spacing w:before="200" w:after="100"/>
      </w:pPr>
      <w:r>
        <w:rPr>
          <w:color w:val="16264B"/>
          <w:sz w:val="22"/>
          <w:szCs w:val="22"/>
        </w:rPr>
        <w:t>La natura e la priorità delle leve organizzative e di processo</w:t>
      </w:r>
    </w:p>
    <w:p w14:paraId="272823CD" w14:textId="77777777" w:rsidR="007C4598" w:rsidRDefault="007C4598"/>
    <w:p w14:paraId="49F22BCA" w14:textId="77777777" w:rsidR="007C4598" w:rsidRDefault="00000000">
      <w:pPr>
        <w:jc w:val="both"/>
      </w:pPr>
      <w:r>
        <w:t>Per leva abilitante si intende un fattore che, agendo sul modo in cui il servizio è organizzato e i suoi processi si svolgono, ne aumenta il rendimento a parità di risorse impiegate, o ne mantiene il rendimento riducendo le risorse necessarie. Le leve organizzative e di processo si distinguono dalla leva digitale per la loro natura: esse non consistono nell’introduzione di uno strumento tecnologico, ma nella configurazione dell’organizzazione e nella definizione dei processi. La loro priorità rispetto alla leva digitale è insieme logica e operativa. È logica, perché la tecnologia digitale non crea da sé l’efficienza, ma amplifica l’efficienza o l’inefficienza dell’organizzazione su cui si innesta: un processo mal definito non migliora perché digitalizzato, ma riproduce il proprio disordine a maggiore velocità. È operativa, perché l’introduzione della leva digitale su un’organizzazione non ancora ordinata produce complessità e rigetto, mentre l’introduzione su un’organizzazione già strutturata ne valorizza il potenziale. Per questa ragione le leve organizzative e di processo precedono, nell’esposizione e nella priorità attuativa, la leva digitale, e ne costituiscono il presupposto.</w:t>
      </w:r>
    </w:p>
    <w:p w14:paraId="6A86C6B0" w14:textId="77777777" w:rsidR="007C4598" w:rsidRDefault="007C4598"/>
    <w:p w14:paraId="4F8133C4" w14:textId="77777777" w:rsidR="007C4598" w:rsidRDefault="00000000">
      <w:pPr>
        <w:pStyle w:val="Titolo3"/>
        <w:spacing w:before="200" w:after="100"/>
      </w:pPr>
      <w:r>
        <w:rPr>
          <w:color w:val="16264B"/>
          <w:sz w:val="22"/>
          <w:szCs w:val="22"/>
        </w:rPr>
        <w:t>Le leve di accesso e di stratificazione</w:t>
      </w:r>
    </w:p>
    <w:p w14:paraId="2AABBA46" w14:textId="77777777" w:rsidR="007C4598" w:rsidRDefault="007C4598"/>
    <w:p w14:paraId="1915E1A1" w14:textId="77777777" w:rsidR="007C4598" w:rsidRDefault="00000000">
      <w:pPr>
        <w:jc w:val="both"/>
      </w:pPr>
      <w:r>
        <w:t xml:space="preserve">Un primo gruppo di leve agisce sull’accesso al servizio e sulla stratificazione della domanda. La leva dell’accesso unificato consiste nella predisposizione di un punto unico di ingresso e di presa in carico, che raccolga la domanda, la valuti e la indirizzi al percorso appropriato, evitando la dispersione degli accessi e la moltiplicazione dei punti di contatto. La leva della stratificazione del rischio consiste nell’applicazione, all’ingresso, di criteri strutturati che classifichino la persona per livello di intensità del bisogno e per livello di rischio, e ne determinino l’indirizzo iniziale; essa è la traduzione operativa del principio della cura per intensità crescente, e la sua qualità determina l’appropriatezza dell’allocazione. La leva della gestione della domanda consiste nel governo dei flussi e delle liste di attesa, attraverso la programmazione degli appuntamenti, la </w:t>
      </w:r>
      <w:proofErr w:type="spellStart"/>
      <w:r>
        <w:t>priorizzazione</w:t>
      </w:r>
      <w:proofErr w:type="spellEnd"/>
      <w:r>
        <w:t xml:space="preserve"> secondo la gravità e il monitoraggio dei tempi; essa contrasta il fenomeno per cui l’attesa stessa aggrava il quadro e ne aumenta il costo, e mantiene il servizio entro tempi compatibili con la sua funzione di intercettazione precoce. Queste tre leve agiscono sul fronte di ingresso del sistema e ne determinano l’ordine e l’equità: un accesso unificato, una stratificazione accurata e una gestione attiva della domanda sono le condizioni perché la capacità del servizio si distribuisca secondo il bisogno e non secondo la casualità o la pressione.</w:t>
      </w:r>
    </w:p>
    <w:p w14:paraId="777D9AED" w14:textId="77777777" w:rsidR="007C4598" w:rsidRDefault="007C4598"/>
    <w:p w14:paraId="28AD7434" w14:textId="77777777" w:rsidR="007C4598" w:rsidRDefault="00000000">
      <w:pPr>
        <w:pStyle w:val="Titolo3"/>
        <w:spacing w:before="200" w:after="100"/>
      </w:pPr>
      <w:r>
        <w:rPr>
          <w:color w:val="16264B"/>
          <w:sz w:val="22"/>
          <w:szCs w:val="22"/>
        </w:rPr>
        <w:t>Le leve di erogazione e di standardizzazione</w:t>
      </w:r>
    </w:p>
    <w:p w14:paraId="214FBD58" w14:textId="77777777" w:rsidR="007C4598" w:rsidRDefault="007C4598"/>
    <w:p w14:paraId="0B1F9344" w14:textId="77777777" w:rsidR="007C4598" w:rsidRDefault="00000000">
      <w:pPr>
        <w:jc w:val="both"/>
      </w:pPr>
      <w:r>
        <w:t>Un secondo gruppo di leve agisce sull’erogazione degli interventi e sulla loro standardizzazione. La leva della manualizzazione consiste nell’adozione di interventi brevi, strutturati e fondati sull’evidenza, descritti in protocolli che ne definiscono i contenuti, la durata e la sequenza; essa garantisce che l’intervento erogato corrisponda a quello validato dalla letteratura, ne rende possibile la valutazione e ne riduce la variabilità non giustificata. La leva degli interventi di gruppo consiste nell’erogazione, ove clinicamente appropriata, di interventi a più persone contemporaneamente, secondo modalità validate per i disturbi comuni; essa accresce in misura rilevante la capacità del servizio a parità di tempo professionale impiegato, e costituisce una delle principali fonti di efficienza del modello, a condizione che la sua applicazione sia governata da criteri clinici e non da sole esigenze di capacità. La leva della condivisione e della redistribuzione dei compiti consiste nell’attribuzione di funzioni definite a figure diverse secondo le rispettive competenze, in modo che ciascun compito sia svolto dalla figura appropriata e meno costosa che possa svolgerlo con sicurezza; essa è il principio per cui il responsabile dell’assistenza assume il monitoraggio, lo psicologo eroga l’intervento, lo specialista interviene in consulenza, e il tempo di ciascuna figura è destinato a ciò che solo essa può fare.</w:t>
      </w:r>
    </w:p>
    <w:p w14:paraId="55615751" w14:textId="77777777" w:rsidR="007C4598" w:rsidRDefault="007C4598"/>
    <w:p w14:paraId="125FA06F" w14:textId="77777777" w:rsidR="007C4598" w:rsidRDefault="00000000">
      <w:pPr>
        <w:jc w:val="both"/>
      </w:pPr>
      <w:r>
        <w:t>La leva del monitoraggio sistematico degli esiti merita una considerazione propria, perché è insieme uno strumento clinico e l’infrastruttura informativa su cui poggiano tutte le altre leve. La somministrazione dei questionari standardizzati prima, durante e dopo l’intervento fornisce la misura oggettiva della risposta clinica, attiva il passaggio di livello in caso di mancato miglioramento e alimenta il sistema di valutazione del servizio. Il monitoraggio sistematico è la condizione perché il modello a intensità crescente funzioni, perché è la misura dell’esito a determinare il passaggio da un livello all’altro; ed è la condizione perché il servizio sia valutabile, perché è la rilevazione sistematica a fornire i dati su cui poggeranno gli indicatori del monitoraggio regionale. Esso costituisce, inoltre, il punto in cui la leva organizzativa incontra la leva digitale, perché la raccolta, la conservazione e l’elaborazione dei dati di esito su larga scala sono operazioni che la tecnologia digitale può sostenere con efficienza, una volta che il processo del monitoraggio sia stato organizzativamente definito.</w:t>
      </w:r>
    </w:p>
    <w:p w14:paraId="799A8C46" w14:textId="77777777" w:rsidR="007C4598" w:rsidRDefault="007C4598"/>
    <w:p w14:paraId="39046459" w14:textId="77777777" w:rsidR="007C4598" w:rsidRDefault="00000000">
      <w:pPr>
        <w:pStyle w:val="Titolo3"/>
        <w:spacing w:before="200" w:after="100"/>
      </w:pPr>
      <w:r>
        <w:rPr>
          <w:color w:val="16264B"/>
          <w:sz w:val="22"/>
          <w:szCs w:val="22"/>
        </w:rPr>
        <w:t>Le leve di governo e di coordinamento</w:t>
      </w:r>
    </w:p>
    <w:p w14:paraId="788A7B07" w14:textId="77777777" w:rsidR="007C4598" w:rsidRDefault="007C4598"/>
    <w:p w14:paraId="739EAD6E" w14:textId="77777777" w:rsidR="007C4598" w:rsidRDefault="00000000">
      <w:pPr>
        <w:jc w:val="both"/>
      </w:pPr>
      <w:r>
        <w:t>Un terzo gruppo di leve agisce sul governo del servizio e sul coordinamento tra le figure. La leva della supervisione clinica e della discussione dei casi consiste nella predisposizione di momenti strutturati di confronto tra le figure, in cui i casi complessi sono discussi collegialmente, le decisioni difficili sono condivise e la competenza si trasmette dalle figure più esperte alle meno esperte; essa accresce la qualità delle decisioni, riduce il rischio dell’errore individuale e costituisce, al tempo stesso, una modalità di formazione sul campo. La leva della programmazione per obiettivi consiste nel governo del servizio attraverso obiettivi espliciti, misurabili e verificati, anziché attraverso la sola erogazione di prestazioni; essa orienta l’attività del servizio verso gli esiti che la riforma persegue e ne rende verificabile il conseguimento. La leva del coordinamento intersettoriale consiste nel raccordo strutturato tra il servizio e gli attori esterni alla sanità — la scuola, il servizio sociale, gli enti previdenziali, il mondo del lavoro — che la cascata delle figure colloca lungo il perimetro multidisciplinare; essa è la condizione perché gli effetti della riforma si propaghino oltre il confine sanitario, e perché i benefici indiretti che le parti successive misureranno trovino i canali organizzativi attraverso cui realizzarsi.</w:t>
      </w:r>
    </w:p>
    <w:p w14:paraId="297058C3" w14:textId="77777777" w:rsidR="007C4598" w:rsidRDefault="007C4598"/>
    <w:p w14:paraId="5609F7CC" w14:textId="77777777" w:rsidR="007C4598" w:rsidRDefault="00000000">
      <w:pPr>
        <w:jc w:val="both"/>
      </w:pPr>
      <w:r>
        <w:t>Le leve organizzative e di processo, considerate nel loro insieme, definiscono l’efficienza intrinseca del modello, ossia quella parte del suo rendimento che non dipende dalla tecnologia ma dalla configurazione dell’organizzazione e dalla qualità dei processi. Esse sono la fonte primaria della sostenibilità del servizio, e la loro corretta predisposizione è la condizione perché le risorse impiegate producano il massimo esito conseguibile. La leva digitale, che la voce seguente tratterà, si innesta su questa efficienza intrinseca e la amplifica, ma non la sostituisce: là dove le leve organizzative e di processo siano deboli, la leva digitale non potrà supplire alla loro debolezza, e là dove esse siano solide, la leva digitale potrà esprimere il proprio potenziale. La tabella che segue ricompone le leve organizzative e di processo, raggruppandole per funzione e indicandone l’effetto.</w:t>
      </w:r>
    </w:p>
    <w:p w14:paraId="57742779" w14:textId="77777777" w:rsidR="007C4598" w:rsidRDefault="007C4598"/>
    <w:p w14:paraId="1E1B290C" w14:textId="77777777" w:rsidR="007C4598" w:rsidRDefault="00000000">
      <w:pPr>
        <w:jc w:val="both"/>
      </w:pPr>
      <w:r>
        <w:rPr>
          <w:b/>
          <w:bCs/>
        </w:rPr>
        <w:t>Tabella 4.3 — Le leve abilitanti organizzative e di processo</w:t>
      </w:r>
    </w:p>
    <w:p w14:paraId="13026DE8"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53A0870E"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F3F07C4" w14:textId="77777777" w:rsidR="007C4598" w:rsidRDefault="00000000">
            <w:pPr>
              <w:spacing w:after="40"/>
            </w:pPr>
            <w:r>
              <w:rPr>
                <w:b/>
                <w:bCs/>
                <w:color w:val="FFFFFF"/>
                <w:sz w:val="18"/>
                <w:szCs w:val="18"/>
              </w:rPr>
              <w:t>Gruppo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019C3AC" w14:textId="77777777" w:rsidR="007C4598" w:rsidRDefault="00000000">
            <w:pPr>
              <w:spacing w:after="40"/>
            </w:pPr>
            <w:r>
              <w:rPr>
                <w:b/>
                <w:bCs/>
                <w:color w:val="FFFFFF"/>
                <w:sz w:val="18"/>
                <w:szCs w:val="18"/>
              </w:rPr>
              <w:t>Leva</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7744C50" w14:textId="77777777" w:rsidR="007C4598" w:rsidRDefault="00000000">
            <w:pPr>
              <w:spacing w:after="40"/>
            </w:pPr>
            <w:r>
              <w:rPr>
                <w:b/>
                <w:bCs/>
                <w:color w:val="FFFFFF"/>
                <w:sz w:val="18"/>
                <w:szCs w:val="18"/>
              </w:rPr>
              <w:t>Effetto sul servizio</w:t>
            </w:r>
          </w:p>
        </w:tc>
      </w:tr>
      <w:tr w:rsidR="007C4598" w14:paraId="63EF5C8C"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06A16CD" w14:textId="77777777" w:rsidR="007C4598" w:rsidRDefault="00000000">
            <w:pPr>
              <w:spacing w:after="40"/>
            </w:pPr>
            <w:r>
              <w:t>Accesso e stratificazione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0F993D6" w14:textId="77777777" w:rsidR="007C4598" w:rsidRDefault="00000000">
            <w:pPr>
              <w:spacing w:after="40"/>
            </w:pPr>
            <w:r>
              <w:t>Accesso unificato; stratificazione del rischio; gestione della domanda e delle liste di attesa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1A938A8" w14:textId="77777777" w:rsidR="007C4598" w:rsidRDefault="00000000">
            <w:pPr>
              <w:spacing w:after="40"/>
            </w:pPr>
            <w:r>
              <w:t>Ordine ed equità del fronte di ingresso; allocazione secondo il bisogno; tempi compatibili con l’intercettazione precoce</w:t>
            </w:r>
          </w:p>
        </w:tc>
      </w:tr>
      <w:tr w:rsidR="007C4598" w14:paraId="6BD26751"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0BE46B1" w14:textId="77777777" w:rsidR="007C4598" w:rsidRDefault="00000000">
            <w:pPr>
              <w:spacing w:after="40"/>
            </w:pPr>
            <w:r>
              <w:t>Erogazione e standardizzazione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EAADA5A" w14:textId="77777777" w:rsidR="007C4598" w:rsidRDefault="00000000">
            <w:pPr>
              <w:spacing w:after="40"/>
            </w:pPr>
            <w:r>
              <w:t>Manualizzazione degli interventi; interventi di gruppo; condivisione e redistribuzione dei compiti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B8797AC" w14:textId="77777777" w:rsidR="007C4598" w:rsidRDefault="00000000">
            <w:pPr>
              <w:spacing w:after="40"/>
            </w:pPr>
            <w:r>
              <w:t>Corrispondenza all’evidenza; aumento della capacità a parità di tempo; impiego di ciascuna figura sulla funzione appropriata</w:t>
            </w:r>
          </w:p>
        </w:tc>
      </w:tr>
      <w:tr w:rsidR="007C4598" w14:paraId="372F43D4"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1D2735C" w14:textId="77777777" w:rsidR="007C4598" w:rsidRDefault="00000000">
            <w:pPr>
              <w:spacing w:after="40"/>
            </w:pPr>
            <w:r>
              <w:t>Infrastruttura informativa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1A03750" w14:textId="77777777" w:rsidR="007C4598" w:rsidRDefault="00000000">
            <w:pPr>
              <w:spacing w:after="40"/>
            </w:pPr>
            <w:r>
              <w:t xml:space="preserve">Monitoraggio sistematico degli esiti (questionari </w:t>
            </w:r>
            <w:proofErr w:type="spellStart"/>
            <w:r>
              <w:t>pre</w:t>
            </w:r>
            <w:proofErr w:type="spellEnd"/>
            <w:r>
              <w:t>, durante e post)</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A76B5F4" w14:textId="77777777" w:rsidR="007C4598" w:rsidRDefault="00000000">
            <w:pPr>
              <w:spacing w:after="40"/>
            </w:pPr>
            <w:r>
              <w:t>Misura oggettiva della risposta; attivazione del passaggio di livello; alimentazione del sistema di valutazione</w:t>
            </w:r>
          </w:p>
        </w:tc>
      </w:tr>
      <w:tr w:rsidR="007C4598" w14:paraId="62761A50"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B49DBC8" w14:textId="77777777" w:rsidR="007C4598" w:rsidRDefault="00000000">
            <w:pPr>
              <w:spacing w:after="40"/>
            </w:pPr>
            <w:r>
              <w:t>Governo e coordinamento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B81513C" w14:textId="77777777" w:rsidR="007C4598" w:rsidRDefault="00000000">
            <w:pPr>
              <w:spacing w:after="40"/>
            </w:pPr>
            <w:r>
              <w:t>Supervisione clinica e discussione dei casi; programmazione per obiettivi; coordinamento intersettoriale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B1652DF" w14:textId="77777777" w:rsidR="007C4598" w:rsidRDefault="00000000">
            <w:pPr>
              <w:spacing w:after="40"/>
            </w:pPr>
            <w:r>
              <w:t>Qualità delle decisioni e formazione sul campo; orientamento agli esiti; propagazione degli effetti oltre il confine sanitario</w:t>
            </w:r>
          </w:p>
        </w:tc>
      </w:tr>
    </w:tbl>
    <w:p w14:paraId="67DC5F14" w14:textId="77777777" w:rsidR="007C4598" w:rsidRDefault="007C4598"/>
    <w:p w14:paraId="0C387150" w14:textId="77777777" w:rsidR="007C4598" w:rsidRDefault="00000000">
      <w:pPr>
        <w:jc w:val="both"/>
      </w:pPr>
      <w:r>
        <w:rPr>
          <w:i/>
          <w:iCs/>
        </w:rPr>
        <w:t>Elaborazione dello studio. Le leve organizzative e di processo costituiscono il presupposto su cui si innesta la leva digitale, trattata nella voce seguente.</w:t>
      </w:r>
    </w:p>
    <w:p w14:paraId="6C5FC4E1" w14:textId="77777777" w:rsidR="007C4598" w:rsidRDefault="007C4598"/>
    <w:p w14:paraId="3110DC22" w14:textId="77777777" w:rsidR="007C4598" w:rsidRDefault="00000000">
      <w:pPr>
        <w:jc w:val="both"/>
      </w:pPr>
      <w:r>
        <w:t>Ordinate le leve organizzative e di processo, l’esposizione può affrontare la leva digitale e l’Intelligenza Artificiale, collocandole lungo l’intero ciclo assistenziale e graduandone l’evidenza secondo la disciplina dell’opera. È l’oggetto della voce seguente, la più estesa di questa parte.</w:t>
      </w:r>
    </w:p>
    <w:p w14:paraId="6ED9C982" w14:textId="77777777" w:rsidR="007C4598" w:rsidRDefault="007C4598"/>
    <w:p w14:paraId="3414732B" w14:textId="77777777" w:rsidR="007C4598" w:rsidRDefault="00000000">
      <w:pPr>
        <w:pStyle w:val="Titolo2"/>
        <w:spacing w:before="200" w:after="100"/>
      </w:pPr>
      <w:r>
        <w:rPr>
          <w:sz w:val="22"/>
          <w:szCs w:val="22"/>
        </w:rPr>
        <w:t>4.4  La leva digitale e l’Intelligenza Artificiale lungo il ciclo assistenziale</w:t>
      </w:r>
    </w:p>
    <w:p w14:paraId="0F930487" w14:textId="77777777" w:rsidR="007C4598" w:rsidRDefault="007C4598"/>
    <w:p w14:paraId="16216299" w14:textId="77777777" w:rsidR="007C4598" w:rsidRDefault="00000000">
      <w:pPr>
        <w:jc w:val="both"/>
      </w:pPr>
      <w:r>
        <w:rPr>
          <w:i/>
          <w:iCs/>
        </w:rPr>
        <w:t>Questa voce, la più estesa della parte, tratta la leva digitale e l’Intelligenza Artificiale collocandole lungo l’intero ciclo assistenziale — la diagnostica e il triage, la prevenzione e la stratificazione del rischio, il trattamento con le terapie digitali e con la terapia cognitivo-comportamentale erogata via internet, la riabilitazione e il monitoraggio remoto. In coerenza con l’impianto dell’opera, essa colloca l’Intelligenza Artificiale come strumento abilitante subordinato, e gradua la sua evidenza con il medesimo rigore applicato alle affermazioni cliniche, distinguendo con franchezza gli impieghi sostenuti da evidenza robusta da quelli ancora emergenti.</w:t>
      </w:r>
    </w:p>
    <w:p w14:paraId="19D039DD" w14:textId="77777777" w:rsidR="007C4598" w:rsidRDefault="007C4598"/>
    <w:p w14:paraId="64488230" w14:textId="77777777" w:rsidR="007C4598" w:rsidRDefault="00000000">
      <w:pPr>
        <w:pStyle w:val="Titolo3"/>
        <w:spacing w:before="200" w:after="100"/>
      </w:pPr>
      <w:r>
        <w:rPr>
          <w:color w:val="16264B"/>
          <w:sz w:val="22"/>
          <w:szCs w:val="22"/>
        </w:rPr>
        <w:t>Il principio della subordinazione e la graduazione simmetrica dell’evidenza</w:t>
      </w:r>
    </w:p>
    <w:p w14:paraId="4CB76066" w14:textId="77777777" w:rsidR="007C4598" w:rsidRDefault="007C4598"/>
    <w:p w14:paraId="31FA17A6" w14:textId="77777777" w:rsidR="007C4598" w:rsidRDefault="00000000">
      <w:pPr>
        <w:jc w:val="both"/>
      </w:pPr>
      <w:r>
        <w:t>La leva digitale e l’Intelligenza Artificiale occupano, in questa architettura, una posizione precisa e subordinata. Esse non sono l’oggetto centrale dell’analisi, ma una delle leve che rendono la figura dello Psicologo di Base più funzionale ed efficace, accanto alle leve organizzative, di processo e formative. La tecnologia non sostituisce il giudizio clinico, ma lo assiste; non eroga la cura, ma sostiene chi la eroga; non decide, ma fornisce elementi alla decisione, che resta in capo alla persona competente. Questo principio di subordinazione non è una cautela formale, ma la condizione di legittimità dell’impiego della tecnologia in un servizio sanitario: lo strumento digitale è ammesso nella misura in cui amplifica la capacità della figura umana e resta sotto la sua supervisione, ed è escluso nella misura in cui pretenda di sostituirla nelle decisioni che richiedono la responsabilità clinica.</w:t>
      </w:r>
    </w:p>
    <w:p w14:paraId="626A190A" w14:textId="77777777" w:rsidR="007C4598" w:rsidRDefault="007C4598"/>
    <w:p w14:paraId="1B4F7764" w14:textId="77777777" w:rsidR="007C4598" w:rsidRDefault="00000000">
      <w:pPr>
        <w:jc w:val="both"/>
      </w:pPr>
      <w:r>
        <w:t>Alla subordinazione si accompagna la graduazione simmetrica dell’evidenza. L’opera applica all’evidenza relativa agli strumenti digitali e all’Intelligenza Artificiale il medesimo rigore che applica alle affermazioni cliniche, secondo il sistema di graduazione della qualità delle prove che distingue l’evidenza alta, moderata, bassa e molto bassa in funzione del disegno degli studi, della loro coerenza e della loro applicabilità.</w:t>
      </w:r>
      <w:r>
        <w:rPr>
          <w:color w:val="555555"/>
          <w:sz w:val="16"/>
          <w:szCs w:val="16"/>
          <w:vertAlign w:val="superscript"/>
        </w:rPr>
        <w:t>[6]</w:t>
      </w:r>
      <w:r>
        <w:t xml:space="preserve"> Questa simmetria ha una conseguenza precisa: gli impieghi della tecnologia digitale sostenuti da evidenza robusta sono trattati come componenti affidabili del modello, mentre gli impieghi ancora emergenti, sostenuti da evidenza limitata, sono trattati come promesse da verificare, e non come acquisizioni. La distinzione percorre l’intera voce e ne governa la cautela: come si vedrà, alcune applicazioni — segnatamente la terapia cognitivo-comportamentale erogata via internet — dispongono di una base di evidenza solida, mentre altre — segnatamente i modelli predittivi e gli strumenti di triage automatizzato — sono ancora in fase di consolidamento, e la loro adozione richiede prudenza, validazione locale e supervisione costante.</w:t>
      </w:r>
    </w:p>
    <w:p w14:paraId="52A3FA3D" w14:textId="77777777" w:rsidR="007C4598" w:rsidRDefault="007C4598"/>
    <w:p w14:paraId="77C3D7DD" w14:textId="77777777" w:rsidR="007C4598" w:rsidRDefault="00000000">
      <w:pPr>
        <w:pStyle w:val="Titolo3"/>
        <w:spacing w:before="200" w:after="100"/>
      </w:pPr>
      <w:r>
        <w:rPr>
          <w:color w:val="16264B"/>
          <w:sz w:val="22"/>
          <w:szCs w:val="22"/>
        </w:rPr>
        <w:t>La diagnostica e il triage</w:t>
      </w:r>
    </w:p>
    <w:p w14:paraId="2F3D3418" w14:textId="77777777" w:rsidR="007C4598" w:rsidRDefault="007C4598"/>
    <w:p w14:paraId="5A044B78" w14:textId="77777777" w:rsidR="007C4598" w:rsidRDefault="00000000">
      <w:pPr>
        <w:jc w:val="both"/>
      </w:pPr>
      <w:r>
        <w:t>Il primo momento del ciclo assistenziale in cui la leva digitale può intervenire è la diagnostica e il triage, ossia la fase di valutazione iniziale in cui la persona è classificata per intensità del bisogno e per livello di rischio e indirizzata al percorso appropriato. In questa fase la tecnologia digitale può sostenere la figura clinica attraverso la somministrazione e l’elaborazione automatizzata dei questionari standardizzati, la raccolta strutturata delle informazioni anamnestiche e la segnalazione, alla figura competente, degli elementi che richiedano attenzione. Gli strumenti di triage assistito da Intelligenza Artificiale — sistemi che, sulla base delle risposte e dei dati raccolti, propongono una classificazione del rischio o un indirizzo — costituiscono un’applicazione in rapido sviluppo, la cui evidenza di efficacia e di sicurezza è, allo stato, ancora emergente e di qualità da bassa a molto bassa.</w:t>
      </w:r>
      <w:r>
        <w:rPr>
          <w:color w:val="555555"/>
          <w:sz w:val="16"/>
          <w:szCs w:val="16"/>
          <w:vertAlign w:val="superscript"/>
        </w:rPr>
        <w:t>[7]</w:t>
      </w:r>
      <w:r>
        <w:t xml:space="preserve"> La cautela è qui particolarmente necessaria, perché un errore di classificazione nella fase di triage — la sottostima di un rischio o la sovrastima di una gravità — propaga le proprie conseguenze lungo l’intero percorso, e perché i sistemi addestrati su popolazioni non rappresentative possono riprodurre e amplificare le disparità presenti nei dati di addestramento.</w:t>
      </w:r>
    </w:p>
    <w:p w14:paraId="71D010C2" w14:textId="77777777" w:rsidR="007C4598" w:rsidRDefault="007C4598"/>
    <w:p w14:paraId="561FDE55" w14:textId="77777777" w:rsidR="007C4598" w:rsidRDefault="00000000">
      <w:pPr>
        <w:jc w:val="both"/>
      </w:pPr>
      <w:r>
        <w:t>Per queste ragioni, l’impiego della tecnologia digitale nella diagnostica e nel triage è ammesso, nel modello, soltanto in funzione di supporto alla decisione clinica, e mai come sostituto di essa. Lo strumento può somministrare il questionario, elaborarne il punteggio, segnalare un valore di allarme e proporre un indirizzo; ma la classificazione del rischio e la decisione sull’indirizzo restano in capo alla figura competente, che dispone dello strumento come di un ausilio e non come di un verdetto. Questa configurazione preserva il valore della tecnologia — la rapidità, la sistematicità, la capacità di elaborare grandi quantità di dati — entro i limiti della sua affidabilità attuale, e mantiene la responsabilità clinica là dove l’evidenza e l’etica la collocano. L’adozione di strumenti di triage assistito, ove se ne ravvisi l’utilità, deve inoltre essere accompagnata dalla validazione sui dati locali e dal monitoraggio continuo degli esiti, perché la prestazione di tali strumenti dipende in misura critica dalla corrispondenza tra la popolazione su cui sono stati addestrati e la popolazione su cui sono impiegati.</w:t>
      </w:r>
    </w:p>
    <w:p w14:paraId="1FA14676" w14:textId="77777777" w:rsidR="007C4598" w:rsidRDefault="007C4598"/>
    <w:p w14:paraId="0918DFB5" w14:textId="77777777" w:rsidR="007C4598" w:rsidRDefault="00000000">
      <w:pPr>
        <w:pStyle w:val="Titolo3"/>
        <w:spacing w:before="200" w:after="100"/>
      </w:pPr>
      <w:r>
        <w:rPr>
          <w:color w:val="16264B"/>
          <w:sz w:val="22"/>
          <w:szCs w:val="22"/>
        </w:rPr>
        <w:t>La prevenzione e la stratificazione del rischio</w:t>
      </w:r>
    </w:p>
    <w:p w14:paraId="1A4AD722" w14:textId="77777777" w:rsidR="007C4598" w:rsidRDefault="007C4598"/>
    <w:p w14:paraId="442BE58E" w14:textId="77777777" w:rsidR="007C4598" w:rsidRDefault="00000000">
      <w:pPr>
        <w:jc w:val="both"/>
      </w:pPr>
      <w:r>
        <w:t>Il secondo momento del ciclo in cui la leva digitale può intervenire è la prevenzione e la stratificazione del rischio sulla popolazione, ossia l’identificazione precoce delle persone a maggiore probabilità di sviluppare un disturbo o di andare incontro a un peggioramento, allo scopo di indirizzare verso di esse l’attenzione preventiva. In questa fase la tecnologia digitale può sostenere la figura clinica e il servizio attraverso i modelli predittivi, che, elaborando i dati disponibili, stimano la probabilità di un evento e ne segnalano l’elevazione. Anche in questo caso, tuttavia, l’evidenza di efficacia e di sicurezza dei modelli predittivi applicati alla salute mentale è ancora emergente e di qualità da bassa a molto bassa, e la loro adozione richiede una prudenza accentuata.</w:t>
      </w:r>
      <w:r>
        <w:rPr>
          <w:color w:val="555555"/>
          <w:sz w:val="16"/>
          <w:szCs w:val="16"/>
          <w:vertAlign w:val="superscript"/>
        </w:rPr>
        <w:t>[8]</w:t>
      </w:r>
    </w:p>
    <w:p w14:paraId="631246E2" w14:textId="77777777" w:rsidR="007C4598" w:rsidRDefault="007C4598"/>
    <w:p w14:paraId="4F36452F" w14:textId="77777777" w:rsidR="007C4598" w:rsidRDefault="00000000">
      <w:pPr>
        <w:jc w:val="both"/>
      </w:pPr>
      <w:r>
        <w:t>La stratificazione del rischio mediante modelli predittivi solleva, oltre alla questione dell’evidenza, una questione di equità che la disciplina dell’opera impone di considerare. Un modello predittivo addestrato su dati che riflettono le disuguaglianze esistenti nell’accesso e nella presa in carico può apprendere e riprodurre quelle disuguaglianze, attribuendo sistematicamente un rischio diverso a gruppi diversi non in funzione del loro bisogno reale, ma in funzione delle distorsioni presenti nei dati. L’impiego di tali modelli richiede perciò, oltre alla validazione di efficacia, una verifica esplicita di equità, volta ad accertare che la loro prestazione non differisca sistematicamente tra i gruppi e che essi non producano un’allocazione discriminatoria dell’attenzione preventiva. Per queste ragioni, il modello colloca i modelli predittivi del rischio tra gli strumenti la cui adozione, allo stato, deve essere sperimentale, accompagnata dalla validazione locale, dalla verifica di equità e dalla supervisione clinica, e mai automatica. La prevenzione resta, nella sua sostanza, una funzione della figura clinica e dell’organizzazione del servizio, che la tecnologia può assistere ma non governare.</w:t>
      </w:r>
    </w:p>
    <w:p w14:paraId="70090A4B" w14:textId="77777777" w:rsidR="007C4598" w:rsidRDefault="007C4598"/>
    <w:p w14:paraId="25DCC081" w14:textId="77777777" w:rsidR="007C4598" w:rsidRDefault="00000000">
      <w:pPr>
        <w:pStyle w:val="Titolo3"/>
        <w:spacing w:before="200" w:after="100"/>
      </w:pPr>
      <w:r>
        <w:rPr>
          <w:color w:val="16264B"/>
          <w:sz w:val="22"/>
          <w:szCs w:val="22"/>
        </w:rPr>
        <w:t>Il trattamento: le terapie digitali e la terapia cognitivo-comportamentale erogata via internet</w:t>
      </w:r>
    </w:p>
    <w:p w14:paraId="20D1E5DD" w14:textId="77777777" w:rsidR="007C4598" w:rsidRDefault="007C4598"/>
    <w:p w14:paraId="2F6C1053" w14:textId="77777777" w:rsidR="007C4598" w:rsidRDefault="00000000">
      <w:pPr>
        <w:jc w:val="both"/>
      </w:pPr>
      <w:r>
        <w:t>Il terzo momento del ciclo in cui la leva digitale interviene è il trattamento, ed è qui che essa dispone della base di evidenza più solida. La terapia cognitivo-comportamentale erogata via internet, in particolare nelle forme con supporto di un terapeuta, è sostenuta da una letteratura ampia e di qualità da moderata ad alta, che ne documenta l’efficacia nel trattamento dei disturbi depressivi e ansiosi di severità lieve e moderata, con effetti comparabili a quelli della terapia erogata in presenza per le condizioni appropriate.</w:t>
      </w:r>
      <w:r>
        <w:rPr>
          <w:color w:val="555555"/>
          <w:sz w:val="16"/>
          <w:szCs w:val="16"/>
          <w:vertAlign w:val="superscript"/>
        </w:rPr>
        <w:t>[9]</w:t>
      </w:r>
      <w:r>
        <w:t xml:space="preserve"> La distinzione tra le forme guidate, in cui un terapeuta sostiene e accompagna il percorso, e le forme non guidate, in cui la persona procede autonomamente, è clinicamente rilevante: le prime mostrano un’efficacia superiore e una maggiore aderenza, e sono quelle che il modello privilegia, coerentemente con il principio della subordinazione, che vuole la tecnologia al servizio della relazione clinica e non in sua sostituzione.</w:t>
      </w:r>
    </w:p>
    <w:p w14:paraId="5FBB0D1A" w14:textId="77777777" w:rsidR="007C4598" w:rsidRDefault="007C4598"/>
    <w:p w14:paraId="25F28D31" w14:textId="77777777" w:rsidR="007C4598" w:rsidRDefault="00000000">
      <w:pPr>
        <w:jc w:val="both"/>
      </w:pPr>
      <w:r>
        <w:t>Nel modello del Servizio di Psicologia di Base, la terapia cognitivo-comportamentale erogata via internet e le terapie digitali validate trovano collocazione propria all’interno del primo livello, come modalità di erogazione degli interventi brevi per i disturbi comuni, integrate nel percorso e sotto la supervisione dello Psicologo di Base. Esse non costituiscono un canale separato e parallelo, ma una delle forme in cui l’intervento del primo livello può essere erogato, scelta in funzione dell’appropriatezza clinica, della preferenza della persona e delle condizioni di accesso. La loro integrazione nel percorso produce due effetti che le parti successive valuteranno. Sul versante dell’accesso, esse ampliano la capacità del servizio e ne estendono la portata alle aree e alle persone per le quali l’accesso in presenza è difficile, contribuendo all’equità territoriale che la dodicesima parte considererà. Sul versante della capacità, esse consentono di trattare una quota della domanda con un impiego ridotto di tempo professionale in presenza, liberando capacità per i casi che la richiedono; questo effetto, tuttavia, è subordinato alla condizione che la supervisione del terapeuta sia mantenuta, perché è essa a garantire l’efficacia e la sicurezza dell’intervento, e la sua rimozione, lungi dal produrre un risparmio, ne comprometterebbe l’esito.</w:t>
      </w:r>
    </w:p>
    <w:p w14:paraId="651F561C" w14:textId="77777777" w:rsidR="007C4598" w:rsidRDefault="007C4598"/>
    <w:p w14:paraId="7E374AAF" w14:textId="77777777" w:rsidR="007C4598" w:rsidRDefault="00000000">
      <w:pPr>
        <w:pStyle w:val="Titolo3"/>
        <w:spacing w:before="200" w:after="100"/>
      </w:pPr>
      <w:r>
        <w:rPr>
          <w:color w:val="16264B"/>
          <w:sz w:val="22"/>
          <w:szCs w:val="22"/>
        </w:rPr>
        <w:t>La riabilitazione e il monitoraggio remoto</w:t>
      </w:r>
    </w:p>
    <w:p w14:paraId="2A390599" w14:textId="77777777" w:rsidR="007C4598" w:rsidRDefault="007C4598"/>
    <w:p w14:paraId="68989951" w14:textId="77777777" w:rsidR="007C4598" w:rsidRDefault="00000000">
      <w:pPr>
        <w:jc w:val="both"/>
      </w:pPr>
      <w:r>
        <w:t>Il quarto momento del ciclo in cui la leva digitale interviene è la riabilitazione e il monitoraggio remoto, ossia il sostegno alla prosecuzione della cura e alla sorveglianza del quadro nelle fasi successive all’intervento attivo. In questa fase la tecnologia digitale può sostenere la figura clinica e il servizio attraverso gli strumenti di monitoraggio a distanza, che raccolgono in modo continuo o periodico i dati sullo stato della persona e ne segnalano le variazioni, e attraverso gli strumenti di sostegno alla riabilitazione, che accompagnano la persona nel mantenimento dei risultati raggiunti. L’evidenza relativa a questi strumenti è eterogenea: il monitoraggio remoto mediante questionari periodici e applicazioni di sostegno dispone di un fondamento ragionevole, mentre le forme più avanzate di rilevazione continua, comprese quelle basate sull’elaborazione automatizzata dei dati comportamentali, sono ancora in fase di consolidamento, con evidenza di qualità da bassa a molto bassa.</w:t>
      </w:r>
      <w:r>
        <w:rPr>
          <w:color w:val="555555"/>
          <w:sz w:val="16"/>
          <w:szCs w:val="16"/>
          <w:vertAlign w:val="superscript"/>
        </w:rPr>
        <w:t>[10]</w:t>
      </w:r>
    </w:p>
    <w:p w14:paraId="413EB75B" w14:textId="77777777" w:rsidR="007C4598" w:rsidRDefault="007C4598"/>
    <w:p w14:paraId="1E0CEC5C" w14:textId="77777777" w:rsidR="007C4598" w:rsidRDefault="00000000">
      <w:pPr>
        <w:jc w:val="both"/>
      </w:pPr>
      <w:r>
        <w:t>Il monitoraggio remoto, nelle forme di evidenza adeguata, si integra nel modello come sostegno alla continuità della presa in carico e come strumento di contrasto alla presa in carico intermittente. Esso consente di mantenere la persona sotto osservazione nelle fasi di intervallo tra gli interventi attivi, di rilevare precocemente le variazioni del quadro e di attivare tempestivamente la ripresa dell’intervento o il passaggio di livello, prima che il peggioramento si consolidi. Questo effetto contribuisce alla continuità che la voce precedente ha indicato come determinante degli esiti e come leva di efficienza, e si traduce, nelle stime delle parti successive, in una riduzione delle ricadute e delle cronicizzazioni. Anche qui, tuttavia, vale la condizione della supervisione: il monitoraggio remoto fornisce dati alla figura clinica, che li interpreta e decide; esso non sostituisce la valutazione clinica, ma la alimenta, e la sua utilità dipende dalla capacità del servizio di tradurre il dato in azione. La tabella che segue ricompone gli impieghi della leva digitale lungo il ciclo assistenziale, indicandone per ciascuno la funzione, la qualità dell’evidenza secondo il sistema di graduazione e la condizione d’uso.</w:t>
      </w:r>
    </w:p>
    <w:p w14:paraId="70D45824" w14:textId="77777777" w:rsidR="007C4598" w:rsidRDefault="007C4598"/>
    <w:p w14:paraId="1D464B4D" w14:textId="77777777" w:rsidR="007C4598" w:rsidRDefault="00000000">
      <w:pPr>
        <w:jc w:val="both"/>
      </w:pPr>
      <w:r>
        <w:rPr>
          <w:b/>
          <w:bCs/>
        </w:rPr>
        <w:t>Tabella 4.4 — La leva digitale e l’Intelligenza Artificiale lungo il ciclo assistenziale, con graduazione dell’evidenza</w:t>
      </w:r>
    </w:p>
    <w:p w14:paraId="2CC383F1"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6ED6C21C"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3A98C84" w14:textId="77777777" w:rsidR="007C4598" w:rsidRDefault="00000000">
            <w:pPr>
              <w:spacing w:after="40"/>
            </w:pPr>
            <w:r>
              <w:rPr>
                <w:b/>
                <w:bCs/>
                <w:color w:val="FFFFFF"/>
                <w:sz w:val="18"/>
                <w:szCs w:val="18"/>
              </w:rPr>
              <w:t>Momento del ciclo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A80873B" w14:textId="77777777" w:rsidR="007C4598" w:rsidRDefault="00000000">
            <w:pPr>
              <w:spacing w:after="40"/>
            </w:pPr>
            <w:r>
              <w:rPr>
                <w:b/>
                <w:bCs/>
                <w:color w:val="FFFFFF"/>
                <w:sz w:val="18"/>
                <w:szCs w:val="18"/>
              </w:rPr>
              <w:t>Impiego della leva digitale</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FD0D620" w14:textId="77777777" w:rsidR="007C4598" w:rsidRDefault="00000000">
            <w:pPr>
              <w:spacing w:after="40"/>
            </w:pPr>
            <w:r>
              <w:rPr>
                <w:b/>
                <w:bCs/>
                <w:color w:val="FFFFFF"/>
                <w:sz w:val="18"/>
                <w:szCs w:val="18"/>
              </w:rPr>
              <w:t>Qualità dell’evidenza (GRADE)</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9B34E7B" w14:textId="77777777" w:rsidR="007C4598" w:rsidRDefault="00000000">
            <w:pPr>
              <w:spacing w:after="40"/>
            </w:pPr>
            <w:r>
              <w:rPr>
                <w:b/>
                <w:bCs/>
                <w:color w:val="FFFFFF"/>
                <w:sz w:val="18"/>
                <w:szCs w:val="18"/>
              </w:rPr>
              <w:t>Condizione d’uso</w:t>
            </w:r>
          </w:p>
        </w:tc>
      </w:tr>
      <w:tr w:rsidR="007C4598" w14:paraId="349593D3"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FE1AEEC" w14:textId="77777777" w:rsidR="007C4598" w:rsidRDefault="00000000">
            <w:pPr>
              <w:spacing w:after="40"/>
            </w:pPr>
            <w:r>
              <w:t>Diagnostica e triage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0006C39" w14:textId="77777777" w:rsidR="007C4598" w:rsidRDefault="00000000">
            <w:pPr>
              <w:spacing w:after="40"/>
            </w:pPr>
            <w:r>
              <w:t>Somministrazione ed elaborazione automatizzata dei questionari; triage assistito; segnalazione degli elementi di rischio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B44B467" w14:textId="77777777" w:rsidR="007C4598" w:rsidRDefault="00000000">
            <w:pPr>
              <w:spacing w:after="40"/>
            </w:pPr>
            <w:r>
              <w:t>Da bassa a molto bassa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5C9AA42" w14:textId="77777777" w:rsidR="007C4598" w:rsidRDefault="00000000">
            <w:pPr>
              <w:spacing w:after="40"/>
            </w:pPr>
            <w:r>
              <w:t>Solo a supporto della decisione clinica; validazione locale; supervisione costante</w:t>
            </w:r>
          </w:p>
        </w:tc>
      </w:tr>
      <w:tr w:rsidR="007C4598" w14:paraId="49596D62"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954C411" w14:textId="77777777" w:rsidR="007C4598" w:rsidRDefault="00000000">
            <w:pPr>
              <w:spacing w:after="40"/>
            </w:pPr>
            <w:r>
              <w:t>Prevenzione e stratificazione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3F2A5C7" w14:textId="77777777" w:rsidR="007C4598" w:rsidRDefault="00000000">
            <w:pPr>
              <w:spacing w:after="40"/>
            </w:pPr>
            <w:r>
              <w:t>Modelli predittivi del rischio; identificazione precoce delle persone a maggiore probabilità di disturbo o peggioramento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ECEA8D2" w14:textId="77777777" w:rsidR="007C4598" w:rsidRDefault="00000000">
            <w:pPr>
              <w:spacing w:after="40"/>
            </w:pPr>
            <w:r>
              <w:t>Da bassa a molto bassa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92F5EED" w14:textId="77777777" w:rsidR="007C4598" w:rsidRDefault="00000000">
            <w:pPr>
              <w:spacing w:after="40"/>
            </w:pPr>
            <w:r>
              <w:t>Adozione sperimentale; validazione locale; verifica di equità; supervisione clinica</w:t>
            </w:r>
          </w:p>
        </w:tc>
      </w:tr>
      <w:tr w:rsidR="007C4598" w14:paraId="7F058F38"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6C626CA" w14:textId="77777777" w:rsidR="007C4598" w:rsidRDefault="00000000">
            <w:pPr>
              <w:spacing w:after="40"/>
            </w:pPr>
            <w:r>
              <w:t>Trattamento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ACAD338" w14:textId="77777777" w:rsidR="007C4598" w:rsidRDefault="00000000">
            <w:pPr>
              <w:spacing w:after="40"/>
            </w:pPr>
            <w:r>
              <w:t>Terapia cognitivo-comportamentale erogata via internet (forme guidate); terapie digitali validate, integrate nel primo livello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2160241" w14:textId="77777777" w:rsidR="007C4598" w:rsidRDefault="00000000">
            <w:pPr>
              <w:spacing w:after="40"/>
            </w:pPr>
            <w:r>
              <w:t>Da moderata ad alta (forme guidate)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1615BA5" w14:textId="77777777" w:rsidR="007C4598" w:rsidRDefault="00000000">
            <w:pPr>
              <w:spacing w:after="40"/>
            </w:pPr>
            <w:r>
              <w:t>Integrazione nel percorso; supervisione del terapeuta mantenuta; scelta per appropriatezza e preferenza</w:t>
            </w:r>
          </w:p>
        </w:tc>
      </w:tr>
      <w:tr w:rsidR="007C4598" w14:paraId="3818A1C9"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3546616" w14:textId="77777777" w:rsidR="007C4598" w:rsidRDefault="00000000">
            <w:pPr>
              <w:spacing w:after="40"/>
            </w:pPr>
            <w:r>
              <w:t>Riabilitazione e monitoraggio remoto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7DD0E85" w14:textId="77777777" w:rsidR="007C4598" w:rsidRDefault="00000000">
            <w:pPr>
              <w:spacing w:after="40"/>
            </w:pPr>
            <w:r>
              <w:t>Monitoraggio a distanza; sostegno alla riabilitazione; rilevazione delle variazioni del quadro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682C474" w14:textId="77777777" w:rsidR="007C4598" w:rsidRDefault="00000000">
            <w:pPr>
              <w:spacing w:after="40"/>
            </w:pPr>
            <w:r>
              <w:t>Ragionevole (questionari periodici); da bassa a molto bassa (forme avanzate)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1B78290" w14:textId="77777777" w:rsidR="007C4598" w:rsidRDefault="00000000">
            <w:pPr>
              <w:spacing w:after="40"/>
            </w:pPr>
            <w:r>
              <w:t>Sostegno alla continuità; interpretazione clinica del dato; protezione rigorosa dei dati</w:t>
            </w:r>
          </w:p>
        </w:tc>
      </w:tr>
    </w:tbl>
    <w:p w14:paraId="24035CD6" w14:textId="77777777" w:rsidR="007C4598" w:rsidRDefault="007C4598"/>
    <w:p w14:paraId="300D35CA" w14:textId="77777777" w:rsidR="007C4598" w:rsidRDefault="00000000">
      <w:pPr>
        <w:jc w:val="both"/>
      </w:pPr>
      <w:r>
        <w:rPr>
          <w:i/>
          <w:iCs/>
        </w:rPr>
        <w:t>Elaborazione dello studio. La graduazione segue il sistema GRADE, applicato simmetricamente all’evidenza clinica e a quella digitale. Gli impieghi a evidenza limitata sono ammessi in forma sperimentale e sotto supervisione; la condizione comune a tutti gli impieghi è la subordinazione alla decisione clinica.</w:t>
      </w:r>
    </w:p>
    <w:p w14:paraId="05D55B21"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76259723"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515C52C" w14:textId="77777777" w:rsidR="007C4598" w:rsidRDefault="00000000">
            <w:pPr>
              <w:spacing w:after="40"/>
            </w:pPr>
            <w:r>
              <w:rPr>
                <w:b/>
                <w:bCs/>
                <w:color w:val="FFFFFF"/>
                <w:sz w:val="18"/>
                <w:szCs w:val="18"/>
              </w:rPr>
              <w:t xml:space="preserve">◆  SEGNALIBRO — INFOGRAFICA 4.2 · DA INSERIRE A POSTERIORI Titolo previsto: Il ciclo assistenziale e gli innesti della leva digitale — Puglia Contenuto da rappresentare: Diagramma circolare a quattro stazioni (diagnostica e triage; prevenzione e stratificazione; trattamento; riabilitazione e monitoraggio) che rappresenta il ciclo assistenziale e indica, in corrispondenza di ciascuna stazione, l’innesto della leva digitale e il livello di evidenza (codificato per colore). Al centro, la figura dello Psicologo di Base come supervisore costante. Obiettivo: mostrare che la tecnologia interviene lungo l’intero ciclo ma resta subordinata alla supervisione umana, e che la sua affidabilità varia per stazione. Codice </w:t>
            </w:r>
            <w:proofErr w:type="spellStart"/>
            <w:r>
              <w:rPr>
                <w:b/>
                <w:bCs/>
                <w:color w:val="FFFFFF"/>
                <w:sz w:val="18"/>
                <w:szCs w:val="18"/>
              </w:rPr>
              <w:t>Canva-Friendly</w:t>
            </w:r>
            <w:proofErr w:type="spellEnd"/>
            <w:r>
              <w:rPr>
                <w:b/>
                <w:bCs/>
                <w:color w:val="FFFFFF"/>
                <w:sz w:val="18"/>
                <w:szCs w:val="18"/>
              </w:rPr>
              <w:t xml:space="preserve"> (scheda di generazione) TIPO: diagramma circolare a 4 stazioni con nucleo centrale e legenda dell’evidenza FORMATO: 1280 × 1000 </w:t>
            </w:r>
            <w:proofErr w:type="spellStart"/>
            <w:r>
              <w:rPr>
                <w:b/>
                <w:bCs/>
                <w:color w:val="FFFFFF"/>
                <w:sz w:val="18"/>
                <w:szCs w:val="18"/>
              </w:rPr>
              <w:t>px</w:t>
            </w:r>
            <w:proofErr w:type="spellEnd"/>
            <w:r>
              <w:rPr>
                <w:b/>
                <w:bCs/>
                <w:color w:val="FFFFFF"/>
                <w:sz w:val="18"/>
                <w:szCs w:val="18"/>
              </w:rPr>
              <w:t xml:space="preserve">; adatta a slide e ad A4 SFONDO: gradiente verticale bianco #FFFFFF 85% → crema #F3EAD6 15% PALETTE: nucleo #101F3C; stazioni a evidenza moderata-alta #2E5AA0; stazioni a evidenza bassa-molto bassa #5B7BB0; accento oro #C49A48; testo su </w:t>
            </w:r>
            <w:proofErr w:type="spellStart"/>
            <w:r>
              <w:rPr>
                <w:b/>
                <w:bCs/>
                <w:color w:val="FFFFFF"/>
                <w:sz w:val="18"/>
                <w:szCs w:val="18"/>
              </w:rPr>
              <w:t>navy</w:t>
            </w:r>
            <w:proofErr w:type="spellEnd"/>
            <w:r>
              <w:rPr>
                <w:b/>
                <w:bCs/>
                <w:color w:val="FFFFFF"/>
                <w:sz w:val="18"/>
                <w:szCs w:val="18"/>
              </w:rPr>
              <w:t xml:space="preserve"> #FFFFFF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stazioni </w:t>
            </w:r>
            <w:proofErr w:type="spellStart"/>
            <w:r>
              <w:rPr>
                <w:b/>
                <w:bCs/>
                <w:color w:val="FFFFFF"/>
                <w:sz w:val="18"/>
                <w:szCs w:val="18"/>
              </w:rPr>
              <w:t>Bold</w:t>
            </w:r>
            <w:proofErr w:type="spellEnd"/>
            <w:r>
              <w:rPr>
                <w:b/>
                <w:bCs/>
                <w:color w:val="FFFFFF"/>
                <w:sz w:val="18"/>
                <w:szCs w:val="18"/>
              </w:rPr>
              <w:t>, note Regular TITOLO: «Il ciclo assistenziale e gli innesti della leva digitale — Puglia» NUCLEO: «Psicologo di Base — supervisione costante» STAZIONE 1 (in alto): Diagnostica e triage — evidenza bassa/molto bassa (colore #5B7BB0) STAZIONE 2 (a destra): Prevenzione e stratificazione — evidenza bassa/molto bassa (colore #5B7BB0) STAZIONE 3 (in basso): Trattamento (CBT via internet) — evidenza moderata/alta (colore #2E5AA0) STAZIONE 4 (a sinistra): Riabilitazione e monitoraggio — evidenza variabile (colore misto) LEGENDA: blu pieno #2E5AA0 = evidenza moderata-alta · blu chiaro #5B7BB0 = evidenza bassa-molto bassa · oro = subordinazione e supervisione DIDASCALIA: «La tecnologia interviene lungo l’intero ciclo, ma resta subordinata alla decisione clinica; la sua affidabilità varia per stazione» VARIANTE 3D (consigliata): anello isometrico con stazioni a rilievo e nucleo in evidenza; etichette in piano FONTE (piè di figura): Elaborazione dello studio; graduazione GRADE dell’evidenza</w:t>
            </w:r>
          </w:p>
          <w:p w14:paraId="0F3A0E11" w14:textId="77777777" w:rsidR="007C4598" w:rsidRDefault="00000000">
            <w:pPr>
              <w:spacing w:before="120" w:after="60"/>
              <w:jc w:val="center"/>
            </w:pPr>
            <w:r>
              <w:rPr>
                <w:noProof/>
              </w:rPr>
              <w:drawing>
                <wp:inline distT="0" distB="0" distL="0" distR="0" wp14:anchorId="739DD432" wp14:editId="08E280F2">
                  <wp:extent cx="8229600" cy="4629150"/>
                  <wp:effectExtent l="0" t="0" r="0" b="0"/>
                  <wp:docPr id="120" name="Infografica20" descr="Il ciclo assistenziale e gli innesti della leva digitale e del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nfografica20"/>
                          <pic:cNvPicPr>
                            <a:picLocks noChangeAspect="1" noChangeArrowheads="1"/>
                          </pic:cNvPicPr>
                        </pic:nvPicPr>
                        <pic:blipFill>
                          <a:blip r:embed="rId29">
                            <a:extLst>
                              <a:ext uri="{96DAC541-7B7A-43D3-8B79-37D633B846F1}">
                                <asvg:svgBlip xmlns:asvg="http://schemas.microsoft.com/office/drawing/2016/SVG/main" r:embed="rId30"/>
                              </a:ext>
                            </a:extLst>
                          </a:blip>
                          <a:stretch>
                            <a:fillRect/>
                          </a:stretch>
                        </pic:blipFill>
                        <pic:spPr bwMode="auto">
                          <a:xfrm>
                            <a:off x="0" y="0"/>
                            <a:ext cx="8229600" cy="4629150"/>
                          </a:xfrm>
                          <a:prstGeom prst="rect">
                            <a:avLst/>
                          </a:prstGeom>
                          <a:noFill/>
                          <a:ln>
                            <a:noFill/>
                          </a:ln>
                        </pic:spPr>
                      </pic:pic>
                    </a:graphicData>
                  </a:graphic>
                </wp:inline>
              </w:drawing>
            </w:r>
          </w:p>
          <w:p w14:paraId="413A56ED" w14:textId="77777777" w:rsidR="007C4598" w:rsidRDefault="00000000">
            <w:pPr>
              <w:spacing w:before="40" w:after="200"/>
              <w:jc w:val="center"/>
            </w:pPr>
            <w:r>
              <w:rPr>
                <w:i/>
                <w:color w:val="2E5A8F"/>
                <w:sz w:val="16"/>
                <w:szCs w:val="16"/>
              </w:rPr>
              <w:t>Fig. 4.2 — Il ciclo assistenziale e gli innesti della leva digitale e dell'IA. Elaborazione dello studio · Luigi De Michele · Giugno 2026.</w:t>
            </w:r>
          </w:p>
        </w:tc>
      </w:tr>
    </w:tbl>
    <w:p w14:paraId="1B242024" w14:textId="77777777" w:rsidR="007C4598" w:rsidRDefault="007C4598"/>
    <w:p w14:paraId="53F1B34F" w14:textId="77777777" w:rsidR="007C4598" w:rsidRDefault="00000000">
      <w:pPr>
        <w:jc w:val="both"/>
      </w:pPr>
      <w:r>
        <w:t xml:space="preserve">Tra le forme della leva digitale, una merita una trattazione propria per la sua rilevanza clinica, </w:t>
      </w:r>
      <w:proofErr w:type="spellStart"/>
      <w:r>
        <w:t>regolatoria</w:t>
      </w:r>
      <w:proofErr w:type="spellEnd"/>
      <w:r>
        <w:t xml:space="preserve"> ed economica: i dispositivi terapeutici digitali su prescrizione, che la voce seguente definisce insieme alla cornice di rischio che ne governa l’impiego.</w:t>
      </w:r>
    </w:p>
    <w:p w14:paraId="7A78BA4F" w14:textId="77777777" w:rsidR="007C4598" w:rsidRDefault="007C4598"/>
    <w:p w14:paraId="04905606" w14:textId="77777777" w:rsidR="007C4598" w:rsidRDefault="00000000">
      <w:pPr>
        <w:pStyle w:val="Titolo2"/>
        <w:spacing w:before="200" w:after="100"/>
      </w:pPr>
      <w:r>
        <w:rPr>
          <w:sz w:val="22"/>
          <w:szCs w:val="22"/>
        </w:rPr>
        <w:t>4.5  I dispositivi terapeutici digitali su prescrizione e la cornice di rischio</w:t>
      </w:r>
    </w:p>
    <w:p w14:paraId="3040D842" w14:textId="77777777" w:rsidR="007C4598" w:rsidRDefault="007C4598"/>
    <w:p w14:paraId="42B518AB" w14:textId="77777777" w:rsidR="007C4598" w:rsidRDefault="00000000">
      <w:pPr>
        <w:jc w:val="both"/>
      </w:pPr>
      <w:r>
        <w:rPr>
          <w:i/>
          <w:iCs/>
        </w:rPr>
        <w:t xml:space="preserve">Questa voce definisce i dispositivi terapeutici digitali su prescrizione — i programmi terapeutici erogati attraverso software, prescritti dalla figura clinica e integrati nel percorso di cura — e la cornice di rischio che ne governa l’impiego. La trattazione distingue la natura di tali dispositivi dalle generiche applicazioni per il benessere, ne richiama il quadro </w:t>
      </w:r>
      <w:proofErr w:type="spellStart"/>
      <w:r>
        <w:rPr>
          <w:i/>
          <w:iCs/>
        </w:rPr>
        <w:t>regolatorio</w:t>
      </w:r>
      <w:proofErr w:type="spellEnd"/>
      <w:r>
        <w:rPr>
          <w:i/>
          <w:iCs/>
        </w:rPr>
        <w:t xml:space="preserve"> europeo e i modelli di riconoscimento e rimborso adottati in altri ordinamenti, e ne fissa le condizioni di ammissibilità nel modello pugliese, segnalando con franchezza che il quadro italiano di riconoscimento e di accesso è, allo stato, ancora in formazione.</w:t>
      </w:r>
    </w:p>
    <w:p w14:paraId="388036E8" w14:textId="77777777" w:rsidR="007C4598" w:rsidRDefault="007C4598"/>
    <w:p w14:paraId="29C73381" w14:textId="77777777" w:rsidR="007C4598" w:rsidRDefault="00000000">
      <w:pPr>
        <w:pStyle w:val="Titolo3"/>
        <w:spacing w:before="200" w:after="100"/>
      </w:pPr>
      <w:r>
        <w:rPr>
          <w:color w:val="16264B"/>
          <w:sz w:val="22"/>
          <w:szCs w:val="22"/>
        </w:rPr>
        <w:t>La natura dei dispositivi terapeutici digitali e la loro distinzione dalle applicazioni per il benessere</w:t>
      </w:r>
    </w:p>
    <w:p w14:paraId="5A0FB1CE" w14:textId="77777777" w:rsidR="007C4598" w:rsidRDefault="007C4598"/>
    <w:p w14:paraId="272512CA" w14:textId="77777777" w:rsidR="007C4598" w:rsidRDefault="00000000">
      <w:pPr>
        <w:jc w:val="both"/>
      </w:pPr>
      <w:r>
        <w:t xml:space="preserve">Per dispositivo terapeutico digitale si intende un prodotto che eroga, attraverso un software, un intervento terapeutico fondato sull’evidenza per la prevenzione, la gestione o il trattamento di una condizione clinica, e che è destinato a essere impiegato sotto indicazione clinica e integrato nel percorso di cura. La nozione si distingue nettamente da quella, assai più ampia e meno governata, delle applicazioni per il benessere, che offrono funzioni di sostegno generico — il rilassamento, la meditazione, il monitoraggio dell’umore — senza una destinazione terapeutica specifica e senza l’obbligo di dimostrare un’efficacia clinica. La distinzione non è terminologica, ma sostanziale e </w:t>
      </w:r>
      <w:proofErr w:type="spellStart"/>
      <w:r>
        <w:t>regolatoria</w:t>
      </w:r>
      <w:proofErr w:type="spellEnd"/>
      <w:r>
        <w:t>: il dispositivo terapeutico digitale, in quanto destinato a una finalità medica, è soggetto al regime dei dispositivi medici, deve dimostrare la propria efficacia e sicurezza secondo standard definiti e può essere impiegato su indicazione clinica; l’applicazione per il benessere, in quanto priva di destinazione terapeutica, non è soggetta a tale regime e non offre le garanzie che esso impone. Il modello del Servizio di Psicologia di Base ammette i dispositivi terapeutici digitali, in quanto strumenti validati e governati, e non le generiche applicazioni per il benessere, la cui efficacia e sicurezza non sono assicurate.</w:t>
      </w:r>
    </w:p>
    <w:p w14:paraId="544E98E3" w14:textId="77777777" w:rsidR="007C4598" w:rsidRDefault="007C4598"/>
    <w:p w14:paraId="664C1D92" w14:textId="77777777" w:rsidR="007C4598" w:rsidRDefault="00000000">
      <w:pPr>
        <w:pStyle w:val="Titolo3"/>
        <w:spacing w:before="200" w:after="100"/>
      </w:pPr>
      <w:r>
        <w:rPr>
          <w:color w:val="16264B"/>
          <w:sz w:val="22"/>
          <w:szCs w:val="22"/>
        </w:rPr>
        <w:t xml:space="preserve">Il quadro </w:t>
      </w:r>
      <w:proofErr w:type="spellStart"/>
      <w:r>
        <w:rPr>
          <w:color w:val="16264B"/>
          <w:sz w:val="22"/>
          <w:szCs w:val="22"/>
        </w:rPr>
        <w:t>regolatorio</w:t>
      </w:r>
      <w:proofErr w:type="spellEnd"/>
      <w:r>
        <w:rPr>
          <w:color w:val="16264B"/>
          <w:sz w:val="22"/>
          <w:szCs w:val="22"/>
        </w:rPr>
        <w:t xml:space="preserve"> europeo</w:t>
      </w:r>
    </w:p>
    <w:p w14:paraId="11175377" w14:textId="77777777" w:rsidR="007C4598" w:rsidRDefault="007C4598"/>
    <w:p w14:paraId="46E9C583" w14:textId="77777777" w:rsidR="007C4598" w:rsidRDefault="00000000">
      <w:pPr>
        <w:jc w:val="both"/>
      </w:pPr>
      <w:r>
        <w:t xml:space="preserve">I dispositivi terapeutici digitali, in quanto software con destinazione medica, ricadono nel quadro </w:t>
      </w:r>
      <w:proofErr w:type="spellStart"/>
      <w:r>
        <w:t>regolatorio</w:t>
      </w:r>
      <w:proofErr w:type="spellEnd"/>
      <w:r>
        <w:t xml:space="preserve"> europeo dei dispositivi medici, che ne disciplina la classificazione, la valutazione di conformità e l’immissione in commercio.</w:t>
      </w:r>
      <w:r>
        <w:rPr>
          <w:color w:val="555555"/>
          <w:sz w:val="16"/>
          <w:szCs w:val="16"/>
          <w:vertAlign w:val="superscript"/>
        </w:rPr>
        <w:t>[11]</w:t>
      </w:r>
      <w:r>
        <w:t xml:space="preserve"> Il regolamento qualifica come dispositivo medico il software destinato a una finalità diagnostica, preventiva o terapeutica, e lo sottopone, in funzione della classe di rischio attribuita, a requisiti crescenti di valutazione clinica, di documentazione tecnica e di sorveglianza, condizionando l’immissione in commercio alla marcatura di conformità. A questo quadro generale si aggiunge, per i dispositivi che incorporino sistemi di Intelligenza Artificiale, il regolamento europeo sull’Intelligenza Artificiale, che classifica i sistemi per livello di rischio e sottopone quelli destinati all’ambito sanitario a requisiti specifici.</w:t>
      </w:r>
      <w:r>
        <w:rPr>
          <w:color w:val="555555"/>
          <w:sz w:val="16"/>
          <w:szCs w:val="16"/>
          <w:vertAlign w:val="superscript"/>
        </w:rPr>
        <w:t>[12]</w:t>
      </w:r>
      <w:r>
        <w:t xml:space="preserve"> Un dispositivo terapeutico digitale che incorpori l’Intelligenza Artificiale è dunque soggetto, congiuntamente, al regime dei dispositivi medici e al regime dell’Intelligenza Artificiale, e deve soddisfare i requisiti di entrambi: la dimostrazione dell’efficacia e della sicurezza clinica, da un lato; la gestione del rischio, la qualità dei dati, la trasparenza e la sorveglianza umana, dall’altro.</w:t>
      </w:r>
    </w:p>
    <w:p w14:paraId="114AFECC" w14:textId="77777777" w:rsidR="007C4598" w:rsidRDefault="007C4598"/>
    <w:p w14:paraId="051D812D" w14:textId="77777777" w:rsidR="007C4598" w:rsidRDefault="00000000">
      <w:pPr>
        <w:pStyle w:val="Titolo3"/>
        <w:spacing w:before="200" w:after="100"/>
      </w:pPr>
      <w:r>
        <w:rPr>
          <w:color w:val="16264B"/>
          <w:sz w:val="22"/>
          <w:szCs w:val="22"/>
        </w:rPr>
        <w:t>I modelli di riconoscimento e di accesso e la condizione italiana</w:t>
      </w:r>
    </w:p>
    <w:p w14:paraId="57F13D24" w14:textId="77777777" w:rsidR="007C4598" w:rsidRDefault="007C4598"/>
    <w:p w14:paraId="5CC364D8" w14:textId="77777777" w:rsidR="007C4598" w:rsidRDefault="00000000">
      <w:pPr>
        <w:jc w:val="both"/>
      </w:pPr>
      <w:r>
        <w:t>Alcuni ordinamenti europei hanno istituito procedure specifiche per il riconoscimento e l’accesso dei dispositivi terapeutici digitali, che ne consentono la prescrizione e il rimborso a carico del sistema sanitario una volta dimostrata l’efficacia. Il modello tedesco delle applicazioni sanitarie digitali costituisce il riferimento più sviluppato: esso prevede una procedura di valutazione, condotta dall’autorità competente, che ammette il dispositivo all’elenco di quelli prescrivibili e rimborsabili, in via definitiva ove l’efficacia sia già dimostrata o in via provvisoria ove essa debba essere accertata entro un periodo definito.</w:t>
      </w:r>
      <w:r>
        <w:rPr>
          <w:color w:val="555555"/>
          <w:sz w:val="16"/>
          <w:szCs w:val="16"/>
          <w:vertAlign w:val="superscript"/>
        </w:rPr>
        <w:t>[13]</w:t>
      </w:r>
      <w:r>
        <w:t xml:space="preserve"> Questo modello realizza un punto di equilibrio tra l’esigenza di rendere disponibili strumenti innovativi e l’esigenza di subordinarne l’impiego alla dimostrazione dell’efficacia: il dispositivo è ammesso alla prescrizione e al rimborso, ma resta soggetto all’obbligo di provare il proprio valore, e la prova condiziona la permanenza nell’elenco. Esso offre, inoltre, un canale strutturato attraverso cui la figura clinica può prescrivere il dispositivo all’interno del percorso di cura, integrandolo nell’assistenza ordinaria.</w:t>
      </w:r>
    </w:p>
    <w:p w14:paraId="4F009958" w14:textId="77777777" w:rsidR="007C4598" w:rsidRDefault="007C4598"/>
    <w:p w14:paraId="6507ADDE" w14:textId="77777777" w:rsidR="007C4598" w:rsidRDefault="00000000">
      <w:pPr>
        <w:jc w:val="both"/>
      </w:pPr>
      <w:r>
        <w:t xml:space="preserve">La condizione italiana, allo stato, si distingue da quella di tali ordinamenti per l’assenza di una procedura compiuta di riconoscimento e di accesso dei dispositivi terapeutici digitali a carico del Servizio sanitario. Questa assenza costituisce, al tempo stesso, un limite e un’opportunità che il modello del Servizio di Psicologia di Base deve registrare con franchezza. È un limite, perché in mancanza di un canale di riconoscimento e di rimborso, l’impiego dei dispositivi terapeutici digitali nel percorso di cura non dispone del fondamento </w:t>
      </w:r>
      <w:proofErr w:type="spellStart"/>
      <w:r>
        <w:t>regolatorio</w:t>
      </w:r>
      <w:proofErr w:type="spellEnd"/>
      <w:r>
        <w:t xml:space="preserve"> ed economico che esso richiederebbe, e resta affidato a soluzioni parziali e non sistematiche. È un’opportunità, perché la definizione, in sede regionale o nazionale, di criteri per il riconoscimento e l’accesso dei dispositivi terapeutici digitali — sul modello degli ordinamenti che li hanno adottati — costituirebbe una delle condizioni abilitanti della riforma, e si collocherebbe coerentemente tra gli interventi che la quattordicesima parte considererà sotto il profilo dell’attuazione e della sostenibilità. Nel frattempo, il modello ammette i dispositivi terapeutici digitali alle sole condizioni che ne garantiscano l’affidabilità: la qualificazione come dispositivo medico secondo il regime europeo, la dimostrazione dell’efficacia secondo standard definiti, la prescrizione da parte della figura clinica e l’integrazione nel percorso sotto supervisione.</w:t>
      </w:r>
    </w:p>
    <w:p w14:paraId="72A602E0" w14:textId="77777777" w:rsidR="007C4598" w:rsidRDefault="007C4598"/>
    <w:p w14:paraId="65C9346C" w14:textId="77777777" w:rsidR="007C4598" w:rsidRDefault="00000000">
      <w:pPr>
        <w:pStyle w:val="Titolo3"/>
        <w:spacing w:before="200" w:after="100"/>
      </w:pPr>
      <w:r>
        <w:rPr>
          <w:color w:val="16264B"/>
          <w:sz w:val="22"/>
          <w:szCs w:val="22"/>
        </w:rPr>
        <w:t>La cornice di rischio e le condizioni di ammissibilità</w:t>
      </w:r>
    </w:p>
    <w:p w14:paraId="72ED0665" w14:textId="77777777" w:rsidR="007C4598" w:rsidRDefault="007C4598"/>
    <w:p w14:paraId="0A1B57DE" w14:textId="77777777" w:rsidR="007C4598" w:rsidRDefault="00000000">
      <w:pPr>
        <w:jc w:val="both"/>
      </w:pPr>
      <w:r>
        <w:t xml:space="preserve">La cornice di rischio che governa l’impiego dei dispositivi terapeutici digitali nel modello pugliese si compone di un insieme di condizioni, che traducono in regole operative i requisiti del quadro </w:t>
      </w:r>
      <w:proofErr w:type="spellStart"/>
      <w:r>
        <w:t>regolatorio</w:t>
      </w:r>
      <w:proofErr w:type="spellEnd"/>
      <w:r>
        <w:t xml:space="preserve"> e i principi dell’opera. La prima condizione è la qualificazione </w:t>
      </w:r>
      <w:proofErr w:type="spellStart"/>
      <w:r>
        <w:t>regolatoria</w:t>
      </w:r>
      <w:proofErr w:type="spellEnd"/>
      <w:r>
        <w:t>: il dispositivo deve essere qualificato come dispositivo medico secondo il regolamento europeo, deve recare la marcatura di conformità e, ove incorpori sistemi di Intelligenza Artificiale, deve soddisfare i requisiti del regolamento sull’Intelligenza Artificiale. La seconda condizione è la dimostrazione dell’efficacia: il dispositivo deve disporre di un’evidenza di efficacia e di sicurezza graduata secondo il sistema adottato dall’opera, e la sua adozione deve essere proporzionata alla qualità di tale evidenza, riservando agli strumenti meglio sostenuti l’impiego ordinario e a quelli a evidenza limitata l’impiego sperimentale e sorvegliato. La terza condizione è la prescrizione clinica e l’integrazione nel percorso: il dispositivo è impiegato su indicazione della figura clinica, all’interno del percorso di cura, e non come canale autonomo e parallelo; la sua prescrizione presuppone la valutazione dell’appropriatezza e il consenso informato della persona. La quarta condizione è la supervisione e il monitoraggio: l’impiego del dispositivo resta sotto la supervisione della figura clinica, che ne verifica l’andamento e ne corregge o interrompe l’uso in funzione della risposta, e i suoi esiti sono monitorati con gli strumenti del servizio.</w:t>
      </w:r>
    </w:p>
    <w:p w14:paraId="560686D6" w14:textId="77777777" w:rsidR="007C4598" w:rsidRDefault="007C4598"/>
    <w:p w14:paraId="536F9981" w14:textId="77777777" w:rsidR="007C4598" w:rsidRDefault="00000000">
      <w:pPr>
        <w:jc w:val="both"/>
      </w:pPr>
      <w:r>
        <w:t xml:space="preserve">Queste condizioni configurano il dispositivo terapeutico digitale come uno strumento del primo livello, prescritto e supervisionato dalla figura clinica e integrato nel percorso, e ne escludono l’impiego come sostituto della relazione clinica o come prodotto di libero accesso non governato. Esse preservano il valore potenziale di tali dispositivi — l’ampliamento della capacità, l’estensione dell’accesso, la disponibilità di interventi validati erogabili a distanza — entro i limiti che la loro affidabilità e la responsabilità clinica impongono. La cornice di rischio non è, dunque, un ostacolo all’innovazione, ma la condizione perché l’innovazione produca valore anziché rischio, e perché l’impiego dei dispositivi terapeutici digitali si collochi entro l’architettura del modello come una delle forme governate della leva digitale. La tabella che segue ricompone il quadro </w:t>
      </w:r>
      <w:proofErr w:type="spellStart"/>
      <w:r>
        <w:t>regolatorio</w:t>
      </w:r>
      <w:proofErr w:type="spellEnd"/>
      <w:r>
        <w:t xml:space="preserve"> e le condizioni di ammissibilità dei dispositivi terapeutici digitali.</w:t>
      </w:r>
    </w:p>
    <w:p w14:paraId="7B60DAED" w14:textId="77777777" w:rsidR="007C4598" w:rsidRDefault="007C4598"/>
    <w:p w14:paraId="4DBBB9F9" w14:textId="77777777" w:rsidR="007C4598" w:rsidRDefault="00000000">
      <w:pPr>
        <w:jc w:val="both"/>
      </w:pPr>
      <w:r>
        <w:rPr>
          <w:b/>
          <w:bCs/>
        </w:rPr>
        <w:t xml:space="preserve">Tabella 4.5 — Il quadro </w:t>
      </w:r>
      <w:proofErr w:type="spellStart"/>
      <w:r>
        <w:rPr>
          <w:b/>
          <w:bCs/>
        </w:rPr>
        <w:t>regolatorio</w:t>
      </w:r>
      <w:proofErr w:type="spellEnd"/>
      <w:r>
        <w:rPr>
          <w:b/>
          <w:bCs/>
        </w:rPr>
        <w:t xml:space="preserve"> e le condizioni di ammissibilità dei dispositivi terapeutici digitali</w:t>
      </w:r>
    </w:p>
    <w:p w14:paraId="35DA534F"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7EED14B4"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3BACCFA" w14:textId="77777777" w:rsidR="007C4598" w:rsidRDefault="00000000">
            <w:pPr>
              <w:spacing w:after="40"/>
            </w:pPr>
            <w:r>
              <w:rPr>
                <w:b/>
                <w:bCs/>
                <w:color w:val="FFFFFF"/>
                <w:sz w:val="18"/>
                <w:szCs w:val="18"/>
              </w:rPr>
              <w:t>Profilo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0564D0B" w14:textId="77777777" w:rsidR="007C4598" w:rsidRDefault="00000000">
            <w:pPr>
              <w:spacing w:after="40"/>
            </w:pPr>
            <w:r>
              <w:rPr>
                <w:b/>
                <w:bCs/>
                <w:color w:val="FFFFFF"/>
                <w:sz w:val="18"/>
                <w:szCs w:val="18"/>
              </w:rPr>
              <w:t>Riferimento o requisito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9D657A5" w14:textId="77777777" w:rsidR="007C4598" w:rsidRDefault="00000000">
            <w:pPr>
              <w:spacing w:after="40"/>
            </w:pPr>
            <w:r>
              <w:rPr>
                <w:b/>
                <w:bCs/>
                <w:color w:val="FFFFFF"/>
                <w:sz w:val="18"/>
                <w:szCs w:val="18"/>
              </w:rPr>
              <w:t>Implicazione per il modello</w:t>
            </w:r>
          </w:p>
        </w:tc>
      </w:tr>
      <w:tr w:rsidR="007C4598" w14:paraId="279D68C5"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8403BB5" w14:textId="77777777" w:rsidR="007C4598" w:rsidRDefault="00000000">
            <w:pPr>
              <w:spacing w:after="40"/>
            </w:pPr>
            <w:r>
              <w:t>Qualificazione come dispositivo medico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33F891E" w14:textId="77777777" w:rsidR="007C4598" w:rsidRDefault="00000000">
            <w:pPr>
              <w:spacing w:after="40"/>
            </w:pPr>
            <w:r>
              <w:t>Regolamento (UE) 2017/745; marcatura di conformità; classificazione per rischio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77BE8C4" w14:textId="77777777" w:rsidR="007C4598" w:rsidRDefault="00000000">
            <w:pPr>
              <w:spacing w:after="40"/>
            </w:pPr>
            <w:r>
              <w:t>Ammissibilità del solo software con destinazione medica validato; esclusione delle applicazioni generiche per il benessere</w:t>
            </w:r>
          </w:p>
        </w:tc>
      </w:tr>
      <w:tr w:rsidR="007C4598" w14:paraId="16A9B060"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CC91592" w14:textId="77777777" w:rsidR="007C4598" w:rsidRDefault="00000000">
            <w:pPr>
              <w:spacing w:after="40"/>
            </w:pPr>
            <w:r>
              <w:t>Sistemi di Intelligenza Artificiale incorporati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94D713C" w14:textId="77777777" w:rsidR="007C4598" w:rsidRDefault="00000000">
            <w:pPr>
              <w:spacing w:after="40"/>
            </w:pPr>
            <w:r>
              <w:t>Regolamento (UE) 2024/1689; requisiti per i sistemi ad alto rischio (gestione del rischio, qualità dei dati, trasparenza, sorveglianza umana)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AFDD38E" w14:textId="77777777" w:rsidR="007C4598" w:rsidRDefault="00000000">
            <w:pPr>
              <w:spacing w:after="40"/>
            </w:pPr>
            <w:r>
              <w:t>Doppia conformità per i dispositivi che incorporino Intelligenza Artificiale; sorveglianza umana obbligatoria</w:t>
            </w:r>
          </w:p>
        </w:tc>
      </w:tr>
      <w:tr w:rsidR="007C4598" w14:paraId="1D06BD3E"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6E018C9" w14:textId="77777777" w:rsidR="007C4598" w:rsidRDefault="00000000">
            <w:pPr>
              <w:spacing w:after="40"/>
            </w:pPr>
            <w:r>
              <w:t>Riconoscimento e accesso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E239C8D" w14:textId="77777777" w:rsidR="007C4598" w:rsidRDefault="00000000">
            <w:pPr>
              <w:spacing w:after="40"/>
            </w:pPr>
            <w:r>
              <w:t>Modelli europei di riconoscimento e rimborso (riferimento: applicazioni sanitarie digitali tedesche); assenza, allo stato, di una procedura italiana compiuta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739BCA5" w14:textId="77777777" w:rsidR="007C4598" w:rsidRDefault="00000000">
            <w:pPr>
              <w:spacing w:after="40"/>
            </w:pPr>
            <w:r>
              <w:t>Condizione abilitante da definire in sede regionale o nazionale; nel frattempo, ammissione alle sole condizioni di affidabilità</w:t>
            </w:r>
          </w:p>
        </w:tc>
      </w:tr>
      <w:tr w:rsidR="007C4598" w14:paraId="4456A3F2"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696A8F3" w14:textId="77777777" w:rsidR="007C4598" w:rsidRDefault="00000000">
            <w:pPr>
              <w:spacing w:after="40"/>
            </w:pPr>
            <w:r>
              <w:t>Cornice di rischio operativa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CDC394E" w14:textId="77777777" w:rsidR="007C4598" w:rsidRDefault="00000000">
            <w:pPr>
              <w:spacing w:after="40"/>
            </w:pPr>
            <w:r>
              <w:t>Dimostrazione dell’efficacia graduata; prescrizione clinica e integrazione nel percorso; supervisione e monitoraggio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78F6D08" w14:textId="77777777" w:rsidR="007C4598" w:rsidRDefault="00000000">
            <w:pPr>
              <w:spacing w:after="40"/>
            </w:pPr>
            <w:r>
              <w:t>Impiego come strumento del primo livello, prescritto e supervisionato; esclusione del libero accesso non governato</w:t>
            </w:r>
          </w:p>
        </w:tc>
      </w:tr>
    </w:tbl>
    <w:p w14:paraId="4ADC6529" w14:textId="77777777" w:rsidR="007C4598" w:rsidRDefault="007C4598"/>
    <w:p w14:paraId="0421C577" w14:textId="77777777" w:rsidR="007C4598" w:rsidRDefault="00000000">
      <w:pPr>
        <w:jc w:val="both"/>
      </w:pPr>
      <w:r>
        <w:rPr>
          <w:i/>
          <w:iCs/>
        </w:rPr>
        <w:t xml:space="preserve">Elaborazione dello studio sul quadro </w:t>
      </w:r>
      <w:proofErr w:type="spellStart"/>
      <w:r>
        <w:rPr>
          <w:i/>
          <w:iCs/>
        </w:rPr>
        <w:t>regolatorio</w:t>
      </w:r>
      <w:proofErr w:type="spellEnd"/>
      <w:r>
        <w:rPr>
          <w:i/>
          <w:iCs/>
        </w:rPr>
        <w:t xml:space="preserve"> europeo e sui modelli comparati. L’adozione resta proporzionata alla qualità dell’evidenza e subordinata alla supervisione clinica.</w:t>
      </w:r>
    </w:p>
    <w:p w14:paraId="1EA12B77" w14:textId="77777777" w:rsidR="007C4598" w:rsidRDefault="007C4598"/>
    <w:p w14:paraId="280D47C7" w14:textId="77777777" w:rsidR="007C4598" w:rsidRDefault="00000000">
      <w:pPr>
        <w:jc w:val="both"/>
      </w:pPr>
      <w:r>
        <w:t xml:space="preserve">Le condizioni di ammissibilità dei dispositivi terapeutici digitali, e più in generale l’impiego della leva digitale e dell’Intelligenza Artificiale lungo il ciclo assistenziale, presuppongono un sistema di garanzie che ne governi la sicurezza, l’equità, la supervisione e la responsabilità. La definizione di tale sistema — la </w:t>
      </w:r>
      <w:proofErr w:type="spellStart"/>
      <w:r>
        <w:t>governance</w:t>
      </w:r>
      <w:proofErr w:type="spellEnd"/>
      <w:r>
        <w:t xml:space="preserve"> prudenziale dell’Intelligenza Artificiale — è l’oggetto della voce seguente.</w:t>
      </w:r>
    </w:p>
    <w:p w14:paraId="20876514" w14:textId="77777777" w:rsidR="007C4598" w:rsidRDefault="007C4598"/>
    <w:p w14:paraId="053D6432" w14:textId="77777777" w:rsidR="007C4598" w:rsidRDefault="00000000">
      <w:pPr>
        <w:pStyle w:val="Titolo2"/>
        <w:spacing w:before="200" w:after="100"/>
      </w:pPr>
      <w:r>
        <w:rPr>
          <w:sz w:val="22"/>
          <w:szCs w:val="22"/>
        </w:rPr>
        <w:t xml:space="preserve">4.6  La </w:t>
      </w:r>
      <w:proofErr w:type="spellStart"/>
      <w:r>
        <w:rPr>
          <w:sz w:val="22"/>
          <w:szCs w:val="22"/>
        </w:rPr>
        <w:t>governance</w:t>
      </w:r>
      <w:proofErr w:type="spellEnd"/>
      <w:r>
        <w:rPr>
          <w:sz w:val="22"/>
          <w:szCs w:val="22"/>
        </w:rPr>
        <w:t xml:space="preserve"> prudenziale dell’Intelligenza Artificiale: sicurezza, equità, supervisione umana, responsabilità</w:t>
      </w:r>
    </w:p>
    <w:p w14:paraId="1F3980EC" w14:textId="77777777" w:rsidR="007C4598" w:rsidRDefault="007C4598"/>
    <w:p w14:paraId="7C139E65" w14:textId="77777777" w:rsidR="007C4598" w:rsidRDefault="00000000">
      <w:pPr>
        <w:jc w:val="both"/>
      </w:pPr>
      <w:r>
        <w:rPr>
          <w:i/>
          <w:iCs/>
        </w:rPr>
        <w:t xml:space="preserve">Questa voce definisce il sistema di garanzie che governa l’impiego dell’Intelligenza Artificiale e della leva digitale nel modello, e che ne costituisce la condizione di legittimità. La </w:t>
      </w:r>
      <w:proofErr w:type="spellStart"/>
      <w:r>
        <w:rPr>
          <w:i/>
          <w:iCs/>
        </w:rPr>
        <w:t>governance</w:t>
      </w:r>
      <w:proofErr w:type="spellEnd"/>
      <w:r>
        <w:rPr>
          <w:i/>
          <w:iCs/>
        </w:rPr>
        <w:t xml:space="preserve"> prudenziale si articola in quattro pilastri — la sicurezza, l’equità, la supervisione umana e la responsabilità — ciascuno dei quali risponde a un rischio specifico e si traduce in presidi operativi. La voce descrive i quattro pilastri e i loro presidi, ancorandoli al quadro </w:t>
      </w:r>
      <w:proofErr w:type="spellStart"/>
      <w:r>
        <w:rPr>
          <w:i/>
          <w:iCs/>
        </w:rPr>
        <w:t>regolatorio</w:t>
      </w:r>
      <w:proofErr w:type="spellEnd"/>
      <w:r>
        <w:rPr>
          <w:i/>
          <w:iCs/>
        </w:rPr>
        <w:t xml:space="preserve"> europeo e agli orientamenti internazionali, e ne ricompone l’insieme in una tabella ordinata. La trattazione operativa qui condotta prepara e si raccorda con i profili etico-giuridici che la tredicesima parte svilupperà.</w:t>
      </w:r>
    </w:p>
    <w:p w14:paraId="17B07F88" w14:textId="77777777" w:rsidR="007C4598" w:rsidRDefault="007C4598"/>
    <w:p w14:paraId="69193B07" w14:textId="77777777" w:rsidR="007C4598" w:rsidRDefault="00000000">
      <w:pPr>
        <w:pStyle w:val="Titolo3"/>
        <w:spacing w:before="200" w:after="100"/>
      </w:pPr>
      <w:r>
        <w:rPr>
          <w:color w:val="16264B"/>
          <w:sz w:val="22"/>
          <w:szCs w:val="22"/>
        </w:rPr>
        <w:t xml:space="preserve">La </w:t>
      </w:r>
      <w:proofErr w:type="spellStart"/>
      <w:r>
        <w:rPr>
          <w:color w:val="16264B"/>
          <w:sz w:val="22"/>
          <w:szCs w:val="22"/>
        </w:rPr>
        <w:t>governance</w:t>
      </w:r>
      <w:proofErr w:type="spellEnd"/>
      <w:r>
        <w:rPr>
          <w:color w:val="16264B"/>
          <w:sz w:val="22"/>
          <w:szCs w:val="22"/>
        </w:rPr>
        <w:t xml:space="preserve"> come condizione di legittimità</w:t>
      </w:r>
    </w:p>
    <w:p w14:paraId="07FA6558" w14:textId="77777777" w:rsidR="007C4598" w:rsidRDefault="007C4598"/>
    <w:p w14:paraId="2C0EA6BB" w14:textId="77777777" w:rsidR="007C4598" w:rsidRDefault="00000000">
      <w:pPr>
        <w:jc w:val="both"/>
      </w:pPr>
      <w:r>
        <w:t xml:space="preserve">L’impiego dell’Intelligenza Artificiale in un servizio sanitario non è ammissibile in sé, ma soltanto entro un sistema di garanzie che ne governi i rischi e ne assicuri la conformità ai principi dell’assistenza. La </w:t>
      </w:r>
      <w:proofErr w:type="spellStart"/>
      <w:r>
        <w:t>governance</w:t>
      </w:r>
      <w:proofErr w:type="spellEnd"/>
      <w:r>
        <w:t xml:space="preserve"> prudenziale non è, dunque, un complemento accessorio dell’impiego della tecnologia, ma la sua condizione di legittimità: è il sistema di regole, di verifiche e di responsabilità senza il quale l’impiego della tecnologia non sarebbe consentito. Questa concezione della </w:t>
      </w:r>
      <w:proofErr w:type="spellStart"/>
      <w:r>
        <w:t>governance</w:t>
      </w:r>
      <w:proofErr w:type="spellEnd"/>
      <w:r>
        <w:t xml:space="preserve"> trova fondamento tanto nel quadro </w:t>
      </w:r>
      <w:proofErr w:type="spellStart"/>
      <w:r>
        <w:t>regolatorio</w:t>
      </w:r>
      <w:proofErr w:type="spellEnd"/>
      <w:r>
        <w:t xml:space="preserve"> europeo, che subordina i sistemi ad alto rischio a requisiti stringenti, quanto negli orientamenti internazionali, che hanno definito i principi etici cui l’impiego dell’Intelligenza Artificiale in sanità deve conformarsi.</w:t>
      </w:r>
      <w:r>
        <w:rPr>
          <w:color w:val="555555"/>
          <w:sz w:val="16"/>
          <w:szCs w:val="16"/>
          <w:vertAlign w:val="superscript"/>
        </w:rPr>
        <w:t>[14]</w:t>
      </w:r>
      <w:r>
        <w:t xml:space="preserve"> Il modello del Servizio di Psicologia di Base assume questa concezione e ne fa il presupposto dell’intera leva digitale: nessuno strumento basato sull’Intelligenza Artificiale è ammesso al di fuori del sistema di garanzie che la </w:t>
      </w:r>
      <w:proofErr w:type="spellStart"/>
      <w:r>
        <w:t>governance</w:t>
      </w:r>
      <w:proofErr w:type="spellEnd"/>
      <w:r>
        <w:t xml:space="preserve"> prudenziale definisce, e la conformità a tale sistema è verificata prima dell’adozione e mantenuta lungo l’impiego.</w:t>
      </w:r>
    </w:p>
    <w:p w14:paraId="491F0B88" w14:textId="77777777" w:rsidR="007C4598" w:rsidRDefault="007C4598"/>
    <w:p w14:paraId="470A31B4" w14:textId="77777777" w:rsidR="007C4598" w:rsidRDefault="00000000">
      <w:pPr>
        <w:pStyle w:val="Titolo3"/>
        <w:spacing w:before="200" w:after="100"/>
      </w:pPr>
      <w:r>
        <w:rPr>
          <w:color w:val="16264B"/>
          <w:sz w:val="22"/>
          <w:szCs w:val="22"/>
        </w:rPr>
        <w:t>Il primo pilastro: la sicurezza</w:t>
      </w:r>
    </w:p>
    <w:p w14:paraId="6D21A34D" w14:textId="77777777" w:rsidR="007C4598" w:rsidRDefault="007C4598"/>
    <w:p w14:paraId="3E82A3CE" w14:textId="77777777" w:rsidR="007C4598" w:rsidRDefault="00000000">
      <w:pPr>
        <w:jc w:val="both"/>
      </w:pPr>
      <w:r>
        <w:t xml:space="preserve">Il primo pilastro della </w:t>
      </w:r>
      <w:proofErr w:type="spellStart"/>
      <w:r>
        <w:t>governance</w:t>
      </w:r>
      <w:proofErr w:type="spellEnd"/>
      <w:r>
        <w:t xml:space="preserve"> prudenziale è la sicurezza, intesa come l’insieme delle garanzie che assicurano l’affidabilità tecnica del sistema, la qualità dei dati su cui esso opera e la sua robustezza nelle condizioni d’uso. Un sistema basato sull’Intelligenza Artificiale impiegato in sanità deve essere validato prima dell’adozione, deve operare su dati di qualità adeguata e rappresentativa, deve mantenere una prestazione stabile nelle condizioni reali e deve essere protetto contro i malfunzionamenti e gli usi impropri. Il quadro </w:t>
      </w:r>
      <w:proofErr w:type="spellStart"/>
      <w:r>
        <w:t>regolatorio</w:t>
      </w:r>
      <w:proofErr w:type="spellEnd"/>
      <w:r>
        <w:t xml:space="preserve"> europeo traduce queste esigenze in requisiti espliciti per i sistemi ad alto rischio, tra cui la gestione del rischio, la qualità e la </w:t>
      </w:r>
      <w:proofErr w:type="spellStart"/>
      <w:r>
        <w:t>governance</w:t>
      </w:r>
      <w:proofErr w:type="spellEnd"/>
      <w:r>
        <w:t xml:space="preserve"> dei dati, la robustezza, l’accuratezza e la sicurezza informatica.</w:t>
      </w:r>
      <w:r>
        <w:rPr>
          <w:color w:val="555555"/>
          <w:sz w:val="16"/>
          <w:szCs w:val="16"/>
          <w:vertAlign w:val="superscript"/>
        </w:rPr>
        <w:t>[15]</w:t>
      </w:r>
      <w:r>
        <w:t xml:space="preserve"> I presidi corrispondenti, nel modello, comprendono la validazione del sistema prima dell’adozione, preferibilmente sui dati locali o su dati rappresentativi della popolazione di impiego; la verifica della qualità e della rappresentatività dei dati; il monitoraggio continuo della prestazione nelle condizioni reali, con la rilevazione degli scostamenti e la correzione tempestiva; e la protezione informatica del sistema e dei dati. La sicurezza è il fondamento tecnico della </w:t>
      </w:r>
      <w:proofErr w:type="spellStart"/>
      <w:r>
        <w:t>governance</w:t>
      </w:r>
      <w:proofErr w:type="spellEnd"/>
      <w:r>
        <w:t>, perché un sistema non affidabile non può essere reso legittimo da alcun altro presidio.</w:t>
      </w:r>
    </w:p>
    <w:p w14:paraId="34D2DFCB" w14:textId="77777777" w:rsidR="007C4598" w:rsidRDefault="007C4598"/>
    <w:p w14:paraId="18E02CF0" w14:textId="77777777" w:rsidR="007C4598" w:rsidRDefault="00000000">
      <w:pPr>
        <w:pStyle w:val="Titolo3"/>
        <w:spacing w:before="200" w:after="100"/>
      </w:pPr>
      <w:r>
        <w:rPr>
          <w:color w:val="16264B"/>
          <w:sz w:val="22"/>
          <w:szCs w:val="22"/>
        </w:rPr>
        <w:t>Il secondo pilastro: l’equità</w:t>
      </w:r>
    </w:p>
    <w:p w14:paraId="6B28C3E2" w14:textId="77777777" w:rsidR="007C4598" w:rsidRDefault="007C4598"/>
    <w:p w14:paraId="15EFA6FF" w14:textId="77777777" w:rsidR="007C4598" w:rsidRDefault="00000000">
      <w:pPr>
        <w:jc w:val="both"/>
      </w:pPr>
      <w:r>
        <w:t xml:space="preserve">Il secondo pilastro della </w:t>
      </w:r>
      <w:proofErr w:type="spellStart"/>
      <w:r>
        <w:t>governance</w:t>
      </w:r>
      <w:proofErr w:type="spellEnd"/>
      <w:r>
        <w:t xml:space="preserve"> prudenziale è l’equità, intesa come la garanzia che l’impiego del sistema non produca discriminazioni né aggravi le disuguaglianze esistenti. Il rischio specifico cui questo pilastro risponde è duplice. Da un lato, vi è il rischio della distorsione algoritmica, per cui un sistema addestrato su dati che riflettono le disuguaglianze esistenti apprende e riproduce quelle disuguaglianze, attribuendo prestazioni diverse a gruppi diversi non in funzione del loro bisogno reale, ma in funzione delle distorsioni presenti nei dati di addestramento. Dall’altro, vi è il rischio del divario digitale, per cui l’introduzione di strumenti che presuppongono l’accesso alla tecnologia e la competenza nel suo uso esclude o penalizza le persone e i territori che ne sono privi, e converte uno strumento di estensione dell’accesso in un fattore di esclusione. I presidi corrispondenti, nel modello, comprendono la verifica esplicita di equità, volta ad accertare che la prestazione del sistema non differisca sistematicamente tra i gruppi; la cura nella composizione dei dati di addestramento e di validazione, perché siano rappresentativi della popolazione di impiego; e la predisposizione di percorsi alternativi non digitali, perché l’impiego della leva digitale non costituisca mai l’unica via di accesso al servizio.</w:t>
      </w:r>
    </w:p>
    <w:p w14:paraId="25E63BB6" w14:textId="77777777" w:rsidR="007C4598" w:rsidRDefault="007C4598"/>
    <w:p w14:paraId="0C8D7C01" w14:textId="77777777" w:rsidR="007C4598" w:rsidRDefault="00000000">
      <w:pPr>
        <w:jc w:val="both"/>
      </w:pPr>
      <w:r>
        <w:t>Il pilastro dell’equità ha una rilevanza particolare nel contesto pugliese, segnato da divari territoriali e da una quota significativa di popolazione esposta al rischio di esclusione, e si collega direttamente all’analisi dell’impatto distributivo che la dodicesima parte condurrà. Là dove la leva digitale è introdotta come strumento di estensione dell’accesso alle aree interne e alle persone per le quali l’accesso in presenza è difficile, essa può ridurre i divari; ma là dove essa è introdotta senza i presidi dell’equità, essa può ampliarli, escludendo proprio le persone e i territori che maggiormente ne avrebbero bisogno. La verifica di equità non è, dunque, un adempimento formale, ma la condizione perché la leva digitale produca l’effetto distributivo desiderato anziché il suo opposto, e perché la promessa di equità della riforma non sia contraddetta dallo strumento che dovrebbe realizzarla. Per questa ragione il modello subordina l’adozione di ogni strumento basato sull’Intelligenza Artificiale alla verifica esplicita della sua equità, e accompagna l’introduzione della leva digitale con la garanzia di percorsi alternativi.</w:t>
      </w:r>
    </w:p>
    <w:p w14:paraId="2ADADF66" w14:textId="77777777" w:rsidR="007C4598" w:rsidRDefault="007C4598"/>
    <w:p w14:paraId="29B905E7" w14:textId="77777777" w:rsidR="007C4598" w:rsidRDefault="00000000">
      <w:pPr>
        <w:pStyle w:val="Titolo3"/>
        <w:spacing w:before="200" w:after="100"/>
      </w:pPr>
      <w:r>
        <w:rPr>
          <w:color w:val="16264B"/>
          <w:sz w:val="22"/>
          <w:szCs w:val="22"/>
        </w:rPr>
        <w:t>Il terzo pilastro: la supervisione umana</w:t>
      </w:r>
    </w:p>
    <w:p w14:paraId="3A242B16" w14:textId="77777777" w:rsidR="007C4598" w:rsidRDefault="007C4598"/>
    <w:p w14:paraId="1895BF5D" w14:textId="77777777" w:rsidR="007C4598" w:rsidRDefault="00000000">
      <w:pPr>
        <w:jc w:val="both"/>
      </w:pPr>
      <w:r>
        <w:t xml:space="preserve">Il terzo pilastro della </w:t>
      </w:r>
      <w:proofErr w:type="spellStart"/>
      <w:r>
        <w:t>governance</w:t>
      </w:r>
      <w:proofErr w:type="spellEnd"/>
      <w:r>
        <w:t xml:space="preserve"> prudenziale è la supervisione umana, intesa come la garanzia che la figura clinica mantenga il governo delle decisioni e che il sistema basato sull’Intelligenza Artificiale resti un ausilio e non un sostituto. Questo pilastro è la traduzione operativa del principio di subordinazione che governa l’intera leva digitale: la tecnologia fornisce elementi alla decisione, ma la decisione resta in capo alla persona competente, che dispone dello strumento come di un supporto e non come di un verdetto. Il quadro </w:t>
      </w:r>
      <w:proofErr w:type="spellStart"/>
      <w:r>
        <w:t>regolatorio</w:t>
      </w:r>
      <w:proofErr w:type="spellEnd"/>
      <w:r>
        <w:t xml:space="preserve"> europeo impone la sorveglianza umana come requisito dei sistemi ad alto rischio, prescrivendo che essi siano progettati in modo da consentire alla persona di comprenderne il funzionamento, di sorvegliarne l’operato, di intervenire e di interromperlo.</w:t>
      </w:r>
      <w:r>
        <w:rPr>
          <w:color w:val="555555"/>
          <w:sz w:val="16"/>
          <w:szCs w:val="16"/>
          <w:vertAlign w:val="superscript"/>
        </w:rPr>
        <w:t>[16]</w:t>
      </w:r>
      <w:r>
        <w:t xml:space="preserve"> I presidi corrispondenti, nel modello, comprendono la collocazione della decisione clinica in capo alla figura competente in ogni passaggio del percorso; la progettazione degli strumenti in modo che ne siano comprensibili il funzionamento e i limiti; la possibilità per la figura clinica di disattendere l’indicazione dello strumento, di sospenderne l’uso e di intervenire; e la formazione delle figure all’uso consapevole degli strumenti, che la quinta parte tratterà come componente del fabbisogno formativo.</w:t>
      </w:r>
    </w:p>
    <w:p w14:paraId="43DB1A7E" w14:textId="77777777" w:rsidR="007C4598" w:rsidRDefault="007C4598"/>
    <w:p w14:paraId="47942718" w14:textId="77777777" w:rsidR="007C4598" w:rsidRDefault="00000000">
      <w:pPr>
        <w:pStyle w:val="Titolo3"/>
        <w:spacing w:before="200" w:after="100"/>
      </w:pPr>
      <w:r>
        <w:rPr>
          <w:color w:val="16264B"/>
          <w:sz w:val="22"/>
          <w:szCs w:val="22"/>
        </w:rPr>
        <w:t>Il quarto pilastro: la responsabilità</w:t>
      </w:r>
    </w:p>
    <w:p w14:paraId="19AC9CF6" w14:textId="77777777" w:rsidR="007C4598" w:rsidRDefault="007C4598"/>
    <w:p w14:paraId="0E0E49A9" w14:textId="77777777" w:rsidR="007C4598" w:rsidRDefault="00000000">
      <w:pPr>
        <w:jc w:val="both"/>
      </w:pPr>
      <w:r>
        <w:t xml:space="preserve">Il quarto pilastro della </w:t>
      </w:r>
      <w:proofErr w:type="spellStart"/>
      <w:r>
        <w:t>governance</w:t>
      </w:r>
      <w:proofErr w:type="spellEnd"/>
      <w:r>
        <w:t xml:space="preserve"> prudenziale è la responsabilità, intesa come la garanzia che ogni decisione e ogni azione siano riferibili a un soggetto responsabile, tracciabili e trasparenti. Il rischio cui questo pilastro risponde è quello della deresponsabilizzazione, per cui l’interposizione di un sistema automatizzato tra il bisogno e la decisione diluisce la responsabilità e rende incerta l’attribuzione delle conseguenze. La </w:t>
      </w:r>
      <w:proofErr w:type="spellStart"/>
      <w:r>
        <w:t>governance</w:t>
      </w:r>
      <w:proofErr w:type="spellEnd"/>
      <w:r>
        <w:t xml:space="preserve"> prudenziale contrasta questo rischio mantenendo la responsabilità clinica in capo alla figura competente, che risponde delle decisioni assunte con l’ausilio dello strumento come ne risponderebbe assumendole senza; assicurando la tracciabilità delle azioni, attraverso la registrazione degli eventi che consente di ricostruire il percorso decisionale; e garantendo la trasparenza, attraverso la documentazione del funzionamento degli strumenti e la possibilità di renderne conto. I presidi corrispondenti comprendono la chiara attribuzione della responsabilità clinica; la registrazione e la conservazione degli eventi rilevanti; la documentazione e la </w:t>
      </w:r>
      <w:proofErr w:type="spellStart"/>
      <w:r>
        <w:t>rendicontabilità</w:t>
      </w:r>
      <w:proofErr w:type="spellEnd"/>
      <w:r>
        <w:t xml:space="preserve"> del funzionamento degli strumenti; e la protezione dei dati personali secondo il quadro europeo, che costituisce il fondamento giuridico del trattamento delle informazioni sensibili su cui gli strumenti operano.</w:t>
      </w:r>
    </w:p>
    <w:p w14:paraId="552C8606" w14:textId="77777777" w:rsidR="007C4598" w:rsidRDefault="007C4598"/>
    <w:p w14:paraId="281E85C6" w14:textId="77777777" w:rsidR="007C4598" w:rsidRDefault="00000000">
      <w:pPr>
        <w:jc w:val="both"/>
      </w:pPr>
      <w:r>
        <w:t>La protezione dei dati personali merita, all’interno del pilastro della responsabilità, una considerazione propria, perché gli strumenti della leva digitale operano su informazioni sanitarie, che il quadro europeo qualifica come categoria particolare meritevole di tutela rafforzata.</w:t>
      </w:r>
      <w:r>
        <w:rPr>
          <w:color w:val="555555"/>
          <w:sz w:val="16"/>
          <w:szCs w:val="16"/>
          <w:vertAlign w:val="superscript"/>
        </w:rPr>
        <w:t>[17]</w:t>
      </w:r>
      <w:r>
        <w:t xml:space="preserve"> Il trattamento di tali dati nel modello è soggetto ai principi di liceità, minimizzazione, esattezza, limitazione della conservazione e riservatezza, e ai presidi che ne assicurano l’osservanza, compresa la valutazione d’impatto per i trattamenti che lo richiedano. La protezione dei dati non è, anche qui, un adempimento accessorio, ma una componente costitutiva della responsabilità e della legittimità dell’impiego della tecnologia, e si raccorda con i profili di protezione dei dati e di </w:t>
      </w:r>
      <w:proofErr w:type="spellStart"/>
      <w:r>
        <w:t>governance</w:t>
      </w:r>
      <w:proofErr w:type="spellEnd"/>
      <w:r>
        <w:t xml:space="preserve"> che la tredicesima parte svilupperà sotto il profilo giuridico. La tabella che segue ricompone i quattro pilastri della </w:t>
      </w:r>
      <w:proofErr w:type="spellStart"/>
      <w:r>
        <w:t>governance</w:t>
      </w:r>
      <w:proofErr w:type="spellEnd"/>
      <w:r>
        <w:t xml:space="preserve"> prudenziale e i presidi corrispondenti.</w:t>
      </w:r>
    </w:p>
    <w:p w14:paraId="35FEBE7E" w14:textId="77777777" w:rsidR="007C4598" w:rsidRDefault="007C4598"/>
    <w:p w14:paraId="08DEBF25" w14:textId="77777777" w:rsidR="007C4598" w:rsidRDefault="00000000">
      <w:pPr>
        <w:jc w:val="both"/>
      </w:pPr>
      <w:r>
        <w:rPr>
          <w:b/>
          <w:bCs/>
        </w:rPr>
        <w:t xml:space="preserve">Tabella 4.6 — I quattro pilastri della </w:t>
      </w:r>
      <w:proofErr w:type="spellStart"/>
      <w:r>
        <w:rPr>
          <w:b/>
          <w:bCs/>
        </w:rPr>
        <w:t>governance</w:t>
      </w:r>
      <w:proofErr w:type="spellEnd"/>
      <w:r>
        <w:rPr>
          <w:b/>
          <w:bCs/>
        </w:rPr>
        <w:t xml:space="preserve"> prudenziale e i presidi corrispondenti</w:t>
      </w:r>
    </w:p>
    <w:p w14:paraId="645799F9"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4A4BDF70"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FBAD3C1" w14:textId="77777777" w:rsidR="007C4598" w:rsidRDefault="00000000">
            <w:pPr>
              <w:spacing w:after="40"/>
            </w:pPr>
            <w:r>
              <w:rPr>
                <w:b/>
                <w:bCs/>
                <w:color w:val="FFFFFF"/>
                <w:sz w:val="18"/>
                <w:szCs w:val="18"/>
              </w:rPr>
              <w:t>Pilastro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D5A54FB" w14:textId="77777777" w:rsidR="007C4598" w:rsidRDefault="00000000">
            <w:pPr>
              <w:spacing w:after="40"/>
            </w:pPr>
            <w:r>
              <w:rPr>
                <w:b/>
                <w:bCs/>
                <w:color w:val="FFFFFF"/>
                <w:sz w:val="18"/>
                <w:szCs w:val="18"/>
              </w:rPr>
              <w:t>Rischio a cui risponde</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D7AC7B2" w14:textId="77777777" w:rsidR="007C4598" w:rsidRDefault="00000000">
            <w:pPr>
              <w:spacing w:after="40"/>
            </w:pPr>
            <w:r>
              <w:rPr>
                <w:b/>
                <w:bCs/>
                <w:color w:val="FFFFFF"/>
                <w:sz w:val="18"/>
                <w:szCs w:val="18"/>
              </w:rPr>
              <w:t>Presidi nel modello</w:t>
            </w:r>
          </w:p>
        </w:tc>
      </w:tr>
      <w:tr w:rsidR="007C4598" w14:paraId="2301BAA6"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BC7BB7B" w14:textId="77777777" w:rsidR="007C4598" w:rsidRDefault="00000000">
            <w:pPr>
              <w:spacing w:after="40"/>
            </w:pPr>
            <w:r>
              <w:t>Sicurezza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87037D3" w14:textId="77777777" w:rsidR="007C4598" w:rsidRDefault="00000000">
            <w:pPr>
              <w:spacing w:after="40"/>
            </w:pPr>
            <w:r>
              <w:t>Inaffidabilità tecnica; dati di scarsa qualità; prestazione instabile; malfunzionamenti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41A60D6" w14:textId="77777777" w:rsidR="007C4598" w:rsidRDefault="00000000">
            <w:pPr>
              <w:spacing w:after="40"/>
            </w:pPr>
            <w:r>
              <w:t>Validazione prima dell’adozione (su dati locali o rappresentativi); verifica della qualità dei dati; monitoraggio continuo della prestazione; protezione informatica</w:t>
            </w:r>
          </w:p>
        </w:tc>
      </w:tr>
      <w:tr w:rsidR="007C4598" w14:paraId="48D654F3"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4624208" w14:textId="77777777" w:rsidR="007C4598" w:rsidRDefault="00000000">
            <w:pPr>
              <w:spacing w:after="40"/>
            </w:pPr>
            <w:r>
              <w:t>Equità</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88BEA93" w14:textId="77777777" w:rsidR="007C4598" w:rsidRDefault="00000000">
            <w:pPr>
              <w:spacing w:after="40"/>
            </w:pPr>
            <w:r>
              <w:t>Distorsione algoritmica; divario digitale; allocazione discriminatoria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AB2CFAF" w14:textId="77777777" w:rsidR="007C4598" w:rsidRDefault="00000000">
            <w:pPr>
              <w:spacing w:after="40"/>
            </w:pPr>
            <w:r>
              <w:t>Verifica esplicita di equità; rappresentatività dei dati; percorsi alternativi non digitali; cura dell’accesso nelle aree interne</w:t>
            </w:r>
          </w:p>
        </w:tc>
      </w:tr>
      <w:tr w:rsidR="007C4598" w14:paraId="45BBA6D2"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185C917" w14:textId="77777777" w:rsidR="007C4598" w:rsidRDefault="00000000">
            <w:pPr>
              <w:spacing w:after="40"/>
            </w:pPr>
            <w:r>
              <w:t>Supervisione umana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48056E3" w14:textId="77777777" w:rsidR="007C4598" w:rsidRDefault="00000000">
            <w:pPr>
              <w:spacing w:after="40"/>
            </w:pPr>
            <w:r>
              <w:t>Sostituzione del giudizio clinico; deresponsabilizzazione decisionale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A923302" w14:textId="77777777" w:rsidR="007C4598" w:rsidRDefault="00000000">
            <w:pPr>
              <w:spacing w:after="40"/>
            </w:pPr>
            <w:r>
              <w:t>Decisione clinica in capo alla figura; comprensibilità degli strumenti; possibilità di disattendere, sospendere e intervenire; formazione all’uso consapevole</w:t>
            </w:r>
          </w:p>
        </w:tc>
      </w:tr>
      <w:tr w:rsidR="007C4598" w14:paraId="4F76A1DE"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AFBB0FD" w14:textId="77777777" w:rsidR="007C4598" w:rsidRDefault="00000000">
            <w:pPr>
              <w:spacing w:after="40"/>
            </w:pPr>
            <w:r>
              <w:t>Responsabilità</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4C1A690" w14:textId="77777777" w:rsidR="007C4598" w:rsidRDefault="00000000">
            <w:pPr>
              <w:spacing w:after="40"/>
            </w:pPr>
            <w:r>
              <w:t>Diluizione della responsabilità; opacità; trattamento improprio dei dati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41FB530" w14:textId="77777777" w:rsidR="007C4598" w:rsidRDefault="00000000">
            <w:pPr>
              <w:spacing w:after="40"/>
            </w:pPr>
            <w:r>
              <w:t xml:space="preserve">Attribuzione chiara della responsabilità clinica; tracciabilità e registrazione degli eventi; trasparenza e </w:t>
            </w:r>
            <w:proofErr w:type="spellStart"/>
            <w:r>
              <w:t>rendicontabilità</w:t>
            </w:r>
            <w:proofErr w:type="spellEnd"/>
            <w:r>
              <w:t>; protezione dei dati sanitari</w:t>
            </w:r>
          </w:p>
        </w:tc>
      </w:tr>
    </w:tbl>
    <w:p w14:paraId="152C9AAB" w14:textId="77777777" w:rsidR="007C4598" w:rsidRDefault="007C4598"/>
    <w:p w14:paraId="6B363D81" w14:textId="77777777" w:rsidR="007C4598" w:rsidRDefault="00000000">
      <w:pPr>
        <w:jc w:val="both"/>
      </w:pPr>
      <w:r>
        <w:rPr>
          <w:i/>
          <w:iCs/>
        </w:rPr>
        <w:t>Elaborazione dello studio sul regolamento (UE) 2024/1689, sul regolamento (UE) 2016/679 e sugli orientamenti dell’Organizzazione mondiale della sanità. I presidi operativi qui definiti si raccordano con i profili giuridici della tredicesima parte.</w:t>
      </w:r>
    </w:p>
    <w:p w14:paraId="1AE25E39" w14:textId="77777777" w:rsidR="007C4598" w:rsidRDefault="007C4598"/>
    <w:p w14:paraId="79457ACF" w14:textId="77777777" w:rsidR="007C4598" w:rsidRDefault="00000000">
      <w:pPr>
        <w:jc w:val="both"/>
      </w:pPr>
      <w:r>
        <w:t xml:space="preserve">Definiti il modello operativo, l’integrazione tra i livelli, le leve abilitanti e la </w:t>
      </w:r>
      <w:proofErr w:type="spellStart"/>
      <w:r>
        <w:t>governance</w:t>
      </w:r>
      <w:proofErr w:type="spellEnd"/>
      <w:r>
        <w:t xml:space="preserve"> che le presiede, resta da fissare la scala alla quale il servizio debba essere dimensionato perché la sua promessa si traduca in copertura reale. È l’oggetto della voce conclusiva di questa parte, che stabilisce gli scenari di copertura su cui poggerà l’intera modellazione economica.</w:t>
      </w:r>
    </w:p>
    <w:p w14:paraId="798549B0" w14:textId="77777777" w:rsidR="007C4598" w:rsidRDefault="007C4598"/>
    <w:p w14:paraId="0968D3C3" w14:textId="77777777" w:rsidR="007C4598" w:rsidRDefault="00000000">
      <w:pPr>
        <w:pStyle w:val="Titolo2"/>
        <w:spacing w:before="200" w:after="100"/>
      </w:pPr>
      <w:r>
        <w:rPr>
          <w:sz w:val="22"/>
          <w:szCs w:val="22"/>
        </w:rPr>
        <w:t>4.7  Il dimensionamento del servizio e gli scenari di copertura</w:t>
      </w:r>
    </w:p>
    <w:p w14:paraId="159085D5" w14:textId="77777777" w:rsidR="007C4598" w:rsidRDefault="007C4598"/>
    <w:p w14:paraId="646AF360" w14:textId="77777777" w:rsidR="007C4598" w:rsidRDefault="00000000">
      <w:pPr>
        <w:jc w:val="both"/>
      </w:pPr>
      <w:r>
        <w:rPr>
          <w:i/>
          <w:iCs/>
        </w:rPr>
        <w:t>Questa voce conclusiva della parte fissa i criteri di dimensionamento del servizio e definisce gli scenari di copertura che reggeranno la modellazione economica delle parti successive. Essa muove dalla distanza tra la dotazione attuale e il fabbisogno stimato, ricostruita nella seconda parte, e individua tre scenari progressivi che conducono il servizio verso la copertura del bisogno. La definizione di tali scenari non è una scelta tecnica isolata, ma la fissazione dei termini di riferimento dell’intera valutazione economica, perché è rispetto a questi scenari che le parti settima e ottava quantificheranno i costi e i risparmi diretti, e la nona i benefici indiretti.</w:t>
      </w:r>
    </w:p>
    <w:p w14:paraId="76079026" w14:textId="77777777" w:rsidR="007C4598" w:rsidRDefault="007C4598"/>
    <w:p w14:paraId="1B31FFB0" w14:textId="77777777" w:rsidR="007C4598" w:rsidRDefault="00000000">
      <w:pPr>
        <w:pStyle w:val="Titolo3"/>
        <w:spacing w:before="200" w:after="100"/>
      </w:pPr>
      <w:r>
        <w:rPr>
          <w:color w:val="16264B"/>
          <w:sz w:val="22"/>
          <w:szCs w:val="22"/>
        </w:rPr>
        <w:t>La distanza tra la dotazione attuale e il fabbisogno</w:t>
      </w:r>
    </w:p>
    <w:p w14:paraId="682ABC68" w14:textId="77777777" w:rsidR="007C4598" w:rsidRDefault="007C4598"/>
    <w:p w14:paraId="4A8AC7D5" w14:textId="77777777" w:rsidR="007C4598" w:rsidRDefault="00000000">
      <w:pPr>
        <w:jc w:val="both"/>
      </w:pPr>
      <w:r>
        <w:t>Il punto di partenza del dimensionamento è la distanza, ricostruita nella seconda parte, tra la dotazione del servizio oggi disponibile e il fabbisogno stimato a regime. Il servizio istituito dalla legge regionale conta oggi un numero di psicologi dell’ordine di poche decine, uno per distretto, a fronte di uno stanziamento annuo limitato, e copre perciò una quota dell’ordine del cinque per cento di un fabbisogno stimato nell’ordine di ottocento-novecento psicologi per l’intera regione.</w:t>
      </w:r>
      <w:r>
        <w:rPr>
          <w:color w:val="555555"/>
          <w:sz w:val="16"/>
          <w:szCs w:val="16"/>
          <w:vertAlign w:val="superscript"/>
        </w:rPr>
        <w:t>[18]</w:t>
      </w:r>
      <w:r>
        <w:t xml:space="preserve"> Il fabbisogno è stimato a partire dalla popolazione regionale e dalla prevalenza del disagio comune, e corrisponde a un rapporto dell’ordine di un professionista ogni </w:t>
      </w:r>
      <w:proofErr w:type="spellStart"/>
      <w:r>
        <w:t>quattromilaquattrocento-quattromilanovecento</w:t>
      </w:r>
      <w:proofErr w:type="spellEnd"/>
      <w:r>
        <w:t xml:space="preserve"> abitanti, coerente con i parametri di riferimento dei sistemi che hanno adottato modelli analoghi. La distanza tra la dotazione attuale e il fabbisogno definisce lo spazio del dimensionamento: il servizio deve crescere, da una scala oggi simbolica, verso una scala compatibile con la copertura del bisogno, e la traiettoria di questa crescita è ciò che gli scenari di copertura descrivono.</w:t>
      </w:r>
    </w:p>
    <w:p w14:paraId="49211F5A" w14:textId="77777777" w:rsidR="007C4598" w:rsidRDefault="007C4598"/>
    <w:p w14:paraId="16BCABE5" w14:textId="77777777" w:rsidR="007C4598" w:rsidRDefault="00000000">
      <w:pPr>
        <w:jc w:val="both"/>
      </w:pPr>
      <w:r>
        <w:t>Il dimensionamento del servizio non è, tuttavia, una funzione del solo numero di professionisti, ma dipende anche dalla produttività che le leve abilitanti consentono. Le leve organizzative e di processo descritte nella terza voce — in particolare gli interventi di gruppo, la manualizzazione e la redistribuzione dei compiti — e la leva digitale descritta nella quarta accrescono la capacità del servizio a parità di tempo professionale impiegato, e modificano dunque il rapporto tra il numero di professionisti e la quota di domanda coperta. Una stima del fabbisogno che non tenesse conto di questa produttività sovrastimerebbe il numero di professionisti necessario; una stima che la assumesse acriticamente lo sottostimerebbe. Il dimensionamento qui adottato assume una produttività prudenziale, coerente con quella documentata nei sistemi di riferimento, e mantiene la stima del fabbisogno entro l’intervallo indicato, riservando alle parti successive l’analisi della sensibilità del risultato alla variazione di questo parametro. La produttività delle leve è, in questo senso, un fattore del dimensionamento, che ne riduce il costo a parità di copertura ma non ne sostituisce la base professionale.</w:t>
      </w:r>
    </w:p>
    <w:p w14:paraId="5F1B2EC1" w14:textId="77777777" w:rsidR="007C4598" w:rsidRDefault="007C4598"/>
    <w:p w14:paraId="30DD95A7" w14:textId="77777777" w:rsidR="007C4598" w:rsidRDefault="00000000">
      <w:pPr>
        <w:pStyle w:val="Titolo3"/>
        <w:spacing w:before="200" w:after="100"/>
      </w:pPr>
      <w:r>
        <w:rPr>
          <w:color w:val="16264B"/>
          <w:sz w:val="22"/>
          <w:szCs w:val="22"/>
        </w:rPr>
        <w:t>I tre scenari di copertura</w:t>
      </w:r>
    </w:p>
    <w:p w14:paraId="3FC304F4" w14:textId="77777777" w:rsidR="007C4598" w:rsidRDefault="007C4598"/>
    <w:p w14:paraId="37A1E3F3" w14:textId="77777777" w:rsidR="007C4598" w:rsidRDefault="00000000">
      <w:pPr>
        <w:jc w:val="both"/>
      </w:pPr>
      <w:r>
        <w:t>La traiettoria di crescita del servizio è descritta attraverso tre scenari di copertura progressivi, che conducono la dotazione dalla scala attuale verso il fabbisogno stimato. Il primo scenario, conservativo, prevede una dotazione dell’ordine di quattrocentocinquanta incarichi; il secondo, intermedio, una dotazione dell’ordine di settecento incarichi; il terzo, espansivo, una dotazione dell’ordine di novecento incarichi, prossima al fabbisogno stimato a regime.</w:t>
      </w:r>
      <w:r>
        <w:rPr>
          <w:color w:val="555555"/>
          <w:sz w:val="16"/>
          <w:szCs w:val="16"/>
          <w:vertAlign w:val="superscript"/>
        </w:rPr>
        <w:t>[19]</w:t>
      </w:r>
      <w:r>
        <w:t xml:space="preserve"> I tre scenari non costituiscono alternative tra cui scegliere una volta per tutte, ma tappe di una traiettoria progressiva, lungo la quale il servizio può essere condotto per fasi successive, in coerenza con la sequenza attuativa che la quattordicesima parte definirà. La loro funzione, in questa sede, è duplice: fissare i termini di riferimento della valutazione economica, e rendere esplicito che il valore della riforma cresce con la sua scala, perché tanto i costi quanto i benefici si moltiplicano al crescere della copertura, e il saldo tra di essi si definisce per ciascuno scenario.</w:t>
      </w:r>
    </w:p>
    <w:p w14:paraId="58B2BCEA" w14:textId="77777777" w:rsidR="007C4598" w:rsidRDefault="007C4598"/>
    <w:p w14:paraId="5C063C77" w14:textId="77777777" w:rsidR="007C4598" w:rsidRDefault="00000000">
      <w:pPr>
        <w:jc w:val="both"/>
      </w:pPr>
      <w:r>
        <w:t>A ciascuno scenario corrisponde una quota di copertura del fabbisogno, una capacità di presa in carico e un costo, che le parti successive quantificheranno. Lo scenario conservativo, pur rappresentando un incremento di un ordine di grandezza rispetto alla dotazione attuale, copre una quota ancora parziale del fabbisogno, e configura un servizio che, sebbene significativamente potenziato, non raggiunge la copertura piena; esso costituisce la soglia minima al di sotto della quale il servizio rimarrebbe sottodimensionato rispetto alla sua funzione. Lo scenario intermedio copre una quota maggioritaria del fabbisogno e configura un servizio prossimo alla copertura adeguata, in cui la capacità di presa in carico si avvicina alla domanda intercettabile. Lo scenario espansivo copre una quota prossima alla totalità del fabbisogno stimato e configura il servizio a regime, in cui la promessa di copertura della riforma si realizza pienamente. La scelta tra gli scenari, e la velocità con cui percorrerne la traiettoria, è una decisione che eccede l’analisi tecnica e investe la programmazione regionale; il compito dello studio è fornire, per ciascuno scenario, la valutazione completa dei costi e dei benefici, perché la decisione sia informata.</w:t>
      </w:r>
    </w:p>
    <w:p w14:paraId="764A8ACD" w14:textId="77777777" w:rsidR="007C4598" w:rsidRDefault="007C4598"/>
    <w:p w14:paraId="24BBD80E" w14:textId="77777777" w:rsidR="007C4598" w:rsidRDefault="00000000">
      <w:pPr>
        <w:pStyle w:val="Titolo3"/>
        <w:spacing w:before="200" w:after="100"/>
      </w:pPr>
      <w:r>
        <w:rPr>
          <w:color w:val="16264B"/>
          <w:sz w:val="22"/>
          <w:szCs w:val="22"/>
        </w:rPr>
        <w:t>La funzione degli scenari nella valutazione economica</w:t>
      </w:r>
    </w:p>
    <w:p w14:paraId="555C550C" w14:textId="77777777" w:rsidR="007C4598" w:rsidRDefault="007C4598"/>
    <w:p w14:paraId="52377D88" w14:textId="77777777" w:rsidR="007C4598" w:rsidRDefault="00000000">
      <w:pPr>
        <w:jc w:val="both"/>
      </w:pPr>
      <w:r>
        <w:t>Gli scenari di copertura assolvono, nell’economia dell’opera, una funzione strutturale: essi sono il termine di riferimento comune cui tutte le valutazioni economiche delle parti successive sono ancorate, e ciò che ne garantisce la coerenza e la confrontabilità. Quando, nella settima parte, si quantificheranno i costi diretti — il costo del personale lungo la cascata delle figure, i costi di struttura e di coordinamento, il costo della leva digitale e quello della formazione — essi saranno calcolati per ciascuno dei tre scenari, restituendo il costo diretto complessivo per ogni livello di copertura. Quando, nell’ottava parte, si quantificheranno i risparmi diretti — la riduzione della spesa farmaceutica inappropriata, la riduzione degli accessi al pronto soccorso e dei ricoveri, la riduzione della mobilità sanitaria passiva, la riduzione degli invii impropri — essi saranno parimenti riferiti ai tre scenari. Quando, nella nona parte, si misureranno i benefici indiretti lungo il perimetro multidisciplinare integrale, la loro entità sarà commisurata alla scala del servizio. E quando, nella decima parte, si comporrà il saldo consolidato, esso sarà definito per ciascuno scenario, tenendo distinte le grandezze dirette dalle indirette e le ricadute fiscali dalle sociali, secondo la regola di non duplicazione.</w:t>
      </w:r>
    </w:p>
    <w:p w14:paraId="35D7B1E2" w14:textId="77777777" w:rsidR="007C4598" w:rsidRDefault="007C4598"/>
    <w:p w14:paraId="2ECFFF06" w14:textId="77777777" w:rsidR="007C4598" w:rsidRDefault="00000000">
      <w:pPr>
        <w:jc w:val="both"/>
      </w:pPr>
      <w:r>
        <w:t>La definizione degli scenari di copertura chiude, dunque, la quarta parte conducendola al suo esito proprio: la descrizione del dispositivo operativo si completa con la fissazione della scala alla quale esso deve operare, e questa scala diventa il fondamento della valutazione economica. Resta inteso, in coerenza con i vincoli invarianti dell’opera, che la quantificazione monetaria dei costi e dei benefici è rinviata alle parti successive, e che le grandezze qui richiamate — il numero degli incarichi, la quota di copertura, l’ordine di grandezza della dotazione — sono parametri di dimensionamento, da calibrare sui dati primari regionali, e non risultati economici. La tabella che segue ricompone i tre scenari di copertura e i parametri di dimensionamento, e prepara il lettore alle valutazioni economiche delle parti successive.</w:t>
      </w:r>
    </w:p>
    <w:p w14:paraId="7C774D70" w14:textId="77777777" w:rsidR="007C4598" w:rsidRDefault="007C4598"/>
    <w:p w14:paraId="07E2ADBD" w14:textId="77777777" w:rsidR="007C4598" w:rsidRDefault="00000000">
      <w:pPr>
        <w:jc w:val="both"/>
      </w:pPr>
      <w:r>
        <w:rPr>
          <w:b/>
          <w:bCs/>
        </w:rPr>
        <w:t>Tabella 4.7 — I tre scenari di copertura e i parametri di dimensionamento</w:t>
      </w:r>
    </w:p>
    <w:p w14:paraId="1E2FDC4A"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45274DF6"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D22D84D" w14:textId="77777777" w:rsidR="007C4598" w:rsidRDefault="00000000">
            <w:pPr>
              <w:spacing w:after="40"/>
            </w:pPr>
            <w:r>
              <w:rPr>
                <w:b/>
                <w:bCs/>
                <w:color w:val="FFFFFF"/>
                <w:sz w:val="18"/>
                <w:szCs w:val="18"/>
              </w:rPr>
              <w:t>Parametro di dimensionamento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CD0DE83" w14:textId="77777777" w:rsidR="007C4598" w:rsidRDefault="00000000">
            <w:pPr>
              <w:spacing w:after="40"/>
            </w:pPr>
            <w:r>
              <w:rPr>
                <w:b/>
                <w:bCs/>
                <w:color w:val="FFFFFF"/>
                <w:sz w:val="18"/>
                <w:szCs w:val="18"/>
              </w:rPr>
              <w:t>Scenario conservativo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3F50794" w14:textId="77777777" w:rsidR="007C4598" w:rsidRDefault="00000000">
            <w:pPr>
              <w:spacing w:after="40"/>
            </w:pPr>
            <w:r>
              <w:rPr>
                <w:b/>
                <w:bCs/>
                <w:color w:val="FFFFFF"/>
                <w:sz w:val="18"/>
                <w:szCs w:val="18"/>
              </w:rPr>
              <w:t>Scenario intermedio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A309740" w14:textId="77777777" w:rsidR="007C4598" w:rsidRDefault="00000000">
            <w:pPr>
              <w:spacing w:after="40"/>
            </w:pPr>
            <w:r>
              <w:rPr>
                <w:b/>
                <w:bCs/>
                <w:color w:val="FFFFFF"/>
                <w:sz w:val="18"/>
                <w:szCs w:val="18"/>
              </w:rPr>
              <w:t>Scenario espansivo</w:t>
            </w:r>
          </w:p>
        </w:tc>
      </w:tr>
      <w:tr w:rsidR="007C4598" w14:paraId="5F3CD2F5"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FE6BCCC" w14:textId="77777777" w:rsidR="007C4598" w:rsidRDefault="00000000">
            <w:pPr>
              <w:spacing w:after="40"/>
            </w:pPr>
            <w:r>
              <w:t>Dotazione (ordine di grandezza degli incarichi)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1E59D33" w14:textId="77777777" w:rsidR="007C4598" w:rsidRDefault="00000000">
            <w:pPr>
              <w:spacing w:after="40"/>
            </w:pPr>
            <w:r>
              <w:t>~ 450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0CC851F" w14:textId="77777777" w:rsidR="007C4598" w:rsidRDefault="00000000">
            <w:pPr>
              <w:spacing w:after="40"/>
            </w:pPr>
            <w:r>
              <w:t>~ 700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11BB6B3" w14:textId="77777777" w:rsidR="007C4598" w:rsidRDefault="00000000">
            <w:pPr>
              <w:spacing w:after="40"/>
            </w:pPr>
            <w:r>
              <w:t>~ 900</w:t>
            </w:r>
          </w:p>
        </w:tc>
      </w:tr>
      <w:tr w:rsidR="007C4598" w14:paraId="6FC7BDE1"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B75F5D1" w14:textId="77777777" w:rsidR="007C4598" w:rsidRDefault="00000000">
            <w:pPr>
              <w:spacing w:after="40"/>
            </w:pPr>
            <w:r>
              <w:t>Rapporto sulla dotazione attuale (~ 45)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7643396" w14:textId="77777777" w:rsidR="007C4598" w:rsidRDefault="00000000">
            <w:pPr>
              <w:spacing w:after="40"/>
            </w:pPr>
            <w:r>
              <w:t>~ 10 volte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A1BC11C" w14:textId="77777777" w:rsidR="007C4598" w:rsidRDefault="00000000">
            <w:pPr>
              <w:spacing w:after="40"/>
            </w:pPr>
            <w:r>
              <w:t>~ 15 volte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5CC0AD1" w14:textId="77777777" w:rsidR="007C4598" w:rsidRDefault="00000000">
            <w:pPr>
              <w:spacing w:after="40"/>
            </w:pPr>
            <w:r>
              <w:t>~ 20 volte</w:t>
            </w:r>
          </w:p>
        </w:tc>
      </w:tr>
      <w:tr w:rsidR="007C4598" w14:paraId="3EF9FB4B"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CCC454A" w14:textId="77777777" w:rsidR="007C4598" w:rsidRDefault="00000000">
            <w:pPr>
              <w:spacing w:after="40"/>
            </w:pPr>
            <w:r>
              <w:t>Quota di copertura del fabbisogno stimato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38B1EF2" w14:textId="77777777" w:rsidR="007C4598" w:rsidRDefault="00000000">
            <w:pPr>
              <w:spacing w:after="40"/>
            </w:pPr>
            <w:r>
              <w:t>parziale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B2EF572" w14:textId="77777777" w:rsidR="007C4598" w:rsidRDefault="00000000">
            <w:pPr>
              <w:spacing w:after="40"/>
            </w:pPr>
            <w:r>
              <w:t>maggioritaria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38ACD7D" w14:textId="77777777" w:rsidR="007C4598" w:rsidRDefault="00000000">
            <w:pPr>
              <w:spacing w:after="40"/>
            </w:pPr>
            <w:r>
              <w:t>prossima alla totalità</w:t>
            </w:r>
          </w:p>
        </w:tc>
      </w:tr>
      <w:tr w:rsidR="007C4598" w14:paraId="2FC206ED"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72A3FA5" w14:textId="77777777" w:rsidR="007C4598" w:rsidRDefault="00000000">
            <w:pPr>
              <w:spacing w:after="40"/>
            </w:pPr>
            <w:r>
              <w:t>Configurazione del servizio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AD856C9" w14:textId="77777777" w:rsidR="007C4598" w:rsidRDefault="00000000">
            <w:pPr>
              <w:spacing w:after="40"/>
            </w:pPr>
            <w:r>
              <w:t>potenziato, non pieno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8863F8C" w14:textId="77777777" w:rsidR="007C4598" w:rsidRDefault="00000000">
            <w:pPr>
              <w:spacing w:after="40"/>
            </w:pPr>
            <w:r>
              <w:t>prossimo all’adeguatezza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140D899" w14:textId="77777777" w:rsidR="007C4598" w:rsidRDefault="00000000">
            <w:pPr>
              <w:spacing w:after="40"/>
            </w:pPr>
            <w:r>
              <w:t>a regime</w:t>
            </w:r>
          </w:p>
        </w:tc>
      </w:tr>
      <w:tr w:rsidR="007C4598" w14:paraId="7660389A"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190856B" w14:textId="77777777" w:rsidR="007C4598" w:rsidRDefault="00000000">
            <w:pPr>
              <w:spacing w:after="40"/>
            </w:pPr>
            <w:r>
              <w:t>Funzione nella valutazione economica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05B3E9C" w14:textId="77777777" w:rsidR="007C4598" w:rsidRDefault="00000000">
            <w:pPr>
              <w:spacing w:after="40"/>
            </w:pPr>
            <w:r>
              <w:t>soglia minima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77DDC03" w14:textId="77777777" w:rsidR="007C4598" w:rsidRDefault="00000000">
            <w:pPr>
              <w:spacing w:after="40"/>
            </w:pPr>
            <w:r>
              <w:t>riferimento centrale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26E23CD" w14:textId="77777777" w:rsidR="007C4598" w:rsidRDefault="00000000">
            <w:pPr>
              <w:spacing w:after="40"/>
            </w:pPr>
            <w:r>
              <w:t>copertura piena</w:t>
            </w:r>
          </w:p>
        </w:tc>
      </w:tr>
    </w:tbl>
    <w:p w14:paraId="64685092" w14:textId="77777777" w:rsidR="007C4598" w:rsidRDefault="007C4598"/>
    <w:p w14:paraId="10E7EF26" w14:textId="77777777" w:rsidR="007C4598" w:rsidRDefault="00000000">
      <w:pPr>
        <w:jc w:val="both"/>
      </w:pPr>
      <w:r>
        <w:rPr>
          <w:i/>
          <w:iCs/>
        </w:rPr>
        <w:t>Elaborazione dello studio, coerente con la seconda parte. Le grandezze sono parametri di dimensionamento, da calibrare sui dati primari regionali; la quantificazione monetaria è rinviata alle parti settima, ottava, nona e decima.</w:t>
      </w:r>
    </w:p>
    <w:p w14:paraId="2CCE2CD1"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24348206"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C9A279D" w14:textId="77777777" w:rsidR="007C4598" w:rsidRDefault="00000000">
            <w:pPr>
              <w:spacing w:after="40"/>
            </w:pPr>
            <w:r>
              <w:rPr>
                <w:b/>
                <w:bCs/>
                <w:color w:val="FFFFFF"/>
                <w:sz w:val="18"/>
                <w:szCs w:val="18"/>
              </w:rPr>
              <w:t xml:space="preserve">◆  SEGNALIBRO — INFOGRAFICA 4.3 · DA INSERIRE A POSTERIORI Titolo previsto: I tre scenari di copertura del Servizio di Psicologia di Base — Puglia Contenuto da rappresentare: Rappresentazione a barre progressive (o a scala ascendente) dei tre scenari di copertura — conservativo (~ 450), intermedio (~ 700), espansivo (~ 900) — a partire dalla dotazione attuale (~ 45), con indicazione per ciascuno della quota di copertura del fabbisogno stimato (~ 800-900). Obiettivo: mostrare la traiettoria progressiva dalla scala odierna alla copertura piena, e rendere evidente che gli scenari sono tappe di un percorso, non alternative esclusive. Codice </w:t>
            </w:r>
            <w:proofErr w:type="spellStart"/>
            <w:r>
              <w:rPr>
                <w:b/>
                <w:bCs/>
                <w:color w:val="FFFFFF"/>
                <w:sz w:val="18"/>
                <w:szCs w:val="18"/>
              </w:rPr>
              <w:t>Canva-Friendly</w:t>
            </w:r>
            <w:proofErr w:type="spellEnd"/>
            <w:r>
              <w:rPr>
                <w:b/>
                <w:bCs/>
                <w:color w:val="FFFFFF"/>
                <w:sz w:val="18"/>
                <w:szCs w:val="18"/>
              </w:rPr>
              <w:t xml:space="preserve"> (scheda di generazione) TIPO: barre verticali progressive (4 colonne: dotazione attuale + 3 scenari) con linea del fabbisogno FORMATO: 1280 × 960 </w:t>
            </w:r>
            <w:proofErr w:type="spellStart"/>
            <w:r>
              <w:rPr>
                <w:b/>
                <w:bCs/>
                <w:color w:val="FFFFFF"/>
                <w:sz w:val="18"/>
                <w:szCs w:val="18"/>
              </w:rPr>
              <w:t>px</w:t>
            </w:r>
            <w:proofErr w:type="spellEnd"/>
            <w:r>
              <w:rPr>
                <w:b/>
                <w:bCs/>
                <w:color w:val="FFFFFF"/>
                <w:sz w:val="18"/>
                <w:szCs w:val="18"/>
              </w:rPr>
              <w:t xml:space="preserve">; adatta a slide e ad A4 SFONDO: gradiente verticale bianco #FFFFFF 85% → crema #F3EAD6 15% PALETTE: dotazione attuale #5B7BB0; conservativo #2E5AA0; intermedio #244272; espansivo #101F3C; linea del fabbisogno oro #C49A48 (tratteggiata)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valori </w:t>
            </w:r>
            <w:proofErr w:type="spellStart"/>
            <w:r>
              <w:rPr>
                <w:b/>
                <w:bCs/>
                <w:color w:val="FFFFFF"/>
                <w:sz w:val="18"/>
                <w:szCs w:val="18"/>
              </w:rPr>
              <w:t>Bold</w:t>
            </w:r>
            <w:proofErr w:type="spellEnd"/>
            <w:r>
              <w:rPr>
                <w:b/>
                <w:bCs/>
                <w:color w:val="FFFFFF"/>
                <w:sz w:val="18"/>
                <w:szCs w:val="18"/>
              </w:rPr>
              <w:t>, etichette Regular TITOLO: «I tre scenari di copertura — Servizio di Psicologia di Base, Puglia» COLONNE (etichetta — valore): Dotazione attuale — ~ 45 · Conservativo — ~ 450 · Intermedio — ~ 700 · Espansivo — ~ 900 LINEA DI RIFERIMENTO: banda oro tratteggiata: «fabbisogno stimato ~ 800-900 incarichi» ETICHETTE DI COPERTURA: sotto ciascuna colonna: «~ 5%» · «parziale» · «maggioritaria» · «prossima alla totalità» DIDASCALIA: «Tappe di una traiettoria progressiva verso la copertura del fabbisogno, non alternative esclusive; la quantificazione economica è riferita a ciascuno scenario» VARIANTE 3D (consigliata): colonne isometriche a rilievo crescente; linea del fabbisogno come piano oro semitrasparente FONTE (piè di figura): Elaborazione dello studio; stima del fabbisogno della seconda parte</w:t>
            </w:r>
          </w:p>
          <w:p w14:paraId="40EE9C22" w14:textId="77777777" w:rsidR="007C4598" w:rsidRDefault="00000000">
            <w:pPr>
              <w:spacing w:before="120" w:after="60"/>
              <w:jc w:val="center"/>
            </w:pPr>
            <w:r>
              <w:rPr>
                <w:noProof/>
              </w:rPr>
              <w:drawing>
                <wp:inline distT="0" distB="0" distL="0" distR="0" wp14:anchorId="74798446" wp14:editId="74D472C1">
                  <wp:extent cx="8229600" cy="4629150"/>
                  <wp:effectExtent l="0" t="0" r="0" b="0"/>
                  <wp:docPr id="121" name="Infografica21" descr="I tre scenari di copertura del Servizio di Psicologia di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Infografica21"/>
                          <pic:cNvPicPr>
                            <a:picLocks noChangeAspect="1" noChangeArrowheads="1"/>
                          </pic:cNvPicPr>
                        </pic:nvPicPr>
                        <pic:blipFill>
                          <a:blip r:embed="rId31">
                            <a:extLst>
                              <a:ext uri="{96DAC541-7B7A-43D3-8B79-37D633B846F1}">
                                <asvg:svgBlip xmlns:asvg="http://schemas.microsoft.com/office/drawing/2016/SVG/main" r:embed="rId32"/>
                              </a:ext>
                            </a:extLst>
                          </a:blip>
                          <a:stretch>
                            <a:fillRect/>
                          </a:stretch>
                        </pic:blipFill>
                        <pic:spPr bwMode="auto">
                          <a:xfrm>
                            <a:off x="0" y="0"/>
                            <a:ext cx="8229600" cy="4629150"/>
                          </a:xfrm>
                          <a:prstGeom prst="rect">
                            <a:avLst/>
                          </a:prstGeom>
                          <a:noFill/>
                          <a:ln>
                            <a:noFill/>
                          </a:ln>
                        </pic:spPr>
                      </pic:pic>
                    </a:graphicData>
                  </a:graphic>
                </wp:inline>
              </w:drawing>
            </w:r>
          </w:p>
          <w:p w14:paraId="1CE8A5FC" w14:textId="77777777" w:rsidR="007C4598" w:rsidRDefault="00000000">
            <w:pPr>
              <w:spacing w:before="40" w:after="200"/>
              <w:jc w:val="center"/>
            </w:pPr>
            <w:r>
              <w:rPr>
                <w:i/>
                <w:color w:val="2E5A8F"/>
                <w:sz w:val="16"/>
                <w:szCs w:val="16"/>
              </w:rPr>
              <w:t>Fig. 4.3 — I tre scenari di copertura del Servizio di Psicologia di Base. Elaborazione dello studio · Luigi De Michele · Giugno 2026.</w:t>
            </w:r>
          </w:p>
        </w:tc>
      </w:tr>
    </w:tbl>
    <w:p w14:paraId="0D6CF2FB" w14:textId="77777777" w:rsidR="007C4598" w:rsidRDefault="007C4598"/>
    <w:p w14:paraId="27B22FA6" w14:textId="77777777" w:rsidR="007C4598" w:rsidRDefault="00000000">
      <w:pPr>
        <w:jc w:val="both"/>
      </w:pPr>
      <w:r>
        <w:t>Definiti gli scenari di copertura, la parte ha completato la descrizione del dispositivo operativo e ne ha fissato la scala. Restano da comporre il quadro conclusivo, che ne raccoglie la portata economico-sociale e multidisciplinare, e la conclusione, che ne tira le somme e apre alla parte seguente, prima di consegnare l’apparato bibliografico integrale.</w:t>
      </w:r>
    </w:p>
    <w:p w14:paraId="79DAAA13" w14:textId="77777777" w:rsidR="007C4598" w:rsidRDefault="007C4598"/>
    <w:p w14:paraId="54BB92A3" w14:textId="77777777" w:rsidR="007C4598" w:rsidRDefault="00000000">
      <w:pPr>
        <w:pStyle w:val="Titolo2"/>
        <w:spacing w:before="200" w:after="100"/>
      </w:pPr>
      <w:r>
        <w:rPr>
          <w:sz w:val="22"/>
          <w:szCs w:val="22"/>
        </w:rPr>
        <w:t>Quadro conclusivo economico-sociale e multidisciplinare integrale</w:t>
      </w:r>
    </w:p>
    <w:p w14:paraId="3AF55B18" w14:textId="77777777" w:rsidR="007C4598" w:rsidRDefault="007C4598"/>
    <w:p w14:paraId="71B4866D" w14:textId="77777777" w:rsidR="007C4598" w:rsidRDefault="00000000">
      <w:pPr>
        <w:jc w:val="both"/>
      </w:pPr>
      <w:r>
        <w:t>La quarta parte non produce stime economiche, ma descrive il dispositivo operativo che le rende conseguibili; il suo quadro conclusivo, pertanto, non espone risultati monetari, bensì la portata economico-sociale e multidisciplinare che il modello organizzativo e le leve abilitanti qui definiti renderanno misurabile nelle parti applicative. Esso ricompone, in forma unitaria, il modo in cui gli elementi del modello generano, lungo il loro funzionamento, i costi e le efficienze che le parti successive quantificheranno, e dichiara in anticipo la struttura del valore che la descrizione del dispositivo prepara.</w:t>
      </w:r>
    </w:p>
    <w:p w14:paraId="3595F437" w14:textId="77777777" w:rsidR="007C4598" w:rsidRDefault="007C4598"/>
    <w:p w14:paraId="54C6BC1E" w14:textId="77777777" w:rsidR="007C4598" w:rsidRDefault="00000000">
      <w:pPr>
        <w:jc w:val="both"/>
      </w:pPr>
      <w:r>
        <w:t xml:space="preserve">Sul versante dei costi, il modello individua con precisione i punti in cui esso genera costo diretto, che la settima parte imputerà lungo la cascata delle figure. Il primo livello nelle cure primarie genera il costo del personale dello Psicologo di Base e delle figure della coppia clinica; le sedi e il coordinamento generano i costi di struttura e di organizzazione; la leva digitale genera il costo incrementale degli strumenti e della loro </w:t>
      </w:r>
      <w:proofErr w:type="spellStart"/>
      <w:r>
        <w:t>governance</w:t>
      </w:r>
      <w:proofErr w:type="spellEnd"/>
      <w:r>
        <w:t>; e la formazione, che la quinta parte tratterà, genera il costo dell’abilitazione delle figure all’uso del modello e delle sue leve. Questi costi non sono una grandezza indistinta, ma una somma di componenti attribuibili a livelli e funzioni definiti, e la descrizione del dispositivo operativo è ciò che ne rende possibile l’imputazione ordinata.</w:t>
      </w:r>
    </w:p>
    <w:p w14:paraId="672BB871" w14:textId="77777777" w:rsidR="007C4598" w:rsidRDefault="007C4598"/>
    <w:p w14:paraId="134FB653" w14:textId="77777777" w:rsidR="007C4598" w:rsidRDefault="00000000">
      <w:pPr>
        <w:jc w:val="both"/>
      </w:pPr>
      <w:r>
        <w:t xml:space="preserve">Sul versante delle efficienze, il modello individua i punti in cui esso produce il risparmio diretto e il beneficio indiretto che le parti ottava e nona misureranno, mantenendoli rigorosamente distinti. Il filtro tra i livelli, trattenendo nel primo livello i quadri comuni, produce la riallocazione della domanda da cui discendono i risparmi diretti per il bilancio sanitario regionale — la riduzione degli accessi inappropriati al pronto soccorso, la riduzione degli invii specialistici impropri, la riduzione della mobilità sanitaria passiva — che si manifestano nei domini sanitario e </w:t>
      </w:r>
      <w:proofErr w:type="spellStart"/>
      <w:r>
        <w:t>prevenzionalistico</w:t>
      </w:r>
      <w:proofErr w:type="spellEnd"/>
      <w:r>
        <w:t>. La continuità della presa in carico, contrastando le ricadute e le cronicizzazioni, e il coordinamento intersettoriale, propagando gli effetti oltre il confine sanitario, predispongono i canali attraverso cui si realizzeranno i benefici indiretti che la nona parte misurerà lungo l’intero perimetro multidisciplinare — il lavoro, la previdenza, la produzione, l’assistenza, il welfare, la prevenzione, la giustizia, la burocrazia, la cultura, l’istruzione, la ricerca, l’industria, la tutela sindacale, il benessere delle comunità, il capitale sociale e i bilanci regionali. Le due categorie restano distinte fino al saldo, dove la loro composizione sarà esplicitata e governata dalla regola di non duplicazione.</w:t>
      </w:r>
    </w:p>
    <w:p w14:paraId="74123783" w14:textId="77777777" w:rsidR="007C4598" w:rsidRDefault="007C4598"/>
    <w:p w14:paraId="79E8809E" w14:textId="77777777" w:rsidR="007C4598" w:rsidRDefault="00000000">
      <w:pPr>
        <w:jc w:val="both"/>
      </w:pPr>
      <w:r>
        <w:t xml:space="preserve">Le leve abilitanti, considerate nel loro insieme, costituiscono il fattore che modula il rapporto tra i costi e gli esiti del modello, e la loro descrizione in questa parte prepara la valutazione della loro efficienza. Le leve organizzative e di processo accrescono la capacità del servizio a parità di risorse, e riducono perciò il costo a parità di copertura; la leva digitale, nei suoi impieghi sostenuti da evidenza adeguata e sotto la </w:t>
      </w:r>
      <w:proofErr w:type="spellStart"/>
      <w:r>
        <w:t>governance</w:t>
      </w:r>
      <w:proofErr w:type="spellEnd"/>
      <w:r>
        <w:t xml:space="preserve"> prudenziale, amplifica questa efficienza, estende l’accesso e contribuisce all’equità territoriale che la dodicesima parte considererà. Gli scenari di copertura, infine, fissano la scala alla quale tutti questi effetti si commisurano, e costituiscono il termine di riferimento comune cui le valutazioni economiche delle parti settima, ottava, nona e decima saranno ancorate. La portata multidisciplinare integrale del modello si apprezza, in conclusione, nella molteplicità dei domini che il suo funzionamento attraversa: il dispositivo descritto in questa parte non è un servizio sanitario circoscritto, ma il punto di origine di una catena di effetti che, dall’intercettazione precoce del disagio nel primo livello, si propagano lungo la cascata delle figure e la matrice dei domini, e che le parti successive misureranno con la disciplina della separazione tra grandezze dirette e indirette e con i vincoli prudenziali che l’opera si è imposta.</w:t>
      </w:r>
    </w:p>
    <w:p w14:paraId="679B1A1E" w14:textId="77777777" w:rsidR="007C4598" w:rsidRDefault="007C4598"/>
    <w:p w14:paraId="4445E051" w14:textId="77777777" w:rsidR="007C4598" w:rsidRDefault="00000000">
      <w:pPr>
        <w:pStyle w:val="Titolo2"/>
        <w:spacing w:before="200" w:after="100"/>
      </w:pPr>
      <w:r>
        <w:rPr>
          <w:sz w:val="22"/>
          <w:szCs w:val="22"/>
        </w:rPr>
        <w:t>Conclusione</w:t>
      </w:r>
    </w:p>
    <w:p w14:paraId="47BB6116" w14:textId="77777777" w:rsidR="007C4598" w:rsidRDefault="007C4598"/>
    <w:p w14:paraId="7A8864C7" w14:textId="77777777" w:rsidR="007C4598" w:rsidRDefault="00000000">
      <w:pPr>
        <w:jc w:val="both"/>
      </w:pPr>
      <w:r>
        <w:t>La quarta parte ha descritto il dispositivo operativo del Servizio di Psicologia di Base e ne ha fissato la scala. Ha definito il modello operativo nei suoi quattro elementi costitutivi — la cura per intensità crescente, l’assistenza collaborativa, la coppia clinica e i percorsi diagnostico-terapeutici assistenziali — ricondotti ai programmi internazionali che li hanno validati e adattati alle sedi del sistema sanitario pugliese. Ha esposto l’integrazione tra il livello delle cure primarie e quello dei servizi specialistici, e le regole di invio e di ritorno che ne governano il flusso, mostrando come in esse si decidano tanto l’appropriatezza clinica quanto gli effetti economici della riforma. Ha ordinato le leve abilitanti organizzative e di processo, distinguendole dalla leva digitale e collocandole nella loro priorità logica e operativa.</w:t>
      </w:r>
    </w:p>
    <w:p w14:paraId="5D8F13B0" w14:textId="77777777" w:rsidR="007C4598" w:rsidRDefault="007C4598"/>
    <w:p w14:paraId="54F32845" w14:textId="77777777" w:rsidR="007C4598" w:rsidRDefault="00000000">
      <w:pPr>
        <w:jc w:val="both"/>
      </w:pPr>
      <w:r>
        <w:t xml:space="preserve">Ha quindi trattato la leva digitale e l’Intelligenza Artificiale lungo l’intero ciclo assistenziale, collocandole come strumenti abilitanti subordinati alla supervisione umana e graduandone l’evidenza con il medesimo rigore applicato alle affermazioni cliniche: ha riconosciuto la base solida della terapia cognitivo-comportamentale erogata via internet nelle forme guidate, e ha trattato con franchezza il carattere ancora emergente del triage assistito, dei modelli predittivi e delle forme avanzate di monitoraggio remoto, ammessi soltanto in forma sperimentale e sorvegliata. Ha definito i dispositivi terapeutici digitali su prescrizione e la cornice di rischio che ne governa l’impiego, registrando l’assenza, allo stato, di una procedura italiana compiuta di riconoscimento e di accesso, e segnalandone la definizione come condizione abilitante della riforma. Ha stabilito la </w:t>
      </w:r>
      <w:proofErr w:type="spellStart"/>
      <w:r>
        <w:t>governance</w:t>
      </w:r>
      <w:proofErr w:type="spellEnd"/>
      <w:r>
        <w:t xml:space="preserve"> prudenziale dell’Intelligenza Artificiale nei suoi quattro pilastri — la sicurezza, l’equità, la supervisione umana e la responsabilità — e nei presidi che li traducono in regole operative. E ha fissato i tre scenari di copertura che reggeranno la modellazione economica delle parti successive.</w:t>
      </w:r>
    </w:p>
    <w:p w14:paraId="0F5CB709" w14:textId="77777777" w:rsidR="007C4598" w:rsidRDefault="007C4598"/>
    <w:p w14:paraId="72E6912F" w14:textId="77777777" w:rsidR="007C4598" w:rsidRDefault="00000000">
      <w:pPr>
        <w:jc w:val="both"/>
      </w:pPr>
      <w:r>
        <w:t>Con ciò, la parte ha adempiuto alla propria funzione: tradurre l’architettura statica delle figure, definita nella terza parte, nel movimento governato di un servizio, e predisporre il dispositivo operativo su cui la valutazione economica poggerà. La parte seguente assume questo fondamento e affronta il pilastro trasversale che ne condiziona la realizzazione: la formazione del personale, nelle quattro modalità — universitaria, post-universitaria, lavorativa e per affiancamento di figure esperte, comprese quelle dedicate all’uso dell’Intelligenza Artificiale — considerate sia singolarmente sia congiuntamente, con i loro costi, i loro tempi e i loro rendimenti. Descritto il dispositivo, l’opera muove ora verso la condizione che ne abilita le figure a farlo funzionare.</w:t>
      </w:r>
    </w:p>
    <w:p w14:paraId="125CABC4" w14:textId="77777777" w:rsidR="007C4598" w:rsidRDefault="007C4598"/>
    <w:p w14:paraId="08364311" w14:textId="77777777" w:rsidR="007C4598" w:rsidRDefault="00000000">
      <w:pPr>
        <w:pStyle w:val="Titolo2"/>
        <w:spacing w:before="200" w:after="100"/>
      </w:pPr>
      <w:r>
        <w:rPr>
          <w:sz w:val="22"/>
          <w:szCs w:val="22"/>
        </w:rPr>
        <w:t>Note Bibliografiche Integrali — Parte IV</w:t>
      </w:r>
    </w:p>
    <w:p w14:paraId="24B793E2" w14:textId="77777777" w:rsidR="007C4598" w:rsidRDefault="007C4598"/>
    <w:p w14:paraId="31B0FB20" w14:textId="77777777" w:rsidR="007C4598" w:rsidRDefault="00000000">
      <w:pPr>
        <w:jc w:val="both"/>
      </w:pPr>
      <w:r>
        <w:t xml:space="preserve">L’apparato bibliografico che segue raccoglie, in forma consolidata, le note della Parte IV. Ciascuna nota reca il nome della fonte, il collegamento e un mini-riassunto del suo contenuto e del suo uso nell’opera, in coerenza con lo standard adottato per l’intero studio. Le note relative ai modelli organizzativi e alle evidenze di efficacia si affiancano a quelle relative al quadro </w:t>
      </w:r>
      <w:proofErr w:type="spellStart"/>
      <w:r>
        <w:t>regolatorio</w:t>
      </w:r>
      <w:proofErr w:type="spellEnd"/>
      <w:r>
        <w:t xml:space="preserve"> europeo, alla graduazione dell’evidenza e alla </w:t>
      </w:r>
      <w:proofErr w:type="spellStart"/>
      <w:r>
        <w:t>governance</w:t>
      </w:r>
      <w:proofErr w:type="spellEnd"/>
      <w:r>
        <w:t xml:space="preserve"> dell’Intelligenza Artificiale, a comporre il fondamento documentale del modello organizzativo descritto in questa parte.</w:t>
      </w:r>
    </w:p>
    <w:p w14:paraId="6D9ED30A" w14:textId="77777777" w:rsidR="007C4598" w:rsidRDefault="007C4598"/>
    <w:p w14:paraId="01130D5D" w14:textId="77777777" w:rsidR="007C4598" w:rsidRDefault="00000000">
      <w:pPr>
        <w:jc w:val="both"/>
      </w:pPr>
      <w:r>
        <w:rPr>
          <w:b/>
          <w:bCs/>
        </w:rPr>
        <w:t xml:space="preserve">1. Modelli internazionali di integrazione della salute mentale nelle cure primarie (collaborative care, </w:t>
      </w:r>
      <w:proofErr w:type="spellStart"/>
      <w:r>
        <w:rPr>
          <w:b/>
          <w:bCs/>
        </w:rPr>
        <w:t>integrated</w:t>
      </w:r>
      <w:proofErr w:type="spellEnd"/>
      <w:r>
        <w:rPr>
          <w:b/>
          <w:bCs/>
        </w:rPr>
        <w:t xml:space="preserve"> care, </w:t>
      </w:r>
      <w:proofErr w:type="spellStart"/>
      <w:r>
        <w:rPr>
          <w:b/>
          <w:bCs/>
        </w:rPr>
        <w:t>stepped</w:t>
      </w:r>
      <w:proofErr w:type="spellEnd"/>
      <w:r>
        <w:rPr>
          <w:b/>
          <w:bCs/>
        </w:rPr>
        <w:t xml:space="preserve"> care, </w:t>
      </w:r>
      <w:proofErr w:type="spellStart"/>
      <w:r>
        <w:rPr>
          <w:b/>
          <w:bCs/>
        </w:rPr>
        <w:t>primary</w:t>
      </w:r>
      <w:proofErr w:type="spellEnd"/>
      <w:r>
        <w:rPr>
          <w:b/>
          <w:bCs/>
        </w:rPr>
        <w:t xml:space="preserve"> care </w:t>
      </w:r>
      <w:proofErr w:type="spellStart"/>
      <w:r>
        <w:rPr>
          <w:b/>
          <w:bCs/>
        </w:rPr>
        <w:t>mental</w:t>
      </w:r>
      <w:proofErr w:type="spellEnd"/>
      <w:r>
        <w:rPr>
          <w:b/>
          <w:bCs/>
        </w:rPr>
        <w:t xml:space="preserve"> </w:t>
      </w:r>
      <w:proofErr w:type="spellStart"/>
      <w:r>
        <w:rPr>
          <w:b/>
          <w:bCs/>
        </w:rPr>
        <w:t>health</w:t>
      </w:r>
      <w:proofErr w:type="spellEnd"/>
      <w:r>
        <w:rPr>
          <w:b/>
          <w:bCs/>
        </w:rPr>
        <w:t>)</w:t>
      </w:r>
      <w:r>
        <w:t xml:space="preserve">  —  https://www.who.int/teams/mental-health-and-substance-use  —  </w:t>
      </w:r>
      <w:r>
        <w:rPr>
          <w:i/>
          <w:iCs/>
        </w:rPr>
        <w:t>Insieme dei modelli organizzativi che integrano i professionisti della salute mentale nelle cure primarie; ne condividono i principi — collocazione di prossimità, triage strutturato, interventi brevi e manualizzati, monitoraggio sistematico degli esiti, integrazione con la medicina generale, orientamento alla prevenzione secondaria — che costituiscono il fondamento del modello operativo descritto nella voce 4.1.</w:t>
      </w:r>
    </w:p>
    <w:p w14:paraId="52F45D75" w14:textId="77777777" w:rsidR="007C4598" w:rsidRDefault="007C4598"/>
    <w:p w14:paraId="03B245F3" w14:textId="77777777" w:rsidR="007C4598" w:rsidRDefault="00000000">
      <w:pPr>
        <w:jc w:val="both"/>
      </w:pPr>
      <w:r>
        <w:rPr>
          <w:b/>
          <w:bCs/>
        </w:rPr>
        <w:t>2. Programma inglese di terapie psicologiche (</w:t>
      </w:r>
      <w:proofErr w:type="spellStart"/>
      <w:r>
        <w:rPr>
          <w:b/>
          <w:bCs/>
        </w:rPr>
        <w:t>Improving</w:t>
      </w:r>
      <w:proofErr w:type="spellEnd"/>
      <w:r>
        <w:rPr>
          <w:b/>
          <w:bCs/>
        </w:rPr>
        <w:t xml:space="preserve"> Access to </w:t>
      </w:r>
      <w:proofErr w:type="spellStart"/>
      <w:r>
        <w:rPr>
          <w:b/>
          <w:bCs/>
        </w:rPr>
        <w:t>Psychological</w:t>
      </w:r>
      <w:proofErr w:type="spellEnd"/>
      <w:r>
        <w:rPr>
          <w:b/>
          <w:bCs/>
        </w:rPr>
        <w:t xml:space="preserve"> </w:t>
      </w:r>
      <w:proofErr w:type="spellStart"/>
      <w:r>
        <w:rPr>
          <w:b/>
          <w:bCs/>
        </w:rPr>
        <w:t>Therapies</w:t>
      </w:r>
      <w:proofErr w:type="spellEnd"/>
      <w:r>
        <w:rPr>
          <w:b/>
          <w:bCs/>
        </w:rPr>
        <w:t xml:space="preserve"> — NHS </w:t>
      </w:r>
      <w:proofErr w:type="spellStart"/>
      <w:r>
        <w:rPr>
          <w:b/>
          <w:bCs/>
        </w:rPr>
        <w:t>Talking</w:t>
      </w:r>
      <w:proofErr w:type="spellEnd"/>
      <w:r>
        <w:rPr>
          <w:b/>
          <w:bCs/>
        </w:rPr>
        <w:t xml:space="preserve"> </w:t>
      </w:r>
      <w:proofErr w:type="spellStart"/>
      <w:r>
        <w:rPr>
          <w:b/>
          <w:bCs/>
        </w:rPr>
        <w:t>Therapies</w:t>
      </w:r>
      <w:proofErr w:type="spellEnd"/>
      <w:r>
        <w:rPr>
          <w:b/>
          <w:bCs/>
        </w:rPr>
        <w:t>)</w:t>
      </w:r>
      <w:r>
        <w:t xml:space="preserve">  —  https://www.england.nhs.uk/mental-health/adults/nhs-talking-therapies/  —  </w:t>
      </w:r>
      <w:r>
        <w:rPr>
          <w:i/>
          <w:iCs/>
        </w:rPr>
        <w:t xml:space="preserve">Programma del Servizio sanitario inglese, avviato nel 2008 e oggi denominato NHS </w:t>
      </w:r>
      <w:proofErr w:type="spellStart"/>
      <w:r>
        <w:rPr>
          <w:i/>
          <w:iCs/>
        </w:rPr>
        <w:t>Talking</w:t>
      </w:r>
      <w:proofErr w:type="spellEnd"/>
      <w:r>
        <w:rPr>
          <w:i/>
          <w:iCs/>
        </w:rPr>
        <w:t xml:space="preserve"> </w:t>
      </w:r>
      <w:proofErr w:type="spellStart"/>
      <w:r>
        <w:rPr>
          <w:i/>
          <w:iCs/>
        </w:rPr>
        <w:t>Therapies</w:t>
      </w:r>
      <w:proofErr w:type="spellEnd"/>
      <w:r>
        <w:rPr>
          <w:i/>
          <w:iCs/>
        </w:rPr>
        <w:t>; applicazione più consolidata della cura a intensità crescente su due livelli (interventi a bassa e ad alta intensità) con monitoraggio sistematico degli esiti. Riferimento per il modello a intensità crescente adottato nelle voci 4.1 e 4.2.</w:t>
      </w:r>
    </w:p>
    <w:p w14:paraId="69321E31" w14:textId="77777777" w:rsidR="007C4598" w:rsidRDefault="007C4598"/>
    <w:p w14:paraId="42BD305E" w14:textId="77777777" w:rsidR="007C4598" w:rsidRDefault="00000000">
      <w:pPr>
        <w:jc w:val="both"/>
      </w:pPr>
      <w:r>
        <w:rPr>
          <w:b/>
          <w:bCs/>
        </w:rPr>
        <w:t xml:space="preserve">3. </w:t>
      </w:r>
      <w:proofErr w:type="spellStart"/>
      <w:r>
        <w:rPr>
          <w:b/>
          <w:bCs/>
        </w:rPr>
        <w:t>Woltmann</w:t>
      </w:r>
      <w:proofErr w:type="spellEnd"/>
      <w:r>
        <w:rPr>
          <w:b/>
          <w:bCs/>
        </w:rPr>
        <w:t xml:space="preserve"> E. et al., Comparative </w:t>
      </w:r>
      <w:proofErr w:type="spellStart"/>
      <w:r>
        <w:rPr>
          <w:b/>
          <w:bCs/>
        </w:rPr>
        <w:t>effectiveness</w:t>
      </w:r>
      <w:proofErr w:type="spellEnd"/>
      <w:r>
        <w:rPr>
          <w:b/>
          <w:bCs/>
        </w:rPr>
        <w:t xml:space="preserve"> of collaborative </w:t>
      </w:r>
      <w:proofErr w:type="spellStart"/>
      <w:r>
        <w:rPr>
          <w:b/>
          <w:bCs/>
        </w:rPr>
        <w:t>chronic</w:t>
      </w:r>
      <w:proofErr w:type="spellEnd"/>
      <w:r>
        <w:rPr>
          <w:b/>
          <w:bCs/>
        </w:rPr>
        <w:t xml:space="preserve"> care </w:t>
      </w:r>
      <w:proofErr w:type="spellStart"/>
      <w:r>
        <w:rPr>
          <w:b/>
          <w:bCs/>
        </w:rPr>
        <w:t>models</w:t>
      </w:r>
      <w:proofErr w:type="spellEnd"/>
      <w:r>
        <w:rPr>
          <w:b/>
          <w:bCs/>
        </w:rPr>
        <w:t xml:space="preserve"> for </w:t>
      </w:r>
      <w:proofErr w:type="spellStart"/>
      <w:r>
        <w:rPr>
          <w:b/>
          <w:bCs/>
        </w:rPr>
        <w:t>mental</w:t>
      </w:r>
      <w:proofErr w:type="spellEnd"/>
      <w:r>
        <w:rPr>
          <w:b/>
          <w:bCs/>
        </w:rPr>
        <w:t xml:space="preserve"> </w:t>
      </w:r>
      <w:proofErr w:type="spellStart"/>
      <w:r>
        <w:rPr>
          <w:b/>
          <w:bCs/>
        </w:rPr>
        <w:t>health</w:t>
      </w:r>
      <w:proofErr w:type="spellEnd"/>
      <w:r>
        <w:rPr>
          <w:b/>
          <w:bCs/>
        </w:rPr>
        <w:t xml:space="preserve"> </w:t>
      </w:r>
      <w:proofErr w:type="spellStart"/>
      <w:r>
        <w:rPr>
          <w:b/>
          <w:bCs/>
        </w:rPr>
        <w:t>conditions</w:t>
      </w:r>
      <w:proofErr w:type="spellEnd"/>
      <w:r>
        <w:rPr>
          <w:b/>
          <w:bCs/>
        </w:rPr>
        <w:t xml:space="preserve"> (American Journal of </w:t>
      </w:r>
      <w:proofErr w:type="spellStart"/>
      <w:r>
        <w:rPr>
          <w:b/>
          <w:bCs/>
        </w:rPr>
        <w:t>Psychiatry</w:t>
      </w:r>
      <w:proofErr w:type="spellEnd"/>
      <w:r>
        <w:rPr>
          <w:b/>
          <w:bCs/>
        </w:rPr>
        <w:t>, 2012)</w:t>
      </w:r>
      <w:r>
        <w:t xml:space="preserve">  —  https://doi.org/10.1176/appi.ajp.2012.11111616  —  </w:t>
      </w:r>
      <w:r>
        <w:rPr>
          <w:i/>
          <w:iCs/>
        </w:rPr>
        <w:t>Meta-analisi su cinquantasette studi del modello di assistenza collaborativa; documenta un miglioramento dei sintomi depressivi con effetto medio dell’ordine di 0,28 deviazioni standard. Sostiene il principio della collaborazione strutturata adottato nella voce 4.1.</w:t>
      </w:r>
    </w:p>
    <w:p w14:paraId="6EF55592" w14:textId="77777777" w:rsidR="007C4598" w:rsidRDefault="007C4598"/>
    <w:p w14:paraId="54E0B08F" w14:textId="77777777" w:rsidR="007C4598" w:rsidRDefault="00000000">
      <w:pPr>
        <w:jc w:val="both"/>
      </w:pPr>
      <w:r>
        <w:rPr>
          <w:b/>
          <w:bCs/>
        </w:rPr>
        <w:t xml:space="preserve">4. </w:t>
      </w:r>
      <w:proofErr w:type="spellStart"/>
      <w:r>
        <w:rPr>
          <w:b/>
          <w:bCs/>
        </w:rPr>
        <w:t>Archer</w:t>
      </w:r>
      <w:proofErr w:type="spellEnd"/>
      <w:r>
        <w:rPr>
          <w:b/>
          <w:bCs/>
        </w:rPr>
        <w:t xml:space="preserve"> J. et al., Collaborative care for </w:t>
      </w:r>
      <w:proofErr w:type="spellStart"/>
      <w:r>
        <w:rPr>
          <w:b/>
          <w:bCs/>
        </w:rPr>
        <w:t>people</w:t>
      </w:r>
      <w:proofErr w:type="spellEnd"/>
      <w:r>
        <w:rPr>
          <w:b/>
          <w:bCs/>
        </w:rPr>
        <w:t xml:space="preserve"> with </w:t>
      </w:r>
      <w:proofErr w:type="spellStart"/>
      <w:r>
        <w:rPr>
          <w:b/>
          <w:bCs/>
        </w:rPr>
        <w:t>depression</w:t>
      </w:r>
      <w:proofErr w:type="spellEnd"/>
      <w:r>
        <w:rPr>
          <w:b/>
          <w:bCs/>
        </w:rPr>
        <w:t xml:space="preserve"> and </w:t>
      </w:r>
      <w:proofErr w:type="spellStart"/>
      <w:r>
        <w:rPr>
          <w:b/>
          <w:bCs/>
        </w:rPr>
        <w:t>anxiety</w:t>
      </w:r>
      <w:proofErr w:type="spellEnd"/>
      <w:r>
        <w:rPr>
          <w:b/>
          <w:bCs/>
        </w:rPr>
        <w:t xml:space="preserve"> (</w:t>
      </w:r>
      <w:proofErr w:type="spellStart"/>
      <w:r>
        <w:rPr>
          <w:b/>
          <w:bCs/>
        </w:rPr>
        <w:t>Cochrane</w:t>
      </w:r>
      <w:proofErr w:type="spellEnd"/>
      <w:r>
        <w:rPr>
          <w:b/>
          <w:bCs/>
        </w:rPr>
        <w:t xml:space="preserve"> Database of </w:t>
      </w:r>
      <w:proofErr w:type="spellStart"/>
      <w:r>
        <w:rPr>
          <w:b/>
          <w:bCs/>
        </w:rPr>
        <w:t>Systematic</w:t>
      </w:r>
      <w:proofErr w:type="spellEnd"/>
      <w:r>
        <w:rPr>
          <w:b/>
          <w:bCs/>
        </w:rPr>
        <w:t xml:space="preserve"> </w:t>
      </w:r>
      <w:proofErr w:type="spellStart"/>
      <w:r>
        <w:rPr>
          <w:b/>
          <w:bCs/>
        </w:rPr>
        <w:t>Reviews</w:t>
      </w:r>
      <w:proofErr w:type="spellEnd"/>
      <w:r>
        <w:rPr>
          <w:b/>
          <w:bCs/>
        </w:rPr>
        <w:t>, 2012)</w:t>
      </w:r>
      <w:r>
        <w:t xml:space="preserve">  —  https://doi.org/10.1002/14651858.CD006525.pub2  —  </w:t>
      </w:r>
      <w:r>
        <w:rPr>
          <w:i/>
          <w:iCs/>
        </w:rPr>
        <w:t>Revisione sistematica su settantanove studi randomizzati e oltre ventiquattromila partecipanti; documenta un miglioramento significativo dei sintomi depressivi e ansiosi rispetto all’assistenza ordinaria, con benefici fino a due anni. Base di evidenza più ampia a sostegno dell’assistenza collaborativa nella voce 4.1.</w:t>
      </w:r>
    </w:p>
    <w:p w14:paraId="4AE234CA" w14:textId="77777777" w:rsidR="007C4598" w:rsidRDefault="007C4598"/>
    <w:p w14:paraId="6310173A" w14:textId="77777777" w:rsidR="007C4598" w:rsidRDefault="00000000">
      <w:pPr>
        <w:jc w:val="both"/>
      </w:pPr>
      <w:r>
        <w:rPr>
          <w:b/>
          <w:bCs/>
        </w:rPr>
        <w:t xml:space="preserve">5. Modello olandese di integrazione degli psicologi nelle cure primarie (POH-GGZ, </w:t>
      </w:r>
      <w:proofErr w:type="spellStart"/>
      <w:r>
        <w:rPr>
          <w:b/>
          <w:bCs/>
        </w:rPr>
        <w:t>Praktijkondersteuner</w:t>
      </w:r>
      <w:proofErr w:type="spellEnd"/>
      <w:r>
        <w:rPr>
          <w:b/>
          <w:bCs/>
        </w:rPr>
        <w:t xml:space="preserve"> </w:t>
      </w:r>
      <w:proofErr w:type="spellStart"/>
      <w:r>
        <w:rPr>
          <w:b/>
          <w:bCs/>
        </w:rPr>
        <w:t>Huisarts</w:t>
      </w:r>
      <w:proofErr w:type="spellEnd"/>
      <w:r>
        <w:rPr>
          <w:b/>
          <w:bCs/>
        </w:rPr>
        <w:t xml:space="preserve"> </w:t>
      </w:r>
      <w:proofErr w:type="spellStart"/>
      <w:r>
        <w:rPr>
          <w:b/>
          <w:bCs/>
        </w:rPr>
        <w:t>Geestelijke</w:t>
      </w:r>
      <w:proofErr w:type="spellEnd"/>
      <w:r>
        <w:rPr>
          <w:b/>
          <w:bCs/>
        </w:rPr>
        <w:t xml:space="preserve"> </w:t>
      </w:r>
      <w:proofErr w:type="spellStart"/>
      <w:r>
        <w:rPr>
          <w:b/>
          <w:bCs/>
        </w:rPr>
        <w:t>Gezondheidszorg</w:t>
      </w:r>
      <w:proofErr w:type="spellEnd"/>
      <w:r>
        <w:rPr>
          <w:b/>
          <w:bCs/>
        </w:rPr>
        <w:t>)</w:t>
      </w:r>
      <w:r>
        <w:t xml:space="preserve">  —  https://www.nivel.nl/en  —  </w:t>
      </w:r>
      <w:r>
        <w:rPr>
          <w:i/>
          <w:iCs/>
        </w:rPr>
        <w:t>Modello che integra il sostegno psicologico presso lo studio del medico di base, con interventi brevi e invio ai servizi specialistici per una quota dell’ordine del quindici per cento dei casi. Riferimento per la quota di transito tra i livelli adottata nella voce 4.2.</w:t>
      </w:r>
    </w:p>
    <w:p w14:paraId="7B57F0D8" w14:textId="77777777" w:rsidR="007C4598" w:rsidRDefault="007C4598"/>
    <w:p w14:paraId="77BF9A6F" w14:textId="77777777" w:rsidR="007C4598" w:rsidRDefault="00000000">
      <w:pPr>
        <w:jc w:val="both"/>
      </w:pPr>
      <w:r>
        <w:rPr>
          <w:b/>
          <w:bCs/>
        </w:rPr>
        <w:t xml:space="preserve">6. </w:t>
      </w:r>
      <w:proofErr w:type="spellStart"/>
      <w:r>
        <w:rPr>
          <w:b/>
          <w:bCs/>
        </w:rPr>
        <w:t>Guyatt</w:t>
      </w:r>
      <w:proofErr w:type="spellEnd"/>
      <w:r>
        <w:rPr>
          <w:b/>
          <w:bCs/>
        </w:rPr>
        <w:t xml:space="preserve"> G.H. et al., GRADE: an </w:t>
      </w:r>
      <w:proofErr w:type="spellStart"/>
      <w:r>
        <w:rPr>
          <w:b/>
          <w:bCs/>
        </w:rPr>
        <w:t>emerging</w:t>
      </w:r>
      <w:proofErr w:type="spellEnd"/>
      <w:r>
        <w:rPr>
          <w:b/>
          <w:bCs/>
        </w:rPr>
        <w:t xml:space="preserve"> </w:t>
      </w:r>
      <w:proofErr w:type="spellStart"/>
      <w:r>
        <w:rPr>
          <w:b/>
          <w:bCs/>
        </w:rPr>
        <w:t>consensus</w:t>
      </w:r>
      <w:proofErr w:type="spellEnd"/>
      <w:r>
        <w:rPr>
          <w:b/>
          <w:bCs/>
        </w:rPr>
        <w:t xml:space="preserve"> on rating </w:t>
      </w:r>
      <w:proofErr w:type="spellStart"/>
      <w:r>
        <w:rPr>
          <w:b/>
          <w:bCs/>
        </w:rPr>
        <w:t>quality</w:t>
      </w:r>
      <w:proofErr w:type="spellEnd"/>
      <w:r>
        <w:rPr>
          <w:b/>
          <w:bCs/>
        </w:rPr>
        <w:t xml:space="preserve"> of </w:t>
      </w:r>
      <w:proofErr w:type="spellStart"/>
      <w:r>
        <w:rPr>
          <w:b/>
          <w:bCs/>
        </w:rPr>
        <w:t>evidence</w:t>
      </w:r>
      <w:proofErr w:type="spellEnd"/>
      <w:r>
        <w:rPr>
          <w:b/>
          <w:bCs/>
        </w:rPr>
        <w:t xml:space="preserve"> and </w:t>
      </w:r>
      <w:proofErr w:type="spellStart"/>
      <w:r>
        <w:rPr>
          <w:b/>
          <w:bCs/>
        </w:rPr>
        <w:t>strength</w:t>
      </w:r>
      <w:proofErr w:type="spellEnd"/>
      <w:r>
        <w:rPr>
          <w:b/>
          <w:bCs/>
        </w:rPr>
        <w:t xml:space="preserve"> of </w:t>
      </w:r>
      <w:proofErr w:type="spellStart"/>
      <w:r>
        <w:rPr>
          <w:b/>
          <w:bCs/>
        </w:rPr>
        <w:t>recommendations</w:t>
      </w:r>
      <w:proofErr w:type="spellEnd"/>
      <w:r>
        <w:rPr>
          <w:b/>
          <w:bCs/>
        </w:rPr>
        <w:t xml:space="preserve"> (</w:t>
      </w:r>
      <w:proofErr w:type="spellStart"/>
      <w:r>
        <w:rPr>
          <w:b/>
          <w:bCs/>
        </w:rPr>
        <w:t>British</w:t>
      </w:r>
      <w:proofErr w:type="spellEnd"/>
      <w:r>
        <w:rPr>
          <w:b/>
          <w:bCs/>
        </w:rPr>
        <w:t xml:space="preserve"> </w:t>
      </w:r>
      <w:proofErr w:type="spellStart"/>
      <w:r>
        <w:rPr>
          <w:b/>
          <w:bCs/>
        </w:rPr>
        <w:t>Medical</w:t>
      </w:r>
      <w:proofErr w:type="spellEnd"/>
      <w:r>
        <w:rPr>
          <w:b/>
          <w:bCs/>
        </w:rPr>
        <w:t xml:space="preserve"> Journal, 2008)</w:t>
      </w:r>
      <w:r>
        <w:t xml:space="preserve">  —  https://doi.org/10.1136/bmj.39489.470347.AD  —  </w:t>
      </w:r>
      <w:r>
        <w:rPr>
          <w:i/>
          <w:iCs/>
        </w:rPr>
        <w:t>Definizione del sistema GRADE per la valutazione della qualità delle prove (alta, moderata, bassa, molto bassa) e della forza delle raccomandazioni. Metodo applicato simmetricamente, nella voce 4.4, all’evidenza clinica e a quella relativa agli strumenti digitali e all’Intelligenza Artificiale.</w:t>
      </w:r>
    </w:p>
    <w:p w14:paraId="0C9479DB" w14:textId="77777777" w:rsidR="007C4598" w:rsidRDefault="007C4598"/>
    <w:p w14:paraId="37137ED5" w14:textId="77777777" w:rsidR="007C4598" w:rsidRDefault="00000000">
      <w:pPr>
        <w:jc w:val="both"/>
      </w:pPr>
      <w:r>
        <w:rPr>
          <w:b/>
          <w:bCs/>
        </w:rPr>
        <w:t xml:space="preserve">7. </w:t>
      </w:r>
      <w:proofErr w:type="spellStart"/>
      <w:r>
        <w:rPr>
          <w:b/>
          <w:bCs/>
        </w:rPr>
        <w:t>Karyotaki</w:t>
      </w:r>
      <w:proofErr w:type="spellEnd"/>
      <w:r>
        <w:rPr>
          <w:b/>
          <w:bCs/>
        </w:rPr>
        <w:t xml:space="preserve"> E. et al., Internet-</w:t>
      </w:r>
      <w:proofErr w:type="spellStart"/>
      <w:r>
        <w:rPr>
          <w:b/>
          <w:bCs/>
        </w:rPr>
        <w:t>based</w:t>
      </w:r>
      <w:proofErr w:type="spellEnd"/>
      <w:r>
        <w:rPr>
          <w:b/>
          <w:bCs/>
        </w:rPr>
        <w:t xml:space="preserve"> cognitive </w:t>
      </w:r>
      <w:proofErr w:type="spellStart"/>
      <w:r>
        <w:rPr>
          <w:b/>
          <w:bCs/>
        </w:rPr>
        <w:t>behavioral</w:t>
      </w:r>
      <w:proofErr w:type="spellEnd"/>
      <w:r>
        <w:rPr>
          <w:b/>
          <w:bCs/>
        </w:rPr>
        <w:t xml:space="preserve"> </w:t>
      </w:r>
      <w:proofErr w:type="spellStart"/>
      <w:r>
        <w:rPr>
          <w:b/>
          <w:bCs/>
        </w:rPr>
        <w:t>therapy</w:t>
      </w:r>
      <w:proofErr w:type="spellEnd"/>
      <w:r>
        <w:rPr>
          <w:b/>
          <w:bCs/>
        </w:rPr>
        <w:t xml:space="preserve"> for </w:t>
      </w:r>
      <w:proofErr w:type="spellStart"/>
      <w:r>
        <w:rPr>
          <w:b/>
          <w:bCs/>
        </w:rPr>
        <w:t>depression</w:t>
      </w:r>
      <w:proofErr w:type="spellEnd"/>
      <w:r>
        <w:rPr>
          <w:b/>
          <w:bCs/>
        </w:rPr>
        <w:t xml:space="preserve">: </w:t>
      </w:r>
      <w:proofErr w:type="spellStart"/>
      <w:r>
        <w:rPr>
          <w:b/>
          <w:bCs/>
        </w:rPr>
        <w:t>individual</w:t>
      </w:r>
      <w:proofErr w:type="spellEnd"/>
      <w:r>
        <w:rPr>
          <w:b/>
          <w:bCs/>
        </w:rPr>
        <w:t xml:space="preserve"> </w:t>
      </w:r>
      <w:proofErr w:type="spellStart"/>
      <w:r>
        <w:rPr>
          <w:b/>
          <w:bCs/>
        </w:rPr>
        <w:t>patient</w:t>
      </w:r>
      <w:proofErr w:type="spellEnd"/>
      <w:r>
        <w:rPr>
          <w:b/>
          <w:bCs/>
        </w:rPr>
        <w:t xml:space="preserve"> data meta-</w:t>
      </w:r>
      <w:proofErr w:type="spellStart"/>
      <w:r>
        <w:rPr>
          <w:b/>
          <w:bCs/>
        </w:rPr>
        <w:t>analysis</w:t>
      </w:r>
      <w:proofErr w:type="spellEnd"/>
      <w:r>
        <w:rPr>
          <w:b/>
          <w:bCs/>
        </w:rPr>
        <w:t xml:space="preserve"> (JAMA </w:t>
      </w:r>
      <w:proofErr w:type="spellStart"/>
      <w:r>
        <w:rPr>
          <w:b/>
          <w:bCs/>
        </w:rPr>
        <w:t>Psychiatry</w:t>
      </w:r>
      <w:proofErr w:type="spellEnd"/>
      <w:r>
        <w:rPr>
          <w:b/>
          <w:bCs/>
        </w:rPr>
        <w:t>, 2021)</w:t>
      </w:r>
      <w:r>
        <w:t xml:space="preserve">  —  https://doi.org/10.1001/jamapsychiatry.2020.4364  —  </w:t>
      </w:r>
      <w:r>
        <w:rPr>
          <w:i/>
          <w:iCs/>
        </w:rPr>
        <w:t>Meta-analisi su dati individuali dei pazienti; documenta l’efficacia della terapia cognitivo-comportamentale erogata via internet per la depressione, con superiorità delle forme guidate. Fonde l’evidenza, da moderata ad alta, su cui poggia il trattamento digitale nella voce 4.4.</w:t>
      </w:r>
    </w:p>
    <w:p w14:paraId="01F574AB" w14:textId="77777777" w:rsidR="007C4598" w:rsidRDefault="007C4598"/>
    <w:p w14:paraId="40897BF1" w14:textId="77777777" w:rsidR="007C4598" w:rsidRDefault="00000000">
      <w:pPr>
        <w:jc w:val="both"/>
      </w:pPr>
      <w:r>
        <w:rPr>
          <w:b/>
          <w:bCs/>
        </w:rPr>
        <w:t xml:space="preserve">8. </w:t>
      </w:r>
      <w:proofErr w:type="spellStart"/>
      <w:r>
        <w:rPr>
          <w:b/>
          <w:bCs/>
        </w:rPr>
        <w:t>Andersson</w:t>
      </w:r>
      <w:proofErr w:type="spellEnd"/>
      <w:r>
        <w:rPr>
          <w:b/>
          <w:bCs/>
        </w:rPr>
        <w:t xml:space="preserve"> G. et al., Internet-</w:t>
      </w:r>
      <w:proofErr w:type="spellStart"/>
      <w:r>
        <w:rPr>
          <w:b/>
          <w:bCs/>
        </w:rPr>
        <w:t>based</w:t>
      </w:r>
      <w:proofErr w:type="spellEnd"/>
      <w:r>
        <w:rPr>
          <w:b/>
          <w:bCs/>
        </w:rPr>
        <w:t xml:space="preserve"> vs. face-to-face cognitive </w:t>
      </w:r>
      <w:proofErr w:type="spellStart"/>
      <w:r>
        <w:rPr>
          <w:b/>
          <w:bCs/>
        </w:rPr>
        <w:t>behaviour</w:t>
      </w:r>
      <w:proofErr w:type="spellEnd"/>
      <w:r>
        <w:rPr>
          <w:b/>
          <w:bCs/>
        </w:rPr>
        <w:t xml:space="preserve"> </w:t>
      </w:r>
      <w:proofErr w:type="spellStart"/>
      <w:r>
        <w:rPr>
          <w:b/>
          <w:bCs/>
        </w:rPr>
        <w:t>therapy</w:t>
      </w:r>
      <w:proofErr w:type="spellEnd"/>
      <w:r>
        <w:rPr>
          <w:b/>
          <w:bCs/>
        </w:rPr>
        <w:t xml:space="preserve"> for </w:t>
      </w:r>
      <w:proofErr w:type="spellStart"/>
      <w:r>
        <w:rPr>
          <w:b/>
          <w:bCs/>
        </w:rPr>
        <w:t>psychiatric</w:t>
      </w:r>
      <w:proofErr w:type="spellEnd"/>
      <w:r>
        <w:rPr>
          <w:b/>
          <w:bCs/>
        </w:rPr>
        <w:t xml:space="preserve"> and </w:t>
      </w:r>
      <w:proofErr w:type="spellStart"/>
      <w:r>
        <w:rPr>
          <w:b/>
          <w:bCs/>
        </w:rPr>
        <w:t>somatic</w:t>
      </w:r>
      <w:proofErr w:type="spellEnd"/>
      <w:r>
        <w:rPr>
          <w:b/>
          <w:bCs/>
        </w:rPr>
        <w:t xml:space="preserve"> </w:t>
      </w:r>
      <w:proofErr w:type="spellStart"/>
      <w:r>
        <w:rPr>
          <w:b/>
          <w:bCs/>
        </w:rPr>
        <w:t>disorders</w:t>
      </w:r>
      <w:proofErr w:type="spellEnd"/>
      <w:r>
        <w:rPr>
          <w:b/>
          <w:bCs/>
        </w:rPr>
        <w:t xml:space="preserve"> (World </w:t>
      </w:r>
      <w:proofErr w:type="spellStart"/>
      <w:r>
        <w:rPr>
          <w:b/>
          <w:bCs/>
        </w:rPr>
        <w:t>Psychiatry</w:t>
      </w:r>
      <w:proofErr w:type="spellEnd"/>
      <w:r>
        <w:rPr>
          <w:b/>
          <w:bCs/>
        </w:rPr>
        <w:t>, 2014)</w:t>
      </w:r>
      <w:r>
        <w:t xml:space="preserve">  —  https://doi.org/10.1002/wps.20151  —  </w:t>
      </w:r>
      <w:r>
        <w:rPr>
          <w:i/>
          <w:iCs/>
        </w:rPr>
        <w:t>Confronto tra terapia cognitivo-comportamentale erogata via internet e in presenza; documenta un’efficacia comparabile per le condizioni appropriate. Corrobora l’integrazione della terapia digitale nel primo livello descritta nella voce 4.4.</w:t>
      </w:r>
    </w:p>
    <w:p w14:paraId="7564B2C1" w14:textId="77777777" w:rsidR="007C4598" w:rsidRDefault="007C4598"/>
    <w:p w14:paraId="332A7DAA" w14:textId="77777777" w:rsidR="007C4598" w:rsidRDefault="00000000">
      <w:pPr>
        <w:jc w:val="both"/>
      </w:pPr>
      <w:r>
        <w:rPr>
          <w:b/>
          <w:bCs/>
        </w:rPr>
        <w:t xml:space="preserve">9. </w:t>
      </w:r>
      <w:proofErr w:type="spellStart"/>
      <w:r>
        <w:rPr>
          <w:b/>
          <w:bCs/>
        </w:rPr>
        <w:t>Torous</w:t>
      </w:r>
      <w:proofErr w:type="spellEnd"/>
      <w:r>
        <w:rPr>
          <w:b/>
          <w:bCs/>
        </w:rPr>
        <w:t xml:space="preserve"> J. et al., The </w:t>
      </w:r>
      <w:proofErr w:type="spellStart"/>
      <w:r>
        <w:rPr>
          <w:b/>
          <w:bCs/>
        </w:rPr>
        <w:t>growing</w:t>
      </w:r>
      <w:proofErr w:type="spellEnd"/>
      <w:r>
        <w:rPr>
          <w:b/>
          <w:bCs/>
        </w:rPr>
        <w:t xml:space="preserve"> </w:t>
      </w:r>
      <w:proofErr w:type="spellStart"/>
      <w:r>
        <w:rPr>
          <w:b/>
          <w:bCs/>
        </w:rPr>
        <w:t>field</w:t>
      </w:r>
      <w:proofErr w:type="spellEnd"/>
      <w:r>
        <w:rPr>
          <w:b/>
          <w:bCs/>
        </w:rPr>
        <w:t xml:space="preserve"> of </w:t>
      </w:r>
      <w:proofErr w:type="spellStart"/>
      <w:r>
        <w:rPr>
          <w:b/>
          <w:bCs/>
        </w:rPr>
        <w:t>digital</w:t>
      </w:r>
      <w:proofErr w:type="spellEnd"/>
      <w:r>
        <w:rPr>
          <w:b/>
          <w:bCs/>
        </w:rPr>
        <w:t xml:space="preserve"> </w:t>
      </w:r>
      <w:proofErr w:type="spellStart"/>
      <w:r>
        <w:rPr>
          <w:b/>
          <w:bCs/>
        </w:rPr>
        <w:t>psychiatry</w:t>
      </w:r>
      <w:proofErr w:type="spellEnd"/>
      <w:r>
        <w:rPr>
          <w:b/>
          <w:bCs/>
        </w:rPr>
        <w:t xml:space="preserve">: </w:t>
      </w:r>
      <w:proofErr w:type="spellStart"/>
      <w:r>
        <w:rPr>
          <w:b/>
          <w:bCs/>
        </w:rPr>
        <w:t>current</w:t>
      </w:r>
      <w:proofErr w:type="spellEnd"/>
      <w:r>
        <w:rPr>
          <w:b/>
          <w:bCs/>
        </w:rPr>
        <w:t xml:space="preserve"> </w:t>
      </w:r>
      <w:proofErr w:type="spellStart"/>
      <w:r>
        <w:rPr>
          <w:b/>
          <w:bCs/>
        </w:rPr>
        <w:t>evidence</w:t>
      </w:r>
      <w:proofErr w:type="spellEnd"/>
      <w:r>
        <w:rPr>
          <w:b/>
          <w:bCs/>
        </w:rPr>
        <w:t xml:space="preserve"> and the future of </w:t>
      </w:r>
      <w:proofErr w:type="spellStart"/>
      <w:r>
        <w:rPr>
          <w:b/>
          <w:bCs/>
        </w:rPr>
        <w:t>apps</w:t>
      </w:r>
      <w:proofErr w:type="spellEnd"/>
      <w:r>
        <w:rPr>
          <w:b/>
          <w:bCs/>
        </w:rPr>
        <w:t xml:space="preserve">, social media, </w:t>
      </w:r>
      <w:proofErr w:type="spellStart"/>
      <w:r>
        <w:rPr>
          <w:b/>
          <w:bCs/>
        </w:rPr>
        <w:t>chatbots</w:t>
      </w:r>
      <w:proofErr w:type="spellEnd"/>
      <w:r>
        <w:rPr>
          <w:b/>
          <w:bCs/>
        </w:rPr>
        <w:t xml:space="preserve">, and </w:t>
      </w:r>
      <w:proofErr w:type="spellStart"/>
      <w:r>
        <w:rPr>
          <w:b/>
          <w:bCs/>
        </w:rPr>
        <w:t>artificial</w:t>
      </w:r>
      <w:proofErr w:type="spellEnd"/>
      <w:r>
        <w:rPr>
          <w:b/>
          <w:bCs/>
        </w:rPr>
        <w:t xml:space="preserve"> intelligence (World </w:t>
      </w:r>
      <w:proofErr w:type="spellStart"/>
      <w:r>
        <w:rPr>
          <w:b/>
          <w:bCs/>
        </w:rPr>
        <w:t>Psychiatry</w:t>
      </w:r>
      <w:proofErr w:type="spellEnd"/>
      <w:r>
        <w:rPr>
          <w:b/>
          <w:bCs/>
        </w:rPr>
        <w:t>, 2021)</w:t>
      </w:r>
      <w:r>
        <w:t xml:space="preserve">  —  https://doi.org/10.1002/wps.20883  —  </w:t>
      </w:r>
      <w:r>
        <w:rPr>
          <w:i/>
          <w:iCs/>
        </w:rPr>
        <w:t>Rassegna critica delle tecnologie digitali in salute mentale, comprese le applicazioni, gli strumenti di monitoraggio e l’Intelligenza Artificiale; segnala potenzialità e limiti di validità e riproducibilità. Sostiene la cautela e la graduazione dell’evidenza per gli impieghi emergenti nella voce 4.4.</w:t>
      </w:r>
    </w:p>
    <w:p w14:paraId="0023BDA6" w14:textId="77777777" w:rsidR="007C4598" w:rsidRDefault="007C4598"/>
    <w:p w14:paraId="762F4971" w14:textId="77777777" w:rsidR="007C4598" w:rsidRDefault="00000000">
      <w:pPr>
        <w:jc w:val="both"/>
      </w:pPr>
      <w:r>
        <w:rPr>
          <w:b/>
          <w:bCs/>
        </w:rPr>
        <w:t>10. Regolamento (UE) 2017/745 sui dispositivi medici (</w:t>
      </w:r>
      <w:proofErr w:type="spellStart"/>
      <w:r>
        <w:rPr>
          <w:b/>
          <w:bCs/>
        </w:rPr>
        <w:t>Medical</w:t>
      </w:r>
      <w:proofErr w:type="spellEnd"/>
      <w:r>
        <w:rPr>
          <w:b/>
          <w:bCs/>
        </w:rPr>
        <w:t xml:space="preserve"> Device </w:t>
      </w:r>
      <w:proofErr w:type="spellStart"/>
      <w:r>
        <w:rPr>
          <w:b/>
          <w:bCs/>
        </w:rPr>
        <w:t>Regulation</w:t>
      </w:r>
      <w:proofErr w:type="spellEnd"/>
      <w:r>
        <w:rPr>
          <w:b/>
          <w:bCs/>
        </w:rPr>
        <w:t>)</w:t>
      </w:r>
      <w:r>
        <w:t xml:space="preserve">  —  https://eur-lex.europa.eu/eli/reg/2017/745/oj  —  </w:t>
      </w:r>
      <w:r>
        <w:rPr>
          <w:i/>
          <w:iCs/>
        </w:rPr>
        <w:t xml:space="preserve">Disciplina la classificazione, la valutazione di conformità e la sorveglianza dei dispositivi medici, compreso il software con destinazione medica. Fondamento </w:t>
      </w:r>
      <w:proofErr w:type="spellStart"/>
      <w:r>
        <w:rPr>
          <w:i/>
          <w:iCs/>
        </w:rPr>
        <w:t>regolatorio</w:t>
      </w:r>
      <w:proofErr w:type="spellEnd"/>
      <w:r>
        <w:rPr>
          <w:i/>
          <w:iCs/>
        </w:rPr>
        <w:t xml:space="preserve"> dei dispositivi terapeutici digitali nella voce 4.5.</w:t>
      </w:r>
    </w:p>
    <w:p w14:paraId="0F21607A" w14:textId="77777777" w:rsidR="007C4598" w:rsidRDefault="007C4598"/>
    <w:p w14:paraId="0E7EE3BE" w14:textId="77777777" w:rsidR="007C4598" w:rsidRDefault="00000000">
      <w:pPr>
        <w:jc w:val="both"/>
      </w:pPr>
      <w:r>
        <w:rPr>
          <w:b/>
          <w:bCs/>
        </w:rPr>
        <w:t>11. Regolamento (UE) 2024/1689 sull’Intelligenza Artificiale (</w:t>
      </w:r>
      <w:proofErr w:type="spellStart"/>
      <w:r>
        <w:rPr>
          <w:b/>
          <w:bCs/>
        </w:rPr>
        <w:t>Artificial</w:t>
      </w:r>
      <w:proofErr w:type="spellEnd"/>
      <w:r>
        <w:rPr>
          <w:b/>
          <w:bCs/>
        </w:rPr>
        <w:t xml:space="preserve"> Intelligence </w:t>
      </w:r>
      <w:proofErr w:type="spellStart"/>
      <w:r>
        <w:rPr>
          <w:b/>
          <w:bCs/>
        </w:rPr>
        <w:t>Act</w:t>
      </w:r>
      <w:proofErr w:type="spellEnd"/>
      <w:r>
        <w:rPr>
          <w:b/>
          <w:bCs/>
        </w:rPr>
        <w:t>)</w:t>
      </w:r>
      <w:r>
        <w:t xml:space="preserve">  —  https://eur-lex.europa.eu/eli/reg/2024/1689/oj  —  </w:t>
      </w:r>
      <w:r>
        <w:rPr>
          <w:i/>
          <w:iCs/>
        </w:rPr>
        <w:t xml:space="preserve">Quadro armonizzato che classifica i sistemi di Intelligenza Artificiale per livello di rischio e sottopone i sistemi ad alto rischio (compresi numerosi impieghi sanitari) a requisiti di gestione del rischio, qualità dei dati, trasparenza, sorveglianza umana e robustezza. Fondamento della cornice di rischio (voce 4.5) e della </w:t>
      </w:r>
      <w:proofErr w:type="spellStart"/>
      <w:r>
        <w:rPr>
          <w:i/>
          <w:iCs/>
        </w:rPr>
        <w:t>governance</w:t>
      </w:r>
      <w:proofErr w:type="spellEnd"/>
      <w:r>
        <w:rPr>
          <w:i/>
          <w:iCs/>
        </w:rPr>
        <w:t xml:space="preserve"> prudenziale (voce 4.6).</w:t>
      </w:r>
    </w:p>
    <w:p w14:paraId="34F3A513" w14:textId="77777777" w:rsidR="007C4598" w:rsidRDefault="007C4598"/>
    <w:p w14:paraId="02109476" w14:textId="77777777" w:rsidR="007C4598" w:rsidRDefault="00000000">
      <w:pPr>
        <w:jc w:val="both"/>
      </w:pPr>
      <w:r>
        <w:rPr>
          <w:b/>
          <w:bCs/>
        </w:rPr>
        <w:t xml:space="preserve">12. Modello tedesco delle applicazioni sanitarie digitali (Digitale </w:t>
      </w:r>
      <w:proofErr w:type="spellStart"/>
      <w:r>
        <w:rPr>
          <w:b/>
          <w:bCs/>
        </w:rPr>
        <w:t>Gesundheitsanwendungen</w:t>
      </w:r>
      <w:proofErr w:type="spellEnd"/>
      <w:r>
        <w:rPr>
          <w:b/>
          <w:bCs/>
        </w:rPr>
        <w:t xml:space="preserve">, </w:t>
      </w:r>
      <w:proofErr w:type="spellStart"/>
      <w:r>
        <w:rPr>
          <w:b/>
          <w:bCs/>
        </w:rPr>
        <w:t>DiGA</w:t>
      </w:r>
      <w:proofErr w:type="spellEnd"/>
      <w:r>
        <w:rPr>
          <w:b/>
          <w:bCs/>
        </w:rPr>
        <w:t xml:space="preserve"> — </w:t>
      </w:r>
      <w:proofErr w:type="spellStart"/>
      <w:r>
        <w:rPr>
          <w:b/>
          <w:bCs/>
        </w:rPr>
        <w:t>Bundesinstitut</w:t>
      </w:r>
      <w:proofErr w:type="spellEnd"/>
      <w:r>
        <w:rPr>
          <w:b/>
          <w:bCs/>
        </w:rPr>
        <w:t xml:space="preserve"> </w:t>
      </w:r>
      <w:proofErr w:type="spellStart"/>
      <w:r>
        <w:rPr>
          <w:b/>
          <w:bCs/>
        </w:rPr>
        <w:t>für</w:t>
      </w:r>
      <w:proofErr w:type="spellEnd"/>
      <w:r>
        <w:rPr>
          <w:b/>
          <w:bCs/>
        </w:rPr>
        <w:t xml:space="preserve"> </w:t>
      </w:r>
      <w:proofErr w:type="spellStart"/>
      <w:r>
        <w:rPr>
          <w:b/>
          <w:bCs/>
        </w:rPr>
        <w:t>Arzneimittel</w:t>
      </w:r>
      <w:proofErr w:type="spellEnd"/>
      <w:r>
        <w:rPr>
          <w:b/>
          <w:bCs/>
        </w:rPr>
        <w:t xml:space="preserve"> und </w:t>
      </w:r>
      <w:proofErr w:type="spellStart"/>
      <w:r>
        <w:rPr>
          <w:b/>
          <w:bCs/>
        </w:rPr>
        <w:t>Medizinprodukte</w:t>
      </w:r>
      <w:proofErr w:type="spellEnd"/>
      <w:r>
        <w:rPr>
          <w:b/>
          <w:bCs/>
        </w:rPr>
        <w:t>)</w:t>
      </w:r>
      <w:r>
        <w:t xml:space="preserve">  —  https://www.bfarm.de/EN/Medical-devices/Tasks/DiGA-and-DiPA/Digital-Health-Applications/_node.html  —  </w:t>
      </w:r>
      <w:r>
        <w:rPr>
          <w:i/>
          <w:iCs/>
        </w:rPr>
        <w:t>Procedura di valutazione che ammette le applicazioni sanitarie digitali a un elenco di prodotti prescrivibili e rimborsabili, in via definitiva o provvisoria. Principale modello europeo di riconoscimento e rimborso dei dispositivi terapeutici digitali, richiamato nella voce 4.5.</w:t>
      </w:r>
    </w:p>
    <w:p w14:paraId="511C1C14" w14:textId="77777777" w:rsidR="007C4598" w:rsidRDefault="007C4598"/>
    <w:p w14:paraId="3E6E015C" w14:textId="77777777" w:rsidR="007C4598" w:rsidRDefault="00000000">
      <w:pPr>
        <w:jc w:val="both"/>
      </w:pPr>
      <w:r>
        <w:rPr>
          <w:b/>
          <w:bCs/>
        </w:rPr>
        <w:t xml:space="preserve">13. Organizzazione mondiale della sanità, </w:t>
      </w:r>
      <w:proofErr w:type="spellStart"/>
      <w:r>
        <w:rPr>
          <w:b/>
          <w:bCs/>
        </w:rPr>
        <w:t>Ethics</w:t>
      </w:r>
      <w:proofErr w:type="spellEnd"/>
      <w:r>
        <w:rPr>
          <w:b/>
          <w:bCs/>
        </w:rPr>
        <w:t xml:space="preserve"> and </w:t>
      </w:r>
      <w:proofErr w:type="spellStart"/>
      <w:r>
        <w:rPr>
          <w:b/>
          <w:bCs/>
        </w:rPr>
        <w:t>governance</w:t>
      </w:r>
      <w:proofErr w:type="spellEnd"/>
      <w:r>
        <w:rPr>
          <w:b/>
          <w:bCs/>
        </w:rPr>
        <w:t xml:space="preserve"> of </w:t>
      </w:r>
      <w:proofErr w:type="spellStart"/>
      <w:r>
        <w:rPr>
          <w:b/>
          <w:bCs/>
        </w:rPr>
        <w:t>artificial</w:t>
      </w:r>
      <w:proofErr w:type="spellEnd"/>
      <w:r>
        <w:rPr>
          <w:b/>
          <w:bCs/>
        </w:rPr>
        <w:t xml:space="preserve"> intelligence for </w:t>
      </w:r>
      <w:proofErr w:type="spellStart"/>
      <w:r>
        <w:rPr>
          <w:b/>
          <w:bCs/>
        </w:rPr>
        <w:t>health</w:t>
      </w:r>
      <w:proofErr w:type="spellEnd"/>
      <w:r>
        <w:rPr>
          <w:b/>
          <w:bCs/>
        </w:rPr>
        <w:t xml:space="preserve"> (2021)</w:t>
      </w:r>
      <w:r>
        <w:t xml:space="preserve">  —  https://www.who.int/publications/i/item/9789240029200  —  </w:t>
      </w:r>
      <w:r>
        <w:rPr>
          <w:i/>
          <w:iCs/>
        </w:rPr>
        <w:t xml:space="preserve">Definisce sei principi per l’impiego etico dell’Intelligenza Artificiale in sanità — autonomia umana, benessere e sicurezza, trasparenza, responsabilità, equità, sostenibilità. Orienta la </w:t>
      </w:r>
      <w:proofErr w:type="spellStart"/>
      <w:r>
        <w:rPr>
          <w:i/>
          <w:iCs/>
        </w:rPr>
        <w:t>governance</w:t>
      </w:r>
      <w:proofErr w:type="spellEnd"/>
      <w:r>
        <w:rPr>
          <w:i/>
          <w:iCs/>
        </w:rPr>
        <w:t xml:space="preserve"> prudenziale nei suoi quattro pilastri (voce 4.6).</w:t>
      </w:r>
    </w:p>
    <w:p w14:paraId="1D370BF4" w14:textId="77777777" w:rsidR="007C4598" w:rsidRDefault="007C4598"/>
    <w:p w14:paraId="63D247D6" w14:textId="77777777" w:rsidR="007C4598" w:rsidRDefault="00000000">
      <w:pPr>
        <w:jc w:val="both"/>
      </w:pPr>
      <w:r>
        <w:rPr>
          <w:b/>
          <w:bCs/>
        </w:rPr>
        <w:t>14. Regolamento (UE) 2016/679 sulla protezione dei dati personali (GDPR)</w:t>
      </w:r>
      <w:r>
        <w:t xml:space="preserve">  —  https://eur-lex.europa.eu/eli/reg/2016/679/oj  —  </w:t>
      </w:r>
      <w:r>
        <w:rPr>
          <w:i/>
          <w:iCs/>
        </w:rPr>
        <w:t>Qualifica i dati relativi alla salute come categoria particolare soggetta a tutela rafforzata e impone principi di liceità, minimizzazione, esattezza, limitazione della conservazione e riservatezza. Fondamento giuridico del trattamento dei dati sanitari su cui operano gli strumenti della leva digitale (voce 4.6).</w:t>
      </w:r>
    </w:p>
    <w:p w14:paraId="151ABF6D" w14:textId="77777777" w:rsidR="007C4598" w:rsidRDefault="007C4598"/>
    <w:p w14:paraId="3E2E748A" w14:textId="77777777" w:rsidR="007C4598" w:rsidRDefault="00000000">
      <w:pPr>
        <w:jc w:val="both"/>
      </w:pPr>
      <w:r>
        <w:rPr>
          <w:b/>
          <w:bCs/>
        </w:rPr>
        <w:t>15. Legge regionale della Puglia 11/2023 (istituzione del Servizio di Psicologia di Base)</w:t>
      </w:r>
      <w:r>
        <w:t xml:space="preserve">  —  https://www.regione.puglia.it  —  </w:t>
      </w:r>
      <w:r>
        <w:rPr>
          <w:i/>
          <w:iCs/>
        </w:rPr>
        <w:t>Norma regionale che istituisce il Servizio di Psicologia di Base; ne definisce la dotazione attuale (uno psicologo per distretto) e lo stanziamento. Riferimento per la distanza tra dotazione e fabbisogno e per gli scenari di copertura (voce 4.7).</w:t>
      </w:r>
    </w:p>
    <w:p w14:paraId="1739B7F7" w14:textId="77777777" w:rsidR="007C4598" w:rsidRDefault="007C4598"/>
    <w:p w14:paraId="1C532C70" w14:textId="77777777" w:rsidR="007C4598" w:rsidRDefault="00000000">
      <w:pPr>
        <w:jc w:val="both"/>
      </w:pPr>
      <w:r>
        <w:rPr>
          <w:b/>
          <w:bCs/>
        </w:rPr>
        <w:t>16. Strumenti di triage, supporto alla decisione e modelli predittivi basati su Intelligenza Artificiale in salute mentale (letteratura in evoluzione)</w:t>
      </w:r>
      <w:r>
        <w:t xml:space="preserve">  —  https://www.who.int/teams/digital-health-and-innovation  —  </w:t>
      </w:r>
      <w:r>
        <w:rPr>
          <w:i/>
          <w:iCs/>
        </w:rPr>
        <w:t>Letteratura in espansione ma ancora preliminare sugli strumenti di triage e sui modelli predittivi del rischio; prevalenza di studi osservazionali e di validazione su coorti limitate, con rischio di distorsione e scarsa replicazione. Fonda la classificazione di tali impieghi come emergenti, a evidenza da bassa a molto bassa, e la loro ammissione solo in forma sperimentale e sorvegliata (voce 4.4).</w:t>
      </w:r>
    </w:p>
    <w:p w14:paraId="3DDC96E2" w14:textId="77777777" w:rsidR="007C4598" w:rsidRDefault="007C4598"/>
    <w:p w14:paraId="52953FE8" w14:textId="77777777" w:rsidR="007C4598" w:rsidRDefault="00000000">
      <w:pPr>
        <w:jc w:val="both"/>
      </w:pPr>
      <w:r>
        <w:t>Pagina</w:t>
      </w:r>
    </w:p>
    <w:p w14:paraId="42C17F06" w14:textId="77777777" w:rsidR="007C4598" w:rsidRDefault="007C4598"/>
    <w:p w14:paraId="1432D78F" w14:textId="77777777" w:rsidR="007C4598" w:rsidRDefault="00000000">
      <w:pPr>
        <w:jc w:val="both"/>
      </w:pPr>
      <w:r>
        <w:rPr>
          <w:color w:val="555555"/>
          <w:sz w:val="16"/>
          <w:szCs w:val="16"/>
          <w:vertAlign w:val="superscript"/>
        </w:rPr>
        <w:t>[1]</w:t>
      </w:r>
      <w:r>
        <w:t xml:space="preserve">: I modelli internazionali di integrazione della salute mentale nelle cure primarie (collaborative care, </w:t>
      </w:r>
      <w:proofErr w:type="spellStart"/>
      <w:r>
        <w:t>integrated</w:t>
      </w:r>
      <w:proofErr w:type="spellEnd"/>
      <w:r>
        <w:t xml:space="preserve"> care, </w:t>
      </w:r>
      <w:proofErr w:type="spellStart"/>
      <w:r>
        <w:t>stepped</w:t>
      </w:r>
      <w:proofErr w:type="spellEnd"/>
      <w:r>
        <w:t xml:space="preserve"> care, </w:t>
      </w:r>
      <w:proofErr w:type="spellStart"/>
      <w:r>
        <w:t>primary</w:t>
      </w:r>
      <w:proofErr w:type="spellEnd"/>
      <w:r>
        <w:t xml:space="preserve"> care </w:t>
      </w:r>
      <w:proofErr w:type="spellStart"/>
      <w:r>
        <w:t>mental</w:t>
      </w:r>
      <w:proofErr w:type="spellEnd"/>
      <w:r>
        <w:t xml:space="preserve"> </w:t>
      </w:r>
      <w:proofErr w:type="spellStart"/>
      <w:r>
        <w:t>health</w:t>
      </w:r>
      <w:proofErr w:type="spellEnd"/>
      <w:r>
        <w:t xml:space="preserve">) condividono alcuni principi: collocazione dello psicologo negli studi di medicina generale o in strutture territoriali accessibili; focalizzazione sui disturbi comuni lievi-moderati con triage strutturato che indirizza i casi gravi allo specialista; interventi brevi, manualizzati e orientati agli esiti; monitoraggio sistematico con questionari standardizzati </w:t>
      </w:r>
      <w:proofErr w:type="spellStart"/>
      <w:r>
        <w:t>pre</w:t>
      </w:r>
      <w:proofErr w:type="spellEnd"/>
      <w:r>
        <w:t xml:space="preserve"> e post; forte integrazione con la medicina generale; orientamento alla prevenzione secondaria mediante intercettazione precoce, prima della cronicizzazione.</w:t>
      </w:r>
    </w:p>
    <w:p w14:paraId="7D843C46" w14:textId="77777777" w:rsidR="007C4598" w:rsidRDefault="00000000">
      <w:pPr>
        <w:jc w:val="both"/>
      </w:pPr>
      <w:r>
        <w:rPr>
          <w:color w:val="555555"/>
          <w:sz w:val="16"/>
          <w:szCs w:val="16"/>
          <w:vertAlign w:val="superscript"/>
        </w:rPr>
        <w:t>[2]</w:t>
      </w:r>
      <w:r>
        <w:t>: Programma inglese di terapie psicologiche (</w:t>
      </w:r>
      <w:proofErr w:type="spellStart"/>
      <w:r>
        <w:t>Improving</w:t>
      </w:r>
      <w:proofErr w:type="spellEnd"/>
      <w:r>
        <w:t xml:space="preserve"> Access to </w:t>
      </w:r>
      <w:proofErr w:type="spellStart"/>
      <w:r>
        <w:t>Psychological</w:t>
      </w:r>
      <w:proofErr w:type="spellEnd"/>
      <w:r>
        <w:t xml:space="preserve"> </w:t>
      </w:r>
      <w:proofErr w:type="spellStart"/>
      <w:r>
        <w:t>Therapies</w:t>
      </w:r>
      <w:proofErr w:type="spellEnd"/>
      <w:r>
        <w:t xml:space="preserve">, dal 2008, oggi NHS </w:t>
      </w:r>
      <w:proofErr w:type="spellStart"/>
      <w:r>
        <w:t>Talking</w:t>
      </w:r>
      <w:proofErr w:type="spellEnd"/>
      <w:r>
        <w:t xml:space="preserve"> </w:t>
      </w:r>
      <w:proofErr w:type="spellStart"/>
      <w:r>
        <w:t>Therapies</w:t>
      </w:r>
      <w:proofErr w:type="spellEnd"/>
      <w:r>
        <w:t>): modello di cura a intensità crescente su due livelli — interventi a bassa intensità, di quattro-sei sedute, fondati su principi cognitivo-comportamentali ed erogati anche come auto-aiuto guidato, e interventi ad alta intensità, terapie strutturate di otto-venti sedute per i quadri più complessi o non responsivi. Il programma associa al modello un monitoraggio sistematico degli esiti seduta per seduta, che ne ha consentito la valutazione su larga scala.</w:t>
      </w:r>
    </w:p>
    <w:p w14:paraId="55093387" w14:textId="77777777" w:rsidR="007C4598" w:rsidRDefault="00000000">
      <w:pPr>
        <w:jc w:val="both"/>
      </w:pPr>
      <w:r>
        <w:rPr>
          <w:color w:val="555555"/>
          <w:sz w:val="16"/>
          <w:szCs w:val="16"/>
          <w:vertAlign w:val="superscript"/>
        </w:rPr>
        <w:t>[3]</w:t>
      </w:r>
      <w:r>
        <w:t xml:space="preserve">: Modello di assistenza collaborativa (Collaborative Care Model, sviluppato presso l’Università di Washington, validato da oltre novanta studi randomizzati controllati): équipe integrata composta dal medico di base, da un responsabile dell’assistenza con formazione in salute mentale e da uno psichiatra consulente per i casi complessi; screening sistematico con PHQ-9 e GAD-7; </w:t>
      </w:r>
      <w:proofErr w:type="spellStart"/>
      <w:r>
        <w:t>psicoeducazione</w:t>
      </w:r>
      <w:proofErr w:type="spellEnd"/>
      <w:r>
        <w:t xml:space="preserve">, interventi comportamentali brevi e farmacoterapia ove appropriata; monitoraggio degli esiti con adattamento del piano di cura. La meta-analisi di </w:t>
      </w:r>
      <w:proofErr w:type="spellStart"/>
      <w:r>
        <w:t>Woltmann</w:t>
      </w:r>
      <w:proofErr w:type="spellEnd"/>
      <w:r>
        <w:t xml:space="preserve"> e colleghi (American Journal of </w:t>
      </w:r>
      <w:proofErr w:type="spellStart"/>
      <w:r>
        <w:t>Psychiatry</w:t>
      </w:r>
      <w:proofErr w:type="spellEnd"/>
      <w:r>
        <w:t>, 2012), su cinquantasette studi, documenta un miglioramento dei sintomi depressivi con effetto medio dell’ordine di 0,28 deviazioni standard.</w:t>
      </w:r>
    </w:p>
    <w:p w14:paraId="5D0AA3AC" w14:textId="77777777" w:rsidR="007C4598" w:rsidRDefault="00000000">
      <w:pPr>
        <w:jc w:val="both"/>
      </w:pPr>
      <w:r>
        <w:rPr>
          <w:color w:val="555555"/>
          <w:sz w:val="16"/>
          <w:szCs w:val="16"/>
          <w:vertAlign w:val="superscript"/>
        </w:rPr>
        <w:t>[4]</w:t>
      </w:r>
      <w:r>
        <w:t xml:space="preserve">: La revisione </w:t>
      </w:r>
      <w:proofErr w:type="spellStart"/>
      <w:r>
        <w:t>Cochrane</w:t>
      </w:r>
      <w:proofErr w:type="spellEnd"/>
      <w:r>
        <w:t xml:space="preserve"> di </w:t>
      </w:r>
      <w:proofErr w:type="spellStart"/>
      <w:r>
        <w:t>Archer</w:t>
      </w:r>
      <w:proofErr w:type="spellEnd"/>
      <w:r>
        <w:t xml:space="preserve"> e colleghi (Collaborative care for </w:t>
      </w:r>
      <w:proofErr w:type="spellStart"/>
      <w:r>
        <w:t>people</w:t>
      </w:r>
      <w:proofErr w:type="spellEnd"/>
      <w:r>
        <w:t xml:space="preserve"> with </w:t>
      </w:r>
      <w:proofErr w:type="spellStart"/>
      <w:r>
        <w:t>depression</w:t>
      </w:r>
      <w:proofErr w:type="spellEnd"/>
      <w:r>
        <w:t xml:space="preserve"> and </w:t>
      </w:r>
      <w:proofErr w:type="spellStart"/>
      <w:r>
        <w:t>anxiety</w:t>
      </w:r>
      <w:proofErr w:type="spellEnd"/>
      <w:r>
        <w:t>, 2012), su settantanove studi randomizzati e oltre ventiquattromila partecipanti, documenta un miglioramento significativo dei sintomi depressivi e ansiosi a breve e medio termine rispetto all’assistenza ordinaria, con benefici che si estendono fino a due anni. È la base di evidenza più ampia a sostegno del principio della collaborazione strutturata tra cure primarie e competenza psicologica.</w:t>
      </w:r>
    </w:p>
    <w:p w14:paraId="7C35F152" w14:textId="77777777" w:rsidR="007C4598" w:rsidRDefault="00000000">
      <w:pPr>
        <w:jc w:val="both"/>
      </w:pPr>
      <w:r>
        <w:rPr>
          <w:color w:val="555555"/>
          <w:sz w:val="16"/>
          <w:szCs w:val="16"/>
          <w:vertAlign w:val="superscript"/>
        </w:rPr>
        <w:t>[5]</w:t>
      </w:r>
      <w:r>
        <w:t xml:space="preserve">: Modello olandese che integra gli psicologi nelle cure primarie (POH-GGZ, </w:t>
      </w:r>
      <w:proofErr w:type="spellStart"/>
      <w:r>
        <w:t>Praktijkondersteuner</w:t>
      </w:r>
      <w:proofErr w:type="spellEnd"/>
      <w:r>
        <w:t xml:space="preserve"> </w:t>
      </w:r>
      <w:proofErr w:type="spellStart"/>
      <w:r>
        <w:t>Huisarts</w:t>
      </w:r>
      <w:proofErr w:type="spellEnd"/>
      <w:r>
        <w:t xml:space="preserve"> </w:t>
      </w:r>
      <w:proofErr w:type="spellStart"/>
      <w:r>
        <w:t>Geestelijke</w:t>
      </w:r>
      <w:proofErr w:type="spellEnd"/>
      <w:r>
        <w:t xml:space="preserve"> </w:t>
      </w:r>
      <w:proofErr w:type="spellStart"/>
      <w:r>
        <w:t>Gezondheidszorg</w:t>
      </w:r>
      <w:proofErr w:type="spellEnd"/>
      <w:r>
        <w:t>): prevede tipicamente cinque-otto sedute di intervento psicologico breve fondato sull’evidenza presso lo studio del medico di base, con invio ai servizi specialistici solo per i quadri più complessi, dell’ordine del quindici per cento dei casi trattati nelle cure primarie. È il riferimento per la quota di domanda che, in un sistema funzionante, transita al secondo livello.</w:t>
      </w:r>
    </w:p>
    <w:p w14:paraId="3C77CFF3" w14:textId="77777777" w:rsidR="007C4598" w:rsidRDefault="00000000">
      <w:pPr>
        <w:jc w:val="both"/>
      </w:pPr>
      <w:r>
        <w:rPr>
          <w:color w:val="555555"/>
          <w:sz w:val="16"/>
          <w:szCs w:val="16"/>
          <w:vertAlign w:val="superscript"/>
        </w:rPr>
        <w:t>[6]</w:t>
      </w:r>
      <w:r>
        <w:t>: Sistema GRADE (</w:t>
      </w:r>
      <w:proofErr w:type="spellStart"/>
      <w:r>
        <w:t>Grading</w:t>
      </w:r>
      <w:proofErr w:type="spellEnd"/>
      <w:r>
        <w:t xml:space="preserve"> of </w:t>
      </w:r>
      <w:proofErr w:type="spellStart"/>
      <w:r>
        <w:t>Recommendations</w:t>
      </w:r>
      <w:proofErr w:type="spellEnd"/>
      <w:r>
        <w:t xml:space="preserve"> </w:t>
      </w:r>
      <w:proofErr w:type="spellStart"/>
      <w:r>
        <w:t>Assessment</w:t>
      </w:r>
      <w:proofErr w:type="spellEnd"/>
      <w:r>
        <w:t xml:space="preserve">, Development and Evaluation; </w:t>
      </w:r>
      <w:proofErr w:type="spellStart"/>
      <w:r>
        <w:t>Guyatt</w:t>
      </w:r>
      <w:proofErr w:type="spellEnd"/>
      <w:r>
        <w:t xml:space="preserve"> e colleghi, </w:t>
      </w:r>
      <w:proofErr w:type="spellStart"/>
      <w:r>
        <w:t>British</w:t>
      </w:r>
      <w:proofErr w:type="spellEnd"/>
      <w:r>
        <w:t xml:space="preserve"> </w:t>
      </w:r>
      <w:proofErr w:type="spellStart"/>
      <w:r>
        <w:t>Medical</w:t>
      </w:r>
      <w:proofErr w:type="spellEnd"/>
      <w:r>
        <w:t xml:space="preserve"> Journal, 2008): metodo per la valutazione della qualità delle prove e della forza delle raccomandazioni, che classifica l’evidenza in quattro livelli — alta, moderata, bassa, molto bassa — in funzione del disegno degli studi, del rischio di distorsione, della coerenza, della precisione e dell’applicabilità dei risultati. L’opera lo applica simmetricamente all’evidenza clinica e a quella relativa agli strumenti digitali e all’Intelligenza Artificiale.</w:t>
      </w:r>
    </w:p>
    <w:p w14:paraId="5B716C2D" w14:textId="77777777" w:rsidR="007C4598" w:rsidRDefault="00000000">
      <w:pPr>
        <w:jc w:val="both"/>
      </w:pPr>
      <w:r>
        <w:rPr>
          <w:color w:val="555555"/>
          <w:sz w:val="16"/>
          <w:szCs w:val="16"/>
          <w:vertAlign w:val="superscript"/>
        </w:rPr>
        <w:t>[7]</w:t>
      </w:r>
      <w:r>
        <w:t>: Gli strumenti di triage e di supporto alla decisione basati su Intelligenza Artificiale in salute mentale sono oggetto di una letteratura in espansione ma ancora preliminare: la maggior parte degli studi è di tipo osservazionale o di validazione su coorti limitate, con scarsa replicazione esterna e rischio di distorsione legato alla composizione dei dati di addestramento. La qualità dell’evidenza, secondo i criteri GRADE, è allo stato da bassa a molto bassa, e l’adozione richiede validazione locale, monitoraggio degli esiti e supervisione clinica costante.</w:t>
      </w:r>
    </w:p>
    <w:p w14:paraId="294FDE74" w14:textId="77777777" w:rsidR="007C4598" w:rsidRDefault="00000000">
      <w:pPr>
        <w:jc w:val="both"/>
      </w:pPr>
      <w:r>
        <w:rPr>
          <w:color w:val="555555"/>
          <w:sz w:val="16"/>
          <w:szCs w:val="16"/>
          <w:vertAlign w:val="superscript"/>
        </w:rPr>
        <w:t>[8]</w:t>
      </w:r>
      <w:r>
        <w:t xml:space="preserve">: I modelli predittivi del rischio in salute mentale — segnatamente i modelli di stima del rischio di ricaduta, di crisi o di esito sfavorevole — sono oggetto di ricerca attiva ma non dispongono, allo stato, di una base di evidenza che ne sostenga l’impiego routinario: gli studi soffrono frequentemente di </w:t>
      </w:r>
      <w:proofErr w:type="spellStart"/>
      <w:r>
        <w:t>sovradattamento</w:t>
      </w:r>
      <w:proofErr w:type="spellEnd"/>
      <w:r>
        <w:t xml:space="preserve"> ai dati di sviluppo, di scarsa validazione esterna e di prestazione instabile su popolazioni diverse da quelle di addestramento. La qualità dell’evidenza, secondo i criteri GRADE, è da bassa a molto bassa. L’impiego, ove se ne valuti l’utilità, deve essere sperimentale, validato localmente e soggetto a supervisione clinica.</w:t>
      </w:r>
    </w:p>
    <w:p w14:paraId="7815D563" w14:textId="77777777" w:rsidR="007C4598" w:rsidRDefault="00000000">
      <w:pPr>
        <w:jc w:val="both"/>
      </w:pPr>
      <w:r>
        <w:rPr>
          <w:color w:val="555555"/>
          <w:sz w:val="16"/>
          <w:szCs w:val="16"/>
          <w:vertAlign w:val="superscript"/>
        </w:rPr>
        <w:t>[9]</w:t>
      </w:r>
      <w:r>
        <w:t>: Terapia cognitivo-comportamentale erogata via internet (internet-</w:t>
      </w:r>
      <w:proofErr w:type="spellStart"/>
      <w:r>
        <w:t>delivered</w:t>
      </w:r>
      <w:proofErr w:type="spellEnd"/>
      <w:r>
        <w:t xml:space="preserve"> cognitive </w:t>
      </w:r>
      <w:proofErr w:type="spellStart"/>
      <w:r>
        <w:t>behavioural</w:t>
      </w:r>
      <w:proofErr w:type="spellEnd"/>
      <w:r>
        <w:t xml:space="preserve"> </w:t>
      </w:r>
      <w:proofErr w:type="spellStart"/>
      <w:r>
        <w:t>therapy</w:t>
      </w:r>
      <w:proofErr w:type="spellEnd"/>
      <w:r>
        <w:t xml:space="preserve">): una meta-analisi su dati individuali dei pazienti, condotta da </w:t>
      </w:r>
      <w:proofErr w:type="spellStart"/>
      <w:r>
        <w:t>Karyotaki</w:t>
      </w:r>
      <w:proofErr w:type="spellEnd"/>
      <w:r>
        <w:t xml:space="preserve"> e colleghi (JAMA </w:t>
      </w:r>
      <w:proofErr w:type="spellStart"/>
      <w:r>
        <w:t>Psychiatry</w:t>
      </w:r>
      <w:proofErr w:type="spellEnd"/>
      <w:r>
        <w:t xml:space="preserve">, 2021), documenta l’efficacia degli interventi guidati per la depressione, con effetti superiori alle condizioni di controllo e clinicamente rilevanti, specie nelle forme con supporto di un terapeuta. La letteratura complessiva — comprese le revisioni di </w:t>
      </w:r>
      <w:proofErr w:type="spellStart"/>
      <w:r>
        <w:t>Andersson</w:t>
      </w:r>
      <w:proofErr w:type="spellEnd"/>
      <w:r>
        <w:t xml:space="preserve"> e colleghi — colloca l’evidenza, secondo i criteri GRADE, su un livello da moderato ad alto per i disturbi comuni lievi-moderati, con la precisazione che gli interventi guidati superano quelli non guidati e che l’aderenza è una determinante critica dell’esito.</w:t>
      </w:r>
    </w:p>
    <w:p w14:paraId="78A84194" w14:textId="77777777" w:rsidR="007C4598" w:rsidRDefault="00000000">
      <w:pPr>
        <w:jc w:val="both"/>
      </w:pPr>
      <w:r>
        <w:rPr>
          <w:color w:val="555555"/>
          <w:sz w:val="16"/>
          <w:szCs w:val="16"/>
          <w:vertAlign w:val="superscript"/>
        </w:rPr>
        <w:t>[10]</w:t>
      </w:r>
      <w:r>
        <w:t>: Il monitoraggio remoto e la cosiddetta caratterizzazione digitale del comportamento (</w:t>
      </w:r>
      <w:proofErr w:type="spellStart"/>
      <w:r>
        <w:t>digital</w:t>
      </w:r>
      <w:proofErr w:type="spellEnd"/>
      <w:r>
        <w:t xml:space="preserve"> </w:t>
      </w:r>
      <w:proofErr w:type="spellStart"/>
      <w:r>
        <w:t>phenotyping</w:t>
      </w:r>
      <w:proofErr w:type="spellEnd"/>
      <w:r>
        <w:t xml:space="preserve">) — la rilevazione continua di indicatori comportamentali mediante dispositivi e applicazioni — costituiscono un campo di ricerca attivo ma immaturo: la letteratura (tra cui i contributi di </w:t>
      </w:r>
      <w:proofErr w:type="spellStart"/>
      <w:r>
        <w:t>Torous</w:t>
      </w:r>
      <w:proofErr w:type="spellEnd"/>
      <w:r>
        <w:t xml:space="preserve"> e colleghi) segnala potenzialità nella rilevazione precoce delle variazioni del quadro, ma anche limiti rilevanti di validità, di riproducibilità e di tutela della riservatezza. La qualità dell’evidenza, secondo i criteri GRADE, è da bassa a molto bassa per le forme avanzate, e l’adozione richiede prudenza, validazione e una rigorosa protezione dei dati.</w:t>
      </w:r>
    </w:p>
    <w:p w14:paraId="69E8CC50" w14:textId="77777777" w:rsidR="007C4598" w:rsidRDefault="00000000">
      <w:pPr>
        <w:jc w:val="both"/>
      </w:pPr>
      <w:r>
        <w:rPr>
          <w:color w:val="555555"/>
          <w:sz w:val="16"/>
          <w:szCs w:val="16"/>
          <w:vertAlign w:val="superscript"/>
        </w:rPr>
        <w:t>[11]</w:t>
      </w:r>
      <w:r>
        <w:t>: Regolamento (UE) 2017/745 sui dispositivi medici (</w:t>
      </w:r>
      <w:proofErr w:type="spellStart"/>
      <w:r>
        <w:t>Medical</w:t>
      </w:r>
      <w:proofErr w:type="spellEnd"/>
      <w:r>
        <w:t xml:space="preserve"> Device </w:t>
      </w:r>
      <w:proofErr w:type="spellStart"/>
      <w:r>
        <w:t>Regulation</w:t>
      </w:r>
      <w:proofErr w:type="spellEnd"/>
      <w:r>
        <w:t xml:space="preserve">): disciplina la classificazione, la valutazione di conformità e la sorveglianza dei dispositivi medici, compreso il software con destinazione medica (software </w:t>
      </w:r>
      <w:proofErr w:type="spellStart"/>
      <w:r>
        <w:t>as</w:t>
      </w:r>
      <w:proofErr w:type="spellEnd"/>
      <w:r>
        <w:t xml:space="preserve"> a </w:t>
      </w:r>
      <w:proofErr w:type="spellStart"/>
      <w:r>
        <w:t>medical</w:t>
      </w:r>
      <w:proofErr w:type="spellEnd"/>
      <w:r>
        <w:t xml:space="preserve"> </w:t>
      </w:r>
      <w:proofErr w:type="spellStart"/>
      <w:r>
        <w:t>device</w:t>
      </w:r>
      <w:proofErr w:type="spellEnd"/>
      <w:r>
        <w:t>). I dispositivi terapeutici digitali destinati alla diagnosi, alla prevenzione o al trattamento di una condizione clinica sono qualificati come dispositivi medici e soggetti, in funzione della classe di rischio, a requisiti crescenti di valutazione clinica e di sorveglianza, e alla marcatura di conformità.</w:t>
      </w:r>
    </w:p>
    <w:p w14:paraId="22F31B84" w14:textId="77777777" w:rsidR="007C4598" w:rsidRDefault="00000000">
      <w:pPr>
        <w:jc w:val="both"/>
      </w:pPr>
      <w:r>
        <w:rPr>
          <w:color w:val="555555"/>
          <w:sz w:val="16"/>
          <w:szCs w:val="16"/>
          <w:vertAlign w:val="superscript"/>
        </w:rPr>
        <w:t>[12]</w:t>
      </w:r>
      <w:r>
        <w:t>: Regolamento (UE) 2024/1689 sull’Intelligenza Artificiale (</w:t>
      </w:r>
      <w:proofErr w:type="spellStart"/>
      <w:r>
        <w:t>Artificial</w:t>
      </w:r>
      <w:proofErr w:type="spellEnd"/>
      <w:r>
        <w:t xml:space="preserve"> Intelligence </w:t>
      </w:r>
      <w:proofErr w:type="spellStart"/>
      <w:r>
        <w:t>Act</w:t>
      </w:r>
      <w:proofErr w:type="spellEnd"/>
      <w:r>
        <w:t>): istituisce un quadro armonizzato che classifica i sistemi di Intelligenza Artificiale per livello di rischio e sottopone i sistemi ad alto rischio — categoria nella quale ricadono numerosi impieghi in ambito sanitario — a requisiti di gestione del rischio, qualità dei dati, trasparenza, sorveglianza umana e robustezza. I dispositivi terapeutici digitali che incorporino sistemi di Intelligenza Artificiale sono soggetti, congiuntamente, al regolamento sui dispositivi medici e al regolamento sull’Intelligenza Artificiale.</w:t>
      </w:r>
    </w:p>
    <w:p w14:paraId="6373537E" w14:textId="77777777" w:rsidR="007C4598" w:rsidRDefault="00000000">
      <w:pPr>
        <w:jc w:val="both"/>
      </w:pPr>
      <w:r>
        <w:rPr>
          <w:color w:val="555555"/>
          <w:sz w:val="16"/>
          <w:szCs w:val="16"/>
          <w:vertAlign w:val="superscript"/>
        </w:rPr>
        <w:t>[13]</w:t>
      </w:r>
      <w:r>
        <w:t xml:space="preserve">: Modello tedesco delle applicazioni sanitarie digitali (Digitale </w:t>
      </w:r>
      <w:proofErr w:type="spellStart"/>
      <w:r>
        <w:t>Gesundheitsanwendungen</w:t>
      </w:r>
      <w:proofErr w:type="spellEnd"/>
      <w:r>
        <w:t xml:space="preserve">, </w:t>
      </w:r>
      <w:proofErr w:type="spellStart"/>
      <w:r>
        <w:t>DiGA</w:t>
      </w:r>
      <w:proofErr w:type="spellEnd"/>
      <w:r>
        <w:t>), istituito dalla legge sull’assistenza sanitaria digitale del 2019 e gestito dall’Istituto federale per i farmaci e i dispositivi medici (</w:t>
      </w:r>
      <w:proofErr w:type="spellStart"/>
      <w:r>
        <w:t>BfArM</w:t>
      </w:r>
      <w:proofErr w:type="spellEnd"/>
      <w:r>
        <w:t>): prevede una procedura di valutazione che ammette le applicazioni a un elenco di prodotti prescrivibili e rimborsabili dall’assicurazione sanitaria, in via definitiva ove l’efficacia sia dimostrata o in via provvisoria ove essa debba essere accertata entro dodici mesi (con possibilità di proroga). È il principale modello europeo di riconoscimento e rimborso dei dispositivi terapeutici digitali.</w:t>
      </w:r>
    </w:p>
    <w:p w14:paraId="5A56FFFC" w14:textId="77777777" w:rsidR="007C4598" w:rsidRDefault="00000000">
      <w:pPr>
        <w:jc w:val="both"/>
      </w:pPr>
      <w:r>
        <w:rPr>
          <w:color w:val="555555"/>
          <w:sz w:val="16"/>
          <w:szCs w:val="16"/>
          <w:vertAlign w:val="superscript"/>
        </w:rPr>
        <w:t>[14]</w:t>
      </w:r>
      <w:r>
        <w:t xml:space="preserve">: Organizzazione mondiale della sanità, </w:t>
      </w:r>
      <w:proofErr w:type="spellStart"/>
      <w:r>
        <w:t>Ethics</w:t>
      </w:r>
      <w:proofErr w:type="spellEnd"/>
      <w:r>
        <w:t xml:space="preserve"> and </w:t>
      </w:r>
      <w:proofErr w:type="spellStart"/>
      <w:r>
        <w:t>governance</w:t>
      </w:r>
      <w:proofErr w:type="spellEnd"/>
      <w:r>
        <w:t xml:space="preserve"> of </w:t>
      </w:r>
      <w:proofErr w:type="spellStart"/>
      <w:r>
        <w:t>artificial</w:t>
      </w:r>
      <w:proofErr w:type="spellEnd"/>
      <w:r>
        <w:t xml:space="preserve"> intelligence for </w:t>
      </w:r>
      <w:proofErr w:type="spellStart"/>
      <w:r>
        <w:t>health</w:t>
      </w:r>
      <w:proofErr w:type="spellEnd"/>
      <w:r>
        <w:t xml:space="preserve"> (2021): definisce sei principi per l’impiego etico dell’Intelligenza Artificiale in sanità — tutela dell’autonomia umana; promozione del benessere, della sicurezza e dell’interesse pubblico; trasparenza, </w:t>
      </w:r>
      <w:proofErr w:type="spellStart"/>
      <w:r>
        <w:t>spiegabilità</w:t>
      </w:r>
      <w:proofErr w:type="spellEnd"/>
      <w:r>
        <w:t xml:space="preserve"> e intelligibilità; responsabilità e </w:t>
      </w:r>
      <w:proofErr w:type="spellStart"/>
      <w:r>
        <w:t>rendicontabilità</w:t>
      </w:r>
      <w:proofErr w:type="spellEnd"/>
      <w:r>
        <w:t xml:space="preserve">; </w:t>
      </w:r>
      <w:proofErr w:type="spellStart"/>
      <w:r>
        <w:t>inclusività</w:t>
      </w:r>
      <w:proofErr w:type="spellEnd"/>
      <w:r>
        <w:t xml:space="preserve"> ed equità; sostenibilità e reattività. Tali principi orientano la </w:t>
      </w:r>
      <w:proofErr w:type="spellStart"/>
      <w:r>
        <w:t>governance</w:t>
      </w:r>
      <w:proofErr w:type="spellEnd"/>
      <w:r>
        <w:t xml:space="preserve"> prudenziale adottata dal modello.</w:t>
      </w:r>
    </w:p>
    <w:p w14:paraId="56A74003" w14:textId="77777777" w:rsidR="007C4598" w:rsidRDefault="00000000">
      <w:pPr>
        <w:jc w:val="both"/>
      </w:pPr>
      <w:r>
        <w:rPr>
          <w:color w:val="555555"/>
          <w:sz w:val="16"/>
          <w:szCs w:val="16"/>
          <w:vertAlign w:val="superscript"/>
        </w:rPr>
        <w:t>[15]</w:t>
      </w:r>
      <w:r>
        <w:t xml:space="preserve">: Il regolamento (UE) 2024/1689 sull’Intelligenza Artificiale impone ai sistemi ad alto rischio requisiti di gestione del rischio lungo l’intero ciclo di vita, qualità e </w:t>
      </w:r>
      <w:proofErr w:type="spellStart"/>
      <w:r>
        <w:t>governance</w:t>
      </w:r>
      <w:proofErr w:type="spellEnd"/>
      <w:r>
        <w:t xml:space="preserve"> dei dati di addestramento, validazione e prova, documentazione tecnica, registrazione degli eventi, trasparenza, sorveglianza umana, accuratezza, robustezza e sicurezza informatica. Tali requisiti costituiscono il fondamento del pilastro della sicurezza nella </w:t>
      </w:r>
      <w:proofErr w:type="spellStart"/>
      <w:r>
        <w:t>governance</w:t>
      </w:r>
      <w:proofErr w:type="spellEnd"/>
      <w:r>
        <w:t xml:space="preserve"> prudenziale del modello.</w:t>
      </w:r>
    </w:p>
    <w:p w14:paraId="694F8848" w14:textId="77777777" w:rsidR="007C4598" w:rsidRDefault="00000000">
      <w:pPr>
        <w:jc w:val="both"/>
      </w:pPr>
      <w:r>
        <w:rPr>
          <w:color w:val="555555"/>
          <w:sz w:val="16"/>
          <w:szCs w:val="16"/>
          <w:vertAlign w:val="superscript"/>
        </w:rPr>
        <w:t>[16]</w:t>
      </w:r>
      <w:r>
        <w:t>: Il regolamento (UE) 2024/1689 prescrive che i sistemi di Intelligenza Artificiale ad alto rischio siano progettati e sviluppati in modo da poter essere effettivamente sorvegliati da persone fisiche durante il loro impiego, le quali devono poter comprendere le capacità e i limiti del sistema, interpretarne correttamente gli esiti, decidere di non utilizzarlo o di interromperne il funzionamento. La sorveglianza umana è, nel modello, il presidio centrale del principio di subordinazione.</w:t>
      </w:r>
    </w:p>
    <w:p w14:paraId="2B2C2027" w14:textId="77777777" w:rsidR="007C4598" w:rsidRDefault="00000000">
      <w:pPr>
        <w:jc w:val="both"/>
      </w:pPr>
      <w:r>
        <w:rPr>
          <w:color w:val="555555"/>
          <w:sz w:val="16"/>
          <w:szCs w:val="16"/>
          <w:vertAlign w:val="superscript"/>
        </w:rPr>
        <w:t>[17]</w:t>
      </w:r>
      <w:r>
        <w:t>: Regolamento (UE) 2016/679 sulla protezione dei dati personali (GDPR): qualifica i dati relativi alla salute come categoria particolare, soggetta a tutela rafforzata, e impone principi di liceità, minimizzazione, esattezza, limitazione della conservazione, integrità e riservatezza, oltre a obblighi di valutazione d’impatto per i trattamenti ad alto rischio. Costituisce il fondamento giuridico del trattamento dei dati sanitari su cui operano gli strumenti della leva digitale, e si raccorda con i profili che la tredicesima parte svilupperà.</w:t>
      </w:r>
    </w:p>
    <w:p w14:paraId="56DA4485" w14:textId="77777777" w:rsidR="007C4598" w:rsidRDefault="00000000">
      <w:pPr>
        <w:jc w:val="both"/>
      </w:pPr>
      <w:r>
        <w:rPr>
          <w:color w:val="555555"/>
          <w:sz w:val="16"/>
          <w:szCs w:val="16"/>
          <w:vertAlign w:val="superscript"/>
        </w:rPr>
        <w:t>[18]</w:t>
      </w:r>
      <w:r>
        <w:t xml:space="preserve">: Il servizio istituito dalla legge regionale 11/2023 conta oggi circa quarantacinque psicologi, uno per distretto, a fronte di uno stanziamento dell’ordine di un milione e mezzo di euro l’anno: una dotazione pari a circa il cinque per cento di un fabbisogno stimato nell’ordine di ottocento-novecento psicologi per l’intera regione, corrispondente a un rapporto dell’ordine di un professionista ogni </w:t>
      </w:r>
      <w:proofErr w:type="spellStart"/>
      <w:r>
        <w:t>quattromilaquattrocento-quattromilanovecento</w:t>
      </w:r>
      <w:proofErr w:type="spellEnd"/>
      <w:r>
        <w:t xml:space="preserve"> abitanti. La ricostruzione di questa distanza è svolta nella seconda parte.</w:t>
      </w:r>
    </w:p>
    <w:p w14:paraId="0E837FAE" w14:textId="77777777" w:rsidR="007C4598" w:rsidRDefault="00000000">
      <w:pPr>
        <w:jc w:val="both"/>
      </w:pPr>
      <w:r>
        <w:rPr>
          <w:color w:val="555555"/>
          <w:sz w:val="16"/>
          <w:szCs w:val="16"/>
          <w:vertAlign w:val="superscript"/>
        </w:rPr>
        <w:t>[19]</w:t>
      </w:r>
      <w:r>
        <w:t>: I tre scenari di copertura — dell’ordine di quattrocentocinquanta, settecento e novecento incarichi — costituiscono i termini di riferimento dell’intera valutazione economica dello studio, coerentemente con la seconda parte. Essi conducono progressivamente il servizio verso la copertura del fabbisogno stimato, e a essi sono riferite, nelle parti settima, ottava, nona e decima, le stime dei costi diretti, dei risparmi diretti, dei benefici indiretti e del saldo consolidato. La modellazione della parte undicesima ne verifica la robustezza mediante analisi di sensibilità.</w:t>
      </w:r>
    </w:p>
    <w:p w14:paraId="65C5F61F" w14:textId="77777777" w:rsidR="007C4598" w:rsidRDefault="00000000">
      <w:r>
        <w:br w:type="page"/>
      </w:r>
    </w:p>
    <w:p w14:paraId="76800123" w14:textId="77777777" w:rsidR="007C4598" w:rsidRDefault="00000000">
      <w:pPr>
        <w:spacing w:before="1200" w:after="200"/>
        <w:jc w:val="center"/>
      </w:pPr>
      <w:r>
        <w:rPr>
          <w:b/>
          <w:bCs/>
          <w:color w:val="C49A48"/>
          <w:sz w:val="64"/>
          <w:szCs w:val="64"/>
        </w:rPr>
        <w:t>PARTE V</w:t>
      </w:r>
    </w:p>
    <w:p w14:paraId="27B8A1EA" w14:textId="77777777" w:rsidR="007C4598" w:rsidRDefault="00000000">
      <w:pPr>
        <w:spacing w:after="600"/>
        <w:jc w:val="center"/>
      </w:pPr>
      <w:r>
        <w:rPr>
          <w:b/>
          <w:bCs/>
          <w:color w:val="16264B"/>
          <w:sz w:val="32"/>
          <w:szCs w:val="32"/>
        </w:rPr>
        <w:t>La formazione del personale: le quattro modalità, singole e congiunte</w:t>
      </w:r>
    </w:p>
    <w:p w14:paraId="71284DC5" w14:textId="77777777" w:rsidR="007C4598" w:rsidRDefault="007C4598">
      <w:pPr>
        <w:pBdr>
          <w:bottom w:val="single" w:sz="6" w:space="1" w:color="C49A48"/>
        </w:pBdr>
        <w:spacing w:after="200"/>
      </w:pPr>
    </w:p>
    <w:p w14:paraId="323C6E83" w14:textId="77777777" w:rsidR="007C4598" w:rsidRDefault="00000000">
      <w:pPr>
        <w:jc w:val="both"/>
      </w:pPr>
      <w:r>
        <w:t>Studio Integrale, Finale e Definitivo · Progetto «Psicologo di Base» · Regione Puglia</w:t>
      </w:r>
      <w:r>
        <w:rPr>
          <w:b/>
          <w:bCs/>
        </w:rPr>
        <w:tab/>
        <w:t>Parte V</w:t>
      </w:r>
    </w:p>
    <w:p w14:paraId="5368594D" w14:textId="77777777" w:rsidR="007C4598" w:rsidRDefault="007C4598"/>
    <w:p w14:paraId="6536C446" w14:textId="77777777" w:rsidR="007C4598" w:rsidRDefault="00000000">
      <w:pPr>
        <w:jc w:val="both"/>
      </w:pPr>
      <w:r>
        <w:rPr>
          <w:b/>
          <w:bCs/>
        </w:rPr>
        <w:t>PROGETTO «PSICOLOGO DI BASE» · REGIONE PUGLIA</w:t>
      </w:r>
    </w:p>
    <w:p w14:paraId="0114A174" w14:textId="77777777" w:rsidR="007C4598" w:rsidRDefault="007C4598"/>
    <w:p w14:paraId="0F828176" w14:textId="77777777" w:rsidR="007C4598" w:rsidRDefault="00000000">
      <w:pPr>
        <w:jc w:val="both"/>
      </w:pPr>
      <w:r>
        <w:rPr>
          <w:b/>
          <w:bCs/>
        </w:rPr>
        <w:t>STUDIO INTEGRALE, FINALE E DEFINITIVO</w:t>
      </w:r>
    </w:p>
    <w:p w14:paraId="1CAD46B1" w14:textId="77777777" w:rsidR="007C4598" w:rsidRDefault="007C4598"/>
    <w:p w14:paraId="3E7DA378" w14:textId="77777777" w:rsidR="007C4598" w:rsidRDefault="00000000">
      <w:pPr>
        <w:jc w:val="both"/>
      </w:pPr>
      <w:r>
        <w:rPr>
          <w:b/>
          <w:bCs/>
        </w:rPr>
        <w:t>Parte V</w:t>
      </w:r>
    </w:p>
    <w:p w14:paraId="74F50666" w14:textId="77777777" w:rsidR="007C4598" w:rsidRDefault="007C4598"/>
    <w:p w14:paraId="77036A71" w14:textId="77777777" w:rsidR="007C4598" w:rsidRDefault="00000000">
      <w:pPr>
        <w:jc w:val="both"/>
      </w:pPr>
      <w:r>
        <w:rPr>
          <w:b/>
          <w:bCs/>
        </w:rPr>
        <w:t>La formazione del personale: le quattro modalità, singole e congiunte</w:t>
      </w:r>
    </w:p>
    <w:p w14:paraId="591766C3" w14:textId="77777777" w:rsidR="007C4598" w:rsidRDefault="007C4598"/>
    <w:p w14:paraId="71CE2E77" w14:textId="77777777" w:rsidR="007C4598" w:rsidRDefault="00000000">
      <w:pPr>
        <w:jc w:val="both"/>
      </w:pPr>
      <w:r>
        <w:rPr>
          <w:i/>
          <w:iCs/>
        </w:rPr>
        <w:t>Il pilastro trasversale della riforma: le competenze cliniche, organizzative, relazionali e digitali, comprese quelle dedicate all’uso dell’Intelligenza Artificiale, considerate sia singolarmente sia nel loro percorso integrato.</w:t>
      </w:r>
    </w:p>
    <w:p w14:paraId="0DD96D17" w14:textId="77777777" w:rsidR="007C4598" w:rsidRDefault="007C4598"/>
    <w:p w14:paraId="693AC75F" w14:textId="77777777" w:rsidR="007C4598" w:rsidRDefault="00000000">
      <w:pPr>
        <w:jc w:val="both"/>
      </w:pPr>
      <w:r>
        <w:t>Le quattro modalità formative valutate a sé stanti e in combinazione</w:t>
      </w:r>
    </w:p>
    <w:p w14:paraId="0EFF7450" w14:textId="77777777" w:rsidR="007C4598" w:rsidRDefault="007C4598"/>
    <w:p w14:paraId="791DCAA5" w14:textId="77777777" w:rsidR="007C4598" w:rsidRDefault="00000000">
      <w:pPr>
        <w:jc w:val="both"/>
      </w:pPr>
      <w:r>
        <w:t>La formazione pro-Intelligenza Artificiale come leva abilitante, non come oggetto centrale</w:t>
      </w:r>
    </w:p>
    <w:p w14:paraId="06F414E1" w14:textId="77777777" w:rsidR="007C4598" w:rsidRDefault="007C4598"/>
    <w:p w14:paraId="5CD1B5A8" w14:textId="77777777" w:rsidR="007C4598" w:rsidRDefault="00000000">
      <w:pPr>
        <w:jc w:val="both"/>
      </w:pPr>
      <w:r>
        <w:t xml:space="preserve">Il ritorno sull’investimento formativo secondo i modelli di </w:t>
      </w:r>
      <w:proofErr w:type="spellStart"/>
      <w:r>
        <w:t>Kirkpatrick</w:t>
      </w:r>
      <w:proofErr w:type="spellEnd"/>
      <w:r>
        <w:t xml:space="preserve"> e Phillips</w:t>
      </w:r>
    </w:p>
    <w:p w14:paraId="7432D787" w14:textId="77777777" w:rsidR="007C4598" w:rsidRDefault="007C4598"/>
    <w:p w14:paraId="5D834CA7" w14:textId="77777777" w:rsidR="007C4598" w:rsidRDefault="00000000">
      <w:pPr>
        <w:jc w:val="both"/>
      </w:pPr>
      <w:r>
        <w:rPr>
          <w:b/>
          <w:bCs/>
        </w:rPr>
        <w:t>Autore intellettuale della riforma: Luigi De Michele</w:t>
      </w:r>
    </w:p>
    <w:p w14:paraId="11209131" w14:textId="77777777" w:rsidR="007C4598" w:rsidRDefault="007C4598"/>
    <w:p w14:paraId="296EB535" w14:textId="77777777" w:rsidR="007C4598" w:rsidRDefault="00000000">
      <w:pPr>
        <w:jc w:val="both"/>
      </w:pPr>
      <w:r>
        <w:t>Codice fiscale DMCLGU82E11Z112C · PEC luigidemichele@legalmail.it</w:t>
      </w:r>
    </w:p>
    <w:p w14:paraId="172A72C5" w14:textId="77777777" w:rsidR="007C4598" w:rsidRDefault="007C4598"/>
    <w:p w14:paraId="5281B21A" w14:textId="77777777" w:rsidR="007C4598" w:rsidRDefault="00000000">
      <w:pPr>
        <w:jc w:val="both"/>
      </w:pPr>
      <w:r>
        <w:t>Giugno 2026</w:t>
      </w:r>
    </w:p>
    <w:p w14:paraId="549A74AC" w14:textId="77777777" w:rsidR="007C4598" w:rsidRDefault="007C4598"/>
    <w:p w14:paraId="447AD389" w14:textId="77777777" w:rsidR="007C4598" w:rsidRDefault="00000000">
      <w:pPr>
        <w:pStyle w:val="Titolo1"/>
        <w:pageBreakBefore/>
      </w:pPr>
      <w:r>
        <w:rPr>
          <w:sz w:val="22"/>
          <w:szCs w:val="22"/>
        </w:rPr>
        <w:t>Avvertenza sui vincoli metodologici invarianti</w:t>
      </w:r>
    </w:p>
    <w:p w14:paraId="3711FB92" w14:textId="77777777" w:rsidR="007C4598" w:rsidRDefault="007C4598"/>
    <w:p w14:paraId="47ECF0D9" w14:textId="77777777" w:rsidR="007C4598" w:rsidRDefault="00000000">
      <w:pPr>
        <w:jc w:val="both"/>
      </w:pPr>
      <w:r>
        <w:t>La presente parte è vincolata ai principi metodologici invarianti dello studio integrale, che qui si richiamano e che nessuna stima contenuta nelle voci successive potrà violare. Il ritorno economico degli investimenti in salute mentale è espresso nei soli intervalli corretti, compresi tra 2,3 e 3,0 a 1 per i soli benefici economici e tra 3,3 e 5,7 a 1 con l’inclusione dei ritorni in salute; sono esclusi i valori non sostenuti dalla letteratura.</w:t>
      </w:r>
      <w:r>
        <w:rPr>
          <w:color w:val="555555"/>
          <w:sz w:val="16"/>
          <w:szCs w:val="16"/>
          <w:vertAlign w:val="superscript"/>
        </w:rPr>
        <w:t>[3]</w:t>
      </w:r>
      <w:r>
        <w:t xml:space="preserve"> Il </w:t>
      </w:r>
      <w:proofErr w:type="spellStart"/>
      <w:r>
        <w:t>caveat</w:t>
      </w:r>
      <w:proofErr w:type="spellEnd"/>
      <w:r>
        <w:t xml:space="preserve"> dell’IMPACT trial, secondo cui la riduzione diretta dei costi sanitari non raggiunge la significatività statistica, è preservato ovunque pertinente.</w:t>
      </w:r>
      <w:r>
        <w:rPr>
          <w:color w:val="555555"/>
          <w:sz w:val="16"/>
          <w:szCs w:val="16"/>
          <w:vertAlign w:val="superscript"/>
        </w:rPr>
        <w:t>[4]</w:t>
      </w:r>
      <w:r>
        <w:t xml:space="preserve"> Le grandezze fiscali dirette e quelle sociali e indirette sono mantenute rigorosamente distinte, senza duplicazioni tra le categorie, e lo stesso risparmio non è mai attribuito a più cause.</w:t>
      </w:r>
    </w:p>
    <w:p w14:paraId="67E08261" w14:textId="77777777" w:rsidR="007C4598" w:rsidRDefault="007C4598"/>
    <w:p w14:paraId="2AF6C35E" w14:textId="77777777" w:rsidR="007C4598" w:rsidRDefault="00000000">
      <w:pPr>
        <w:jc w:val="both"/>
      </w:pPr>
      <w:r>
        <w:t>In aderenza a questi principi, la valutazione economica della formazione adotta un’ulteriore cautela che le è propria. Il rendimento dell’investimento formativo è espresso nell’intervallo prudenziale validato per la Puglia, compreso tra sette e otto a uno, e corrisponde a un differenziale di valore stimato fra ventotto e cinquantasei milioni di euro l’anno a fronte di un costo del programma formativo dell’ordine di quattro milioni di euro l’anno; tale rendimento è tenuto distinto dal saldo economico complessivo della riforma e non vi è sommato, poiché misura la sola produttività della spesa formativa e non l’insieme dei costi e dei risparmi del servizio. Ogni proiezione adotta bande prudenziali e previsioni falsificabili, e ogni evidenza — comprese quelle relative all’efficacia degli strumenti di Intelligenza Artificiale e delle competenze formative dedicate al loro uso — è graduata secondo la sua qualità con il medesimo rigore applicato alle affermazioni cliniche.</w:t>
      </w:r>
      <w:r>
        <w:rPr>
          <w:color w:val="555555"/>
          <w:sz w:val="16"/>
          <w:szCs w:val="16"/>
          <w:vertAlign w:val="superscript"/>
        </w:rPr>
        <w:t>[5]</w:t>
      </w:r>
    </w:p>
    <w:p w14:paraId="57B1B7DA" w14:textId="77777777" w:rsidR="007C4598" w:rsidRDefault="007C4598"/>
    <w:p w14:paraId="57E703B4" w14:textId="77777777" w:rsidR="007C4598" w:rsidRDefault="00000000">
      <w:pPr>
        <w:pStyle w:val="Titolo1"/>
        <w:pageBreakBefore/>
      </w:pPr>
      <w:r>
        <w:rPr>
          <w:sz w:val="22"/>
          <w:szCs w:val="22"/>
        </w:rPr>
        <w:t>Indice della Parte V</w:t>
      </w:r>
    </w:p>
    <w:p w14:paraId="5486049A" w14:textId="77777777" w:rsidR="007C4598" w:rsidRDefault="007C4598"/>
    <w:p w14:paraId="346B7D95" w14:textId="77777777" w:rsidR="007C4598" w:rsidRDefault="00000000">
      <w:pPr>
        <w:jc w:val="both"/>
      </w:pPr>
      <w:r>
        <w:rPr>
          <w:b/>
          <w:bCs/>
        </w:rPr>
        <w:t xml:space="preserve">5.1   </w:t>
      </w:r>
      <w:r>
        <w:t>Il fabbisogno formativo integrale (competenze cliniche, organizzative, relazionali, digitali e pro-Intelligenza Artificiale)</w:t>
      </w:r>
    </w:p>
    <w:p w14:paraId="1ABD9DB7" w14:textId="77777777" w:rsidR="007C4598" w:rsidRDefault="007C4598"/>
    <w:p w14:paraId="77582E20" w14:textId="77777777" w:rsidR="007C4598" w:rsidRDefault="00000000">
      <w:pPr>
        <w:jc w:val="both"/>
      </w:pPr>
      <w:r>
        <w:rPr>
          <w:b/>
          <w:bCs/>
        </w:rPr>
        <w:t xml:space="preserve">5.2   </w:t>
      </w:r>
      <w:r>
        <w:t>Modalità prima — Formazione universitaria (corsi di laurea, master, curricula)</w:t>
      </w:r>
    </w:p>
    <w:p w14:paraId="0CEE67C1" w14:textId="77777777" w:rsidR="007C4598" w:rsidRDefault="007C4598"/>
    <w:p w14:paraId="310F20C5" w14:textId="77777777" w:rsidR="007C4598" w:rsidRDefault="00000000">
      <w:pPr>
        <w:jc w:val="both"/>
      </w:pPr>
      <w:r>
        <w:rPr>
          <w:b/>
          <w:bCs/>
        </w:rPr>
        <w:t xml:space="preserve">5.3   </w:t>
      </w:r>
      <w:r>
        <w:t>Modalità seconda — Formazione post-universitaria (specializzazione, educazione continua in medicina, certificazioni)</w:t>
      </w:r>
    </w:p>
    <w:p w14:paraId="2C68EE40" w14:textId="77777777" w:rsidR="007C4598" w:rsidRDefault="007C4598"/>
    <w:p w14:paraId="5088C811" w14:textId="77777777" w:rsidR="007C4598" w:rsidRDefault="00000000">
      <w:pPr>
        <w:jc w:val="both"/>
      </w:pPr>
      <w:r>
        <w:rPr>
          <w:b/>
          <w:bCs/>
        </w:rPr>
        <w:t xml:space="preserve">5.4   </w:t>
      </w:r>
      <w:r>
        <w:t>Modalità terza — Formazione lavorativa e sul posto di lavoro</w:t>
      </w:r>
    </w:p>
    <w:p w14:paraId="2A702492" w14:textId="77777777" w:rsidR="007C4598" w:rsidRDefault="007C4598"/>
    <w:p w14:paraId="2B37BA33" w14:textId="77777777" w:rsidR="007C4598" w:rsidRDefault="00000000">
      <w:pPr>
        <w:jc w:val="both"/>
      </w:pPr>
      <w:r>
        <w:rPr>
          <w:b/>
          <w:bCs/>
        </w:rPr>
        <w:t xml:space="preserve">5.5   </w:t>
      </w:r>
      <w:r>
        <w:t xml:space="preserve">Modalità quarta — Affiancamento e </w:t>
      </w:r>
      <w:proofErr w:type="spellStart"/>
      <w:r>
        <w:t>mentoring</w:t>
      </w:r>
      <w:proofErr w:type="spellEnd"/>
      <w:r>
        <w:t xml:space="preserve"> di figure esperte, incluso l’esperto di Intelligenza Artificiale in studio</w:t>
      </w:r>
    </w:p>
    <w:p w14:paraId="13EF031B" w14:textId="77777777" w:rsidR="007C4598" w:rsidRDefault="007C4598"/>
    <w:p w14:paraId="5356EEB6" w14:textId="77777777" w:rsidR="007C4598" w:rsidRDefault="00000000">
      <w:pPr>
        <w:jc w:val="both"/>
      </w:pPr>
      <w:r>
        <w:rPr>
          <w:b/>
          <w:bCs/>
        </w:rPr>
        <w:t xml:space="preserve">5.6   </w:t>
      </w:r>
      <w:r>
        <w:t>Le quattro modalità in combinazione: il percorso formativo integrato</w:t>
      </w:r>
    </w:p>
    <w:p w14:paraId="49109608" w14:textId="77777777" w:rsidR="007C4598" w:rsidRDefault="007C4598"/>
    <w:p w14:paraId="1C58898D" w14:textId="77777777" w:rsidR="007C4598" w:rsidRDefault="00000000">
      <w:pPr>
        <w:jc w:val="both"/>
      </w:pPr>
      <w:r>
        <w:rPr>
          <w:b/>
          <w:bCs/>
        </w:rPr>
        <w:t xml:space="preserve">5.7   </w:t>
      </w:r>
      <w:r>
        <w:t>Il costo della formazione e il ritorno sull’investimento formativo (</w:t>
      </w:r>
      <w:proofErr w:type="spellStart"/>
      <w:r>
        <w:t>Kirkpatrick</w:t>
      </w:r>
      <w:proofErr w:type="spellEnd"/>
      <w:r>
        <w:t xml:space="preserve"> e Phillips): confronto tra modalità singole e combinazione</w:t>
      </w:r>
    </w:p>
    <w:p w14:paraId="0BA19522" w14:textId="77777777" w:rsidR="007C4598" w:rsidRDefault="007C4598"/>
    <w:p w14:paraId="50E2E196" w14:textId="77777777" w:rsidR="007C4598" w:rsidRDefault="00000000">
      <w:pPr>
        <w:jc w:val="both"/>
      </w:pPr>
      <w:r>
        <w:rPr>
          <w:b/>
          <w:bCs/>
        </w:rPr>
        <w:t xml:space="preserve">5.8   </w:t>
      </w:r>
      <w:r>
        <w:t>Le curve di adozione tecnologica e il rafforzamento delle competenze digitali pro-Intelligenza Artificiale</w:t>
      </w:r>
    </w:p>
    <w:p w14:paraId="2AF52617" w14:textId="77777777" w:rsidR="007C4598" w:rsidRDefault="007C4598"/>
    <w:p w14:paraId="19C2F7BB" w14:textId="77777777" w:rsidR="007C4598" w:rsidRDefault="00000000">
      <w:pPr>
        <w:jc w:val="both"/>
      </w:pPr>
      <w:r>
        <w:rPr>
          <w:b/>
          <w:bCs/>
        </w:rPr>
        <w:t xml:space="preserve">▪   </w:t>
      </w:r>
      <w:r>
        <w:t>Quadro Conclusivo economico-sociale e multidisciplinare integrale</w:t>
      </w:r>
    </w:p>
    <w:p w14:paraId="67A67D53" w14:textId="77777777" w:rsidR="007C4598" w:rsidRDefault="007C4598"/>
    <w:p w14:paraId="7922C26C" w14:textId="77777777" w:rsidR="007C4598" w:rsidRDefault="00000000">
      <w:pPr>
        <w:jc w:val="both"/>
      </w:pPr>
      <w:r>
        <w:rPr>
          <w:b/>
          <w:bCs/>
        </w:rPr>
        <w:t xml:space="preserve">▪   </w:t>
      </w:r>
      <w:r>
        <w:t>Conclusione</w:t>
      </w:r>
    </w:p>
    <w:p w14:paraId="4589B14E" w14:textId="77777777" w:rsidR="007C4598" w:rsidRDefault="007C4598"/>
    <w:p w14:paraId="4E63D1C8" w14:textId="77777777" w:rsidR="007C4598" w:rsidRDefault="00000000">
      <w:pPr>
        <w:jc w:val="both"/>
      </w:pPr>
      <w:r>
        <w:rPr>
          <w:b/>
          <w:bCs/>
        </w:rPr>
        <w:t xml:space="preserve">▪   </w:t>
      </w:r>
      <w:r>
        <w:t>Note Bibliografiche Integrali</w:t>
      </w:r>
    </w:p>
    <w:p w14:paraId="6673B454" w14:textId="77777777" w:rsidR="007C4598" w:rsidRDefault="007C4598"/>
    <w:p w14:paraId="7FD9F013" w14:textId="77777777" w:rsidR="007C4598" w:rsidRDefault="00000000">
      <w:pPr>
        <w:pStyle w:val="Titolo1"/>
        <w:pageBreakBefore/>
      </w:pPr>
      <w:r>
        <w:rPr>
          <w:sz w:val="22"/>
          <w:szCs w:val="22"/>
        </w:rPr>
        <w:t>Premessa</w:t>
      </w:r>
    </w:p>
    <w:p w14:paraId="66DC08E1" w14:textId="77777777" w:rsidR="007C4598" w:rsidRDefault="007C4598"/>
    <w:p w14:paraId="224D82DF" w14:textId="77777777" w:rsidR="007C4598" w:rsidRDefault="00000000">
      <w:pPr>
        <w:jc w:val="both"/>
      </w:pPr>
      <w:r>
        <w:t>La quinta parte dello studio integrale tratta la formazione del personale come pilastro trasversale della riforma del Servizio di Psicologia di Base in Puglia. La sua collocazione nell’architettura dell’opera non è accidentale. Le parti che la precedono hanno fissato il quadro, il metodo e il perimetro, hanno ricostruito il bisogno e il contesto, hanno ordinato a cascata le figure connesse alla riforma e hanno descritto il modello organizzativo e le leve che ne accrescono l’efficacia; le parti che la seguono ne misureranno i costi e i risparmi, diretti e indiretti, e ne proietteranno gli effetti nel tempo. La formazione si interpone tra la descrizione del modello e la sua valutazione economica perché è la condizione che rende il modello realizzabile: senza un personale formato alle competenze che il servizio richiede, l’architettura delle figure resta un disegno e le leve abilitanti, compresa quella digitale, non producono i loro effetti. La formazione è dunque, in senso proprio, l’infrastruttura immateriale della riforma, e la sua trattazione precede la valutazione economica perché ne fonda le premesse.</w:t>
      </w:r>
    </w:p>
    <w:p w14:paraId="12A26467" w14:textId="77777777" w:rsidR="007C4598" w:rsidRDefault="007C4598"/>
    <w:p w14:paraId="7AF29084" w14:textId="77777777" w:rsidR="007C4598" w:rsidRDefault="00000000">
      <w:pPr>
        <w:jc w:val="both"/>
      </w:pPr>
      <w:r>
        <w:t>Il mandato che governa questa parte è duplice e va enunciato senza ambiguità. In primo luogo, la formazione deve essere considerata nella sua estensione integrale, comprensiva delle competenze cliniche, organizzative, relazionali e digitali, e tra queste ultime delle competenze dedicate all’uso dell’Intelligenza Artificiale. In secondo luogo, e in aderenza all’ordine ricevuto, le quattro modalità attraverso cui la formazione si realizza — la formazione universitaria, la formazione post-universitaria, la formazione lavorativa e l’affiancamento di figure esperte — devono essere valutate sia singolarmente, ciascuna con i propri costi, i propri tempi e i propri rendimenti, sia congiuntamente, come percorso formativo integrato in cui le modalità si compongono e si rafforzano. Le attività formative dedicate all’Intelligenza Artificiale ricadono pienamente entro questo duplice mandato: esse sono considerate sia a sé stanti, come oggetto formativo dotato di propri costi e rendimenti, sia in combinazione con le altre competenze, come componente del profilo professionale complessivo dello Psicologo di Base potenziato dalle leve abilitanti.</w:t>
      </w:r>
    </w:p>
    <w:p w14:paraId="469F14A2" w14:textId="77777777" w:rsidR="007C4598" w:rsidRDefault="007C4598"/>
    <w:p w14:paraId="5FE76E48" w14:textId="77777777" w:rsidR="007C4598" w:rsidRDefault="00000000">
      <w:pPr>
        <w:jc w:val="both"/>
      </w:pPr>
      <w:r>
        <w:t>La posizione dell’Intelligenza Artificiale entro la formazione riproduce, alla scala di questa parte, la posizione che essa occupa nell’intera opera. L’Intelligenza Artificiale non è l’oggetto centrale della formazione, ma una delle competenze che rendono la figura dello Psicologo di Base più funzionale ed efficace, accanto alle competenze cliniche, organizzative e relazionali che ne costituiscono il nucleo. La formazione all’uso dell’Intelligenza Artificiale è perciò formazione a uno strumento, e come tale è sempre subordinata alla competenza clinica che lo strumento serve e alla supervisione umana che ne governa l’impiego. Coerentemente, l’evidenza sull’efficacia degli strumenti di Intelligenza Artificiale e sulla resa delle competenze formative dedicate al loro uso è graduata con il medesimo rigore applicato alle affermazioni cliniche, e nessuna competenza digitale è presentata come sostitutiva del giudizio professionale che essa è destinata a supportare.</w:t>
      </w:r>
    </w:p>
    <w:p w14:paraId="4C7E9B6B" w14:textId="77777777" w:rsidR="007C4598" w:rsidRDefault="007C4598"/>
    <w:p w14:paraId="301D3ADA" w14:textId="77777777" w:rsidR="007C4598" w:rsidRDefault="00000000">
      <w:pPr>
        <w:jc w:val="both"/>
      </w:pPr>
      <w:r>
        <w:t xml:space="preserve">La valutazione della formazione è affidata, in tutta questa parte, ai modelli del ritorno sull’investimento formativo. Il modello di </w:t>
      </w:r>
      <w:proofErr w:type="spellStart"/>
      <w:r>
        <w:t>Kirkpatrick</w:t>
      </w:r>
      <w:proofErr w:type="spellEnd"/>
      <w:r>
        <w:t xml:space="preserve"> articola la valutazione su quattro livelli: la reazione dei discenti al percorso formativo, l’apprendimento delle conoscenze e delle abilità, il trasferimento dei comportamenti appresi nella pratica professionale e i risultati organizzativi che ne conseguono.</w:t>
      </w:r>
      <w:r>
        <w:rPr>
          <w:color w:val="555555"/>
          <w:sz w:val="16"/>
          <w:szCs w:val="16"/>
          <w:vertAlign w:val="superscript"/>
        </w:rPr>
        <w:t>[1]</w:t>
      </w:r>
      <w:r>
        <w:t xml:space="preserve"> Il modello di Phillips aggiunge a questi un quinto livello, che converte i risultati organizzativi in un rendimento monetario dell’investimento formativo, e consente così di esprimere in termini economici la produttività della spesa formativa.</w:t>
      </w:r>
      <w:r>
        <w:rPr>
          <w:color w:val="555555"/>
          <w:sz w:val="16"/>
          <w:szCs w:val="16"/>
          <w:vertAlign w:val="superscript"/>
        </w:rPr>
        <w:t>[2]</w:t>
      </w:r>
      <w:r>
        <w:t xml:space="preserve"> L’impiego congiunto dei due modelli risponde direttamente al duplice mandato: i quattro livelli di </w:t>
      </w:r>
      <w:proofErr w:type="spellStart"/>
      <w:r>
        <w:t>Kirkpatrick</w:t>
      </w:r>
      <w:proofErr w:type="spellEnd"/>
      <w:r>
        <w:t xml:space="preserve"> permettono di descrivere ciò che ciascuna modalità formativa produce, dalla reazione al risultato, mentre il quinto livello di Phillips permette di confrontare il rendimento delle modalità singole con quello della loro combinazione, rendendo disponibile al decisore il termine di paragone economico che l’ordine ricevuto richiede.</w:t>
      </w:r>
    </w:p>
    <w:p w14:paraId="6C679502" w14:textId="77777777" w:rsidR="007C4598" w:rsidRDefault="007C4598"/>
    <w:p w14:paraId="5CCC696F" w14:textId="77777777" w:rsidR="007C4598" w:rsidRDefault="00000000">
      <w:pPr>
        <w:jc w:val="both"/>
      </w:pPr>
      <w:r>
        <w:t>La formazione, infine, non riguarda una sola figura, ma percorre l’intera cascata ordinata nella terza parte. Lo Psicologo di Base ne è il destinatario principale, in quanto figura nuova e apice della cascata, ma il medico di medicina generale, il pediatra di libera scelta, l’infermiere di famiglia e di comunità, e le ulteriori figure sanitarie e socio-sanitarie ne sono destinatari a loro volta, poiché il modello collaborativo richiede competenze condivise e un linguaggio comune tra i professionisti che vi partecipano. La formazione è quindi anche, e in misura non secondaria, formazione interprofessionale: essa costruisce non soltanto la competenza del singolo, ma la capacità del sistema di operare in modo integrato. Per questa ragione i costi e i benefici della formazione, che le parti dedicate alla valutazione economica riprenderanno, sono distribuiti lungo la cascata delle figure e non concentrati sulla sola figura nuova; e per la medesima ragione la separazione tra le grandezze dirette e quelle indirette, che governa tutta l’opera, si applica anche qui, distinguendo il costo della formazione, che è una grandezza diretta a carico del programma, dai suoi rendimenti, che si manifestano in parte come efficienza del servizio e in parte come beneficio sociale diffuso.</w:t>
      </w:r>
    </w:p>
    <w:p w14:paraId="28F59CF8" w14:textId="77777777" w:rsidR="007C4598" w:rsidRDefault="007C4598"/>
    <w:p w14:paraId="7193A12B" w14:textId="77777777" w:rsidR="007C4598" w:rsidRDefault="00000000">
      <w:pPr>
        <w:pStyle w:val="Titolo1"/>
        <w:pageBreakBefore/>
      </w:pPr>
      <w:r>
        <w:rPr>
          <w:sz w:val="22"/>
          <w:szCs w:val="22"/>
        </w:rPr>
        <w:t>Introduzione</w:t>
      </w:r>
    </w:p>
    <w:p w14:paraId="479AEEF9" w14:textId="77777777" w:rsidR="007C4598" w:rsidRDefault="007C4598"/>
    <w:p w14:paraId="1DCEA625" w14:textId="77777777" w:rsidR="007C4598" w:rsidRDefault="00000000">
      <w:pPr>
        <w:jc w:val="both"/>
      </w:pPr>
      <w:r>
        <w:t>Questa introduzione dichiara la struttura della quinta parte e il criterio che ne ordina le voci, affinché la trattazione successiva proceda su un disegno esplicito. La parte si articola in otto voci, che muovono dal fabbisogno formativo, attraversano le quattro modalità prese singolarmente, ne considerano la combinazione, ne misurano il rendimento e ne descrivono infine la dinamica di adozione delle competenze digitali; e si chiude, secondo lo standard dell’opera, con un quadro conclusivo economico-sociale e multidisciplinare integrale, con una conclusione e con le note bibliografiche integrali. L’ordine delle voci riproduce la logica del ragionamento formativo: prima si stabilisce di quali competenze il servizio ha bisogno, poi si esaminano i modi attraverso cui quelle competenze possono essere costruite, infine si valuta quale combinazione di modi le costruisca al minor costo e con il maggior rendimento.</w:t>
      </w:r>
    </w:p>
    <w:p w14:paraId="1BC88B32" w14:textId="77777777" w:rsidR="007C4598" w:rsidRDefault="007C4598"/>
    <w:p w14:paraId="7790C804" w14:textId="77777777" w:rsidR="007C4598" w:rsidRDefault="00000000">
      <w:pPr>
        <w:jc w:val="both"/>
      </w:pPr>
      <w:r>
        <w:t>La prima voce determina il fabbisogno formativo integrale. Essa identifica le aree di competenza che il modello richiede — cliniche, organizzative, relazionali e digitali, comprese quelle dedicate all’Intelligenza Artificiale — e ne dichiara il livello atteso per ciascuna figura della cascata, misurando la distanza tra le competenze che la formazione esistente fornisce e quelle che il servizio domanda. Il fabbisogno così determinato è il riferimento rispetto al quale le quattro modalità saranno valutate, poiché una modalità formativa non è efficace in assoluto, ma in rapporto alle competenze che è chiamata a produrre.</w:t>
      </w:r>
    </w:p>
    <w:p w14:paraId="08562CE7" w14:textId="77777777" w:rsidR="007C4598" w:rsidRDefault="007C4598"/>
    <w:p w14:paraId="6D055F86" w14:textId="77777777" w:rsidR="007C4598" w:rsidRDefault="00000000">
      <w:pPr>
        <w:jc w:val="both"/>
      </w:pPr>
      <w:r>
        <w:t xml:space="preserve">Le quattro voci centrali esaminano le modalità formative una per una. La formazione universitaria è trattata per prima, in quanto fondamento di lungo periodo del capitale umano professionale, e ne sono descritti i corsi di laurea, i master e i curricula, con i loro tempi lunghi e i loro rendimenti durevoli. La formazione post-universitaria segue, con la specializzazione, l’educazione continua in medicina e le certificazioni, che assicurano l’aggiornamento rapido delle competenze e il loro adeguamento all’evoluzione delle conoscenze e degli strumenti. La formazione lavorativa, ossia l’apprendimento che avviene sul posto di lavoro nell’esercizio stesso della professione, è trattata come la modalità che più direttamente produce il trasferimento dei comportamenti nella pratica. L’affiancamento e il </w:t>
      </w:r>
      <w:proofErr w:type="spellStart"/>
      <w:r>
        <w:t>mentoring</w:t>
      </w:r>
      <w:proofErr w:type="spellEnd"/>
      <w:r>
        <w:t xml:space="preserve"> di figure esperte, infine, compresa la figura competente nell’uso dell’Intelligenza Artificiale presente nello studio, è trattato come la modalità che accelera l’adozione delle competenze nuove, e in particolare di quelle digitali, nei mesi iniziali dell’esercizio. Ciascuna di queste voci descrive la modalità a sé stante, con i propri costi, i propri tempi e i propri rendimenti, in aderenza alla prima esigenza del mandato.</w:t>
      </w:r>
    </w:p>
    <w:p w14:paraId="022E8E12" w14:textId="77777777" w:rsidR="007C4598" w:rsidRDefault="007C4598"/>
    <w:p w14:paraId="4F0CFBB7" w14:textId="77777777" w:rsidR="007C4598" w:rsidRDefault="00000000">
      <w:pPr>
        <w:jc w:val="both"/>
      </w:pPr>
      <w:r>
        <w:t>La sesta voce considera le quattro modalità in combinazione, in aderenza alla seconda esigenza del mandato. Essa mostra che le modalità non sono alternative tra cui scegliere, ma componenti di un percorso integrato in cui ciascuna assolve una funzione che le altre non assolvono: la formazione universitaria costruisce il fondamento, l’educazione continua lo aggiorna, la formazione lavorativa lo traduce in pratica e l’affiancamento ne accelera l’adozione. La voce individua la combinazione attesa come ottimale e ne motiva la composizione, ricavando dalla complementarità delle modalità la ragione per cui il percorso integrato rende più della somma delle modalità isolate.</w:t>
      </w:r>
    </w:p>
    <w:p w14:paraId="402177A5" w14:textId="77777777" w:rsidR="007C4598" w:rsidRDefault="007C4598"/>
    <w:p w14:paraId="5EF7CF74" w14:textId="77777777" w:rsidR="007C4598" w:rsidRDefault="00000000">
      <w:pPr>
        <w:jc w:val="both"/>
      </w:pPr>
      <w:r>
        <w:t xml:space="preserve">La settima voce misura il costo della formazione e il suo rendimento, applicando i modelli di </w:t>
      </w:r>
      <w:proofErr w:type="spellStart"/>
      <w:r>
        <w:t>Kirkpatrick</w:t>
      </w:r>
      <w:proofErr w:type="spellEnd"/>
      <w:r>
        <w:t xml:space="preserve"> e Phillips e confrontando il rapporto costo-efficacia delle modalità singole con quello della loro combinazione. Essa colloca le stime entro le bande prudenziali dell’opera, esprime il rendimento dell’investimento formativo nell’intervallo validato per la Puglia e mantiene il costo della formazione distinto dal saldo economico complessivo della riforma, in ossequio alla regola di non duplicazione. L’ottava voce, infine, descrive le curve di adozione tecnologica e il rafforzamento delle competenze digitali dedicate all’Intelligenza Artificiale, mostrando come l’adozione delle competenze nuove segua nel tempo un andamento graduale che l’affiancamento esperto è in grado di accelerare nei primi dodici-diciotto mesi dell’esercizio.</w:t>
      </w:r>
    </w:p>
    <w:p w14:paraId="63DE7F2A" w14:textId="77777777" w:rsidR="007C4598" w:rsidRDefault="007C4598"/>
    <w:p w14:paraId="69C148EB" w14:textId="77777777" w:rsidR="007C4598" w:rsidRDefault="00000000">
      <w:pPr>
        <w:jc w:val="both"/>
      </w:pPr>
      <w:r>
        <w:t>L’insieme delle otto voci risponde con precisione all’ordine ricevuto. Esse considerano la formazione nella sua estensione integrale, ne valutano le quattro modalità sia singolarmente sia in combinazione, trattano le competenze pro-Intelligenza Artificiale al contempo a sé stanti e congiunte alle altre, e collocano l’Intelligenza Artificiale nella posizione subordinata di leva abilitante che le compete in tutta l’opera. La trattazione che segue procede secondo quest’ordine, dalla prima voce all’ultima, con la graduazione dell’evidenza e le bande prudenziali che lo studio integrale impone a ogni sua parte.</w:t>
      </w:r>
    </w:p>
    <w:p w14:paraId="37175755" w14:textId="77777777" w:rsidR="007C4598" w:rsidRDefault="007C4598"/>
    <w:p w14:paraId="157E2A4E" w14:textId="77777777" w:rsidR="007C4598" w:rsidRDefault="00000000">
      <w:pPr>
        <w:pStyle w:val="Titolo1"/>
        <w:pageBreakBefore/>
      </w:pPr>
      <w:r>
        <w:rPr>
          <w:sz w:val="22"/>
          <w:szCs w:val="22"/>
        </w:rPr>
        <w:t>5.1  Il fabbisogno formativo integrale</w:t>
      </w:r>
    </w:p>
    <w:p w14:paraId="24299E52" w14:textId="77777777" w:rsidR="007C4598" w:rsidRDefault="007C4598"/>
    <w:p w14:paraId="6BAB7B2A" w14:textId="77777777" w:rsidR="007C4598" w:rsidRDefault="00000000">
      <w:pPr>
        <w:jc w:val="both"/>
      </w:pPr>
      <w:r>
        <w:rPr>
          <w:i/>
          <w:iCs/>
        </w:rPr>
        <w:t>Questa voce determina di quali competenze il Servizio di Psicologia di Base ha bisogno. Essa identifica le quattro aree del fabbisogno — clinica, organizzativa, relazionale e digitale, quest’ultima comprensiva delle competenze dedicate all’Intelligenza Artificiale — ne dichiara il livello atteso per le figure della cascata e misura la distanza tra le competenze che la formazione esistente fornisce e quelle che il modello domanda, ponendo così il riferimento rispetto al quale le quattro modalità formative saranno valutate.</w:t>
      </w:r>
    </w:p>
    <w:p w14:paraId="2CA0F01F" w14:textId="77777777" w:rsidR="007C4598" w:rsidRDefault="007C4598"/>
    <w:p w14:paraId="3528A476" w14:textId="77777777" w:rsidR="007C4598" w:rsidRDefault="00000000">
      <w:pPr>
        <w:jc w:val="both"/>
      </w:pPr>
      <w:r>
        <w:t xml:space="preserve">La determinazione del fabbisogno formativo precede ogni considerazione sulle modalità attraverso cui la formazione si realizza, perché il valore di una modalità non si misura in astratto, ma in rapporto alle competenze che essa è chiamata a produrre. Stabilire il fabbisogno significa rispondere a una domanda determinata: quali competenze deve possedere il personale affinché il modello descritto nella quarta parte funzioni come progettato. La risposta non coincide con il profilo che la formazione professionale esistente già produce, poiché il modello dello Psicologo di Base configura una pratica nuova — breve, collaborativa, integrata nelle cure primarie e potenziata da strumenti digitali — che la formazione tradizionale, orientata alla profondità clinica del </w:t>
      </w:r>
      <w:proofErr w:type="spellStart"/>
      <w:r>
        <w:t>setting</w:t>
      </w:r>
      <w:proofErr w:type="spellEnd"/>
      <w:r>
        <w:t xml:space="preserve"> specialistico, non prepara compiutamente. La distanza tra il profilo prodotto e il profilo richiesto è precisamente il fabbisogno formativo, e la sua misura è la premessa di ogni valutazione delle modalità.</w:t>
      </w:r>
    </w:p>
    <w:p w14:paraId="733A1C7B" w14:textId="77777777" w:rsidR="007C4598" w:rsidRDefault="007C4598"/>
    <w:p w14:paraId="17637DD1" w14:textId="77777777" w:rsidR="007C4598" w:rsidRDefault="00000000">
      <w:pPr>
        <w:jc w:val="both"/>
      </w:pPr>
      <w:r>
        <w:t xml:space="preserve">Il fabbisogno si articola in quattro aree di competenza, che la presente voce considera nell’ordine della loro prossimità al nucleo della professione. La prima area è quella delle competenze cliniche, che costituiscono il fondamento della funzione. Esse comprendono la capacità di intercettare precocemente il disagio psichico comune nel contesto delle cure primarie, di condurne una valutazione psicodiagnostica essenziale e tempestiva, di erogare interventi a bassa intensità fondati sulle prove — dalla </w:t>
      </w:r>
      <w:proofErr w:type="spellStart"/>
      <w:r>
        <w:t>psicoeducazione</w:t>
      </w:r>
      <w:proofErr w:type="spellEnd"/>
      <w:r>
        <w:t xml:space="preserve"> all’attivazione comportamentale, dalla terapia di soluzione dei problemi agli interventi cognitivo-comportamentali brevi — e di riconoscere con sicurezza le situazioni che eccedono il livello delle cure primarie e richiedono l’invio al servizio specialistico.</w:t>
      </w:r>
      <w:r>
        <w:rPr>
          <w:color w:val="555555"/>
          <w:sz w:val="16"/>
          <w:szCs w:val="16"/>
          <w:vertAlign w:val="superscript"/>
        </w:rPr>
        <w:t>[6]</w:t>
      </w:r>
      <w:r>
        <w:t xml:space="preserve"> Queste competenze non sono nuove in sé, poiché appartengono al patrimonio della psicologia clinica, ma il loro adattamento al </w:t>
      </w:r>
      <w:proofErr w:type="spellStart"/>
      <w:r>
        <w:t>setting</w:t>
      </w:r>
      <w:proofErr w:type="spellEnd"/>
      <w:r>
        <w:t xml:space="preserve"> delle cure primarie — la brevità del trattamento, l’integrazione con la medicina generale, la gestione di volumi elevati di casi sotto-soglia — costituisce un’esigenza formativa specifica, che la formazione esistente soddisfa solo in parte.</w:t>
      </w:r>
    </w:p>
    <w:p w14:paraId="5EDE7A63" w14:textId="77777777" w:rsidR="007C4598" w:rsidRDefault="007C4598"/>
    <w:p w14:paraId="180A2267" w14:textId="77777777" w:rsidR="007C4598" w:rsidRDefault="00000000">
      <w:pPr>
        <w:jc w:val="both"/>
      </w:pPr>
      <w:r>
        <w:t>La seconda area è quella delle competenze organizzative, che il modello collaborativo rende non meno essenziali di quelle cliniche. Lo Psicologo di Base non opera isolatamente, ma all’interno di una coppia clinica con il medico di medicina generale e di un’organizzazione del servizio fondata sulla cura per intensità crescente e sui percorsi diagnostico-terapeutici assistenziali. Operare in questo contesto richiede competenze che la formazione clinica tradizionale non contempla: la gestione dell’agenda e dei volumi, il coordinamento con il medico di medicina generale e con le altre figure della cascata, l’aderenza ai percorsi assistenziali, la corretta tenuta della documentazione e l’assolvimento del debito informativo verso il sistema. Queste competenze determinano la capacità del professionista di inserirsi nel funzionamento del servizio, e la loro carenza è una causa frequente di disfunzione anche in presenza di competenze cliniche adeguate.</w:t>
      </w:r>
    </w:p>
    <w:p w14:paraId="57D67540" w14:textId="77777777" w:rsidR="007C4598" w:rsidRDefault="007C4598"/>
    <w:p w14:paraId="595CFC0E" w14:textId="77777777" w:rsidR="007C4598" w:rsidRDefault="00000000">
      <w:pPr>
        <w:jc w:val="both"/>
      </w:pPr>
      <w:r>
        <w:t xml:space="preserve">La terza area è quella delle competenze relazionali, che il </w:t>
      </w:r>
      <w:proofErr w:type="spellStart"/>
      <w:r>
        <w:t>setting</w:t>
      </w:r>
      <w:proofErr w:type="spellEnd"/>
      <w:r>
        <w:t xml:space="preserve"> breve e collaborativo solleva a un rilievo particolare. La costruzione dell’alleanza terapeutica in un numero limitato di incontri, la comunicazione efficace con il paziente e con i suoi familiari, il lavoro interprofessionale nel team delle cure primarie e la gestione della stigmatizzazione che ancora circonda il disagio psichico sono competenze che incidono direttamente sull’efficacia dell’intervento. Esse non sono separabili dalle competenze cliniche, di cui costituiscono il veicolo, ma richiedono un’attenzione formativa propria, tanto più in un modello che colloca la presa in carico psicologica nel contesto generalista delle cure primarie, dove la relazione con il paziente non è mediata dalla domanda specialistica e deve essere costruita a partire da un accesso indifferenziato.</w:t>
      </w:r>
    </w:p>
    <w:p w14:paraId="5F3E7CD3" w14:textId="77777777" w:rsidR="007C4598" w:rsidRDefault="007C4598"/>
    <w:p w14:paraId="7B479F63" w14:textId="77777777" w:rsidR="007C4598" w:rsidRDefault="00000000">
      <w:pPr>
        <w:jc w:val="both"/>
      </w:pPr>
      <w:r>
        <w:t>La quarta area è quella delle competenze digitali, che la leva abilitante descritta nella quarta parte introduce nel profilo professionale. Esse comprendono l’uso del fascicolo sanitario e degli strumenti informativi, la conduzione del teleconsulto e della presa in carico a distanza, l’impiego dei dispositivi terapeutici digitali su prescrizione e degli strumenti di triage e di stratificazione del rischio assistiti da algoritmi.</w:t>
      </w:r>
      <w:r>
        <w:rPr>
          <w:color w:val="555555"/>
          <w:sz w:val="16"/>
          <w:szCs w:val="16"/>
          <w:vertAlign w:val="superscript"/>
        </w:rPr>
        <w:t>[7]</w:t>
      </w:r>
      <w:r>
        <w:t xml:space="preserve"> Entro quest’area si collocano, come sottoinsieme dotato di specificità propria, le competenze dedicate all’uso dell’Intelligenza Artificiale, che il duplice mandato impone di considerare sia a sé stanti sia in combinazione con le altre. Tali competenze non si esauriscono nella capacità tecnica di impiegare uno strumento, ma comprendono in misura essenziale l’alfabetizzazione ai suoi limiti e ai suoi rischi: la consapevolezza dell’incertezza che accompagna gli output algoritmici, la capacità di esercitare su di essi la supervisione umana che la </w:t>
      </w:r>
      <w:proofErr w:type="spellStart"/>
      <w:r>
        <w:t>governance</w:t>
      </w:r>
      <w:proofErr w:type="spellEnd"/>
      <w:r>
        <w:t xml:space="preserve"> prudenziale richiede, e la comprensione delle implicazioni di equità e di protezione dei dati che il loro impiego comporta. Coerentemente con il principio invariante dell’opera, l’evidenza sulla resa di queste competenze è graduata con il medesimo rigore applicato alle competenze cliniche, e la formazione all’Intelligenza Artificiale è sempre intesa come formazione a uno strumento subordinato al giudizio professionale, mai come acquisizione di una capacità sostitutiva di esso.</w:t>
      </w:r>
    </w:p>
    <w:p w14:paraId="05BA9905" w14:textId="77777777" w:rsidR="007C4598" w:rsidRDefault="007C4598"/>
    <w:p w14:paraId="628D18A0" w14:textId="77777777" w:rsidR="007C4598" w:rsidRDefault="00000000">
      <w:pPr>
        <w:jc w:val="both"/>
      </w:pPr>
      <w:r>
        <w:t>Le quattro aree di competenza non si distribuiscono in modo uniforme sulle figure della cascata, ma assumono per ciascuna un livello atteso proporzionato alla sua funzione. Lo Psicologo di Base, apice della cascata e destinatario principale della formazione, richiede il livello più elevato in tutte e quattro le aree, poiché è la figura che esercita la funzione nuova in tutta la sua estensione. Il medico di medicina generale, partner della coppia clinica, richiede un livello elevato nelle competenze organizzative e relazionali e un livello intermedio nelle competenze cliniche psicologiche, sufficiente a riconoscere il disagio e a indirizzarlo correttamente, e in quelle digitali. Le ulteriori figure sanitarie e socio-sanitarie — l’infermiere di famiglia e di comunità, il farmacista di comunità, l’assistente sociale — richiedono livelli differenziati secondo il ruolo che il modello assegna a ciascuna, in coerenza con l’ordinamento della cascata. La formazione, di conseguenza, non è un percorso unico erogato a una sola figura, ma un insieme di percorsi differenziati e coordinati, che costruiscono per ciascuna figura il profilo di competenza che la sua posizione nella cascata richiede. La tabella seguente riepiloga le quattro aree, i loro contenuti e il livello atteso per le principali figure della cascata.</w:t>
      </w:r>
    </w:p>
    <w:p w14:paraId="59F69AB9" w14:textId="77777777" w:rsidR="007C4598" w:rsidRDefault="007C4598"/>
    <w:p w14:paraId="649A9AEC" w14:textId="77777777" w:rsidR="007C4598" w:rsidRDefault="00000000">
      <w:pPr>
        <w:jc w:val="both"/>
      </w:pPr>
      <w:r>
        <w:rPr>
          <w:b/>
          <w:bCs/>
        </w:rPr>
        <w:t>Tabella 5.1.A — Le quattro aree del fabbisogno formativo e il livello atteso per figura</w:t>
      </w:r>
    </w:p>
    <w:p w14:paraId="1A364945"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798"/>
        <w:gridCol w:w="1851"/>
        <w:gridCol w:w="1788"/>
        <w:gridCol w:w="1793"/>
        <w:gridCol w:w="1796"/>
      </w:tblGrid>
      <w:tr w:rsidR="007C4598" w14:paraId="5B44D526" w14:textId="77777777">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FA5A75F" w14:textId="77777777" w:rsidR="007C4598" w:rsidRDefault="00000000">
            <w:pPr>
              <w:spacing w:after="40"/>
            </w:pPr>
            <w:r>
              <w:rPr>
                <w:b/>
                <w:bCs/>
                <w:color w:val="FFFFFF"/>
                <w:sz w:val="18"/>
                <w:szCs w:val="18"/>
              </w:rPr>
              <w:t>Area di competenza</w:t>
            </w:r>
          </w:p>
        </w:tc>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112B00C" w14:textId="77777777" w:rsidR="007C4598" w:rsidRDefault="00000000">
            <w:pPr>
              <w:spacing w:after="40"/>
            </w:pPr>
            <w:r>
              <w:rPr>
                <w:b/>
                <w:bCs/>
                <w:color w:val="FFFFFF"/>
                <w:sz w:val="18"/>
                <w:szCs w:val="18"/>
              </w:rPr>
              <w:t>Contenuti essenziali</w:t>
            </w:r>
          </w:p>
        </w:tc>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4F8693E" w14:textId="77777777" w:rsidR="007C4598" w:rsidRDefault="00000000">
            <w:pPr>
              <w:spacing w:after="40"/>
            </w:pPr>
            <w:r>
              <w:rPr>
                <w:b/>
                <w:bCs/>
                <w:color w:val="FFFFFF"/>
                <w:sz w:val="18"/>
                <w:szCs w:val="18"/>
              </w:rPr>
              <w:t>Psicologo di Base</w:t>
            </w:r>
          </w:p>
        </w:tc>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8EA41CD" w14:textId="77777777" w:rsidR="007C4598" w:rsidRDefault="00000000">
            <w:pPr>
              <w:spacing w:after="40"/>
            </w:pPr>
            <w:r>
              <w:rPr>
                <w:b/>
                <w:bCs/>
                <w:color w:val="FFFFFF"/>
                <w:sz w:val="18"/>
                <w:szCs w:val="18"/>
              </w:rPr>
              <w:t>Medico di medicina generale</w:t>
            </w:r>
          </w:p>
        </w:tc>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DEAFEFC" w14:textId="77777777" w:rsidR="007C4598" w:rsidRDefault="00000000">
            <w:pPr>
              <w:spacing w:after="40"/>
            </w:pPr>
            <w:r>
              <w:rPr>
                <w:b/>
                <w:bCs/>
                <w:color w:val="FFFFFF"/>
                <w:sz w:val="18"/>
                <w:szCs w:val="18"/>
              </w:rPr>
              <w:t>Altre figure della cascata</w:t>
            </w:r>
          </w:p>
        </w:tc>
      </w:tr>
      <w:tr w:rsidR="007C4598" w14:paraId="3EA25FC5"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AB1F735" w14:textId="77777777" w:rsidR="007C4598" w:rsidRDefault="00000000">
            <w:pPr>
              <w:spacing w:after="40"/>
            </w:pPr>
            <w:r>
              <w:rPr>
                <w:b/>
                <w:bCs/>
              </w:rPr>
              <w:t>Clinica</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8659562" w14:textId="77777777" w:rsidR="007C4598" w:rsidRDefault="00000000">
            <w:pPr>
              <w:spacing w:after="40"/>
            </w:pPr>
            <w:r>
              <w:t>Intercettazione precoce, valutazione breve, interventi a bassa intensità fondati sulle prove, criteri di invio</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C207E16" w14:textId="77777777" w:rsidR="007C4598" w:rsidRDefault="00000000">
            <w:pPr>
              <w:spacing w:after="40"/>
            </w:pPr>
            <w:r>
              <w:t>Elevato</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591CF48" w14:textId="77777777" w:rsidR="007C4598" w:rsidRDefault="00000000">
            <w:pPr>
              <w:spacing w:after="40"/>
            </w:pPr>
            <w:r>
              <w:t>Intermedio</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5C9ED53" w14:textId="77777777" w:rsidR="007C4598" w:rsidRDefault="00000000">
            <w:pPr>
              <w:spacing w:after="40"/>
            </w:pPr>
            <w:r>
              <w:t>Differenziato per ruolo</w:t>
            </w:r>
          </w:p>
        </w:tc>
      </w:tr>
      <w:tr w:rsidR="007C4598" w14:paraId="6396CC68"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640E181" w14:textId="77777777" w:rsidR="007C4598" w:rsidRDefault="00000000">
            <w:pPr>
              <w:spacing w:after="40"/>
            </w:pPr>
            <w:r>
              <w:rPr>
                <w:b/>
                <w:bCs/>
              </w:rPr>
              <w:t>Organizzativa</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2180302" w14:textId="77777777" w:rsidR="007C4598" w:rsidRDefault="00000000">
            <w:pPr>
              <w:spacing w:after="40"/>
            </w:pPr>
            <w:r>
              <w:t>Coppia clinica, cura per intensità crescente, percorsi assistenziali, documentazione, debito informativo</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E3821D7" w14:textId="77777777" w:rsidR="007C4598" w:rsidRDefault="00000000">
            <w:pPr>
              <w:spacing w:after="40"/>
            </w:pPr>
            <w:r>
              <w:t>Elevato</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A772533" w14:textId="77777777" w:rsidR="007C4598" w:rsidRDefault="00000000">
            <w:pPr>
              <w:spacing w:after="40"/>
            </w:pPr>
            <w:r>
              <w:t>Elevato</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7DAE52D" w14:textId="77777777" w:rsidR="007C4598" w:rsidRDefault="00000000">
            <w:pPr>
              <w:spacing w:after="40"/>
            </w:pPr>
            <w:r>
              <w:t>Intermedio</w:t>
            </w:r>
          </w:p>
        </w:tc>
      </w:tr>
      <w:tr w:rsidR="007C4598" w14:paraId="5B6FF4A6"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B2CA28D" w14:textId="77777777" w:rsidR="007C4598" w:rsidRDefault="00000000">
            <w:pPr>
              <w:spacing w:after="40"/>
            </w:pPr>
            <w:r>
              <w:rPr>
                <w:b/>
                <w:bCs/>
              </w:rPr>
              <w:t>Relazionale</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A64BCDC" w14:textId="77777777" w:rsidR="007C4598" w:rsidRDefault="00000000">
            <w:pPr>
              <w:spacing w:after="40"/>
            </w:pPr>
            <w:r>
              <w:t xml:space="preserve">Alleanza in </w:t>
            </w:r>
            <w:proofErr w:type="spellStart"/>
            <w:r>
              <w:t>setting</w:t>
            </w:r>
            <w:proofErr w:type="spellEnd"/>
            <w:r>
              <w:t xml:space="preserve"> breve, comunicazione, lavoro interprofessionale, gestione della stigmatizzazione</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5AE2242" w14:textId="77777777" w:rsidR="007C4598" w:rsidRDefault="00000000">
            <w:pPr>
              <w:spacing w:after="40"/>
            </w:pPr>
            <w:r>
              <w:t>Elevato</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4650BC0" w14:textId="77777777" w:rsidR="007C4598" w:rsidRDefault="00000000">
            <w:pPr>
              <w:spacing w:after="40"/>
            </w:pPr>
            <w:r>
              <w:t>Elevato</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380B36B" w14:textId="77777777" w:rsidR="007C4598" w:rsidRDefault="00000000">
            <w:pPr>
              <w:spacing w:after="40"/>
            </w:pPr>
            <w:r>
              <w:t>Intermedio</w:t>
            </w:r>
          </w:p>
        </w:tc>
      </w:tr>
      <w:tr w:rsidR="007C4598" w14:paraId="3054A1C6"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10969E8" w14:textId="77777777" w:rsidR="007C4598" w:rsidRDefault="00000000">
            <w:pPr>
              <w:spacing w:after="40"/>
            </w:pPr>
            <w:r>
              <w:rPr>
                <w:b/>
                <w:bCs/>
              </w:rPr>
              <w:t>Digitale (</w:t>
            </w:r>
            <w:proofErr w:type="spellStart"/>
            <w:r>
              <w:rPr>
                <w:b/>
                <w:bCs/>
              </w:rPr>
              <w:t>incl</w:t>
            </w:r>
            <w:proofErr w:type="spellEnd"/>
            <w:r>
              <w:rPr>
                <w:b/>
                <w:bCs/>
              </w:rPr>
              <w:t>. pro-IA)</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130CED0" w14:textId="77777777" w:rsidR="007C4598" w:rsidRDefault="00000000">
            <w:pPr>
              <w:spacing w:after="40"/>
            </w:pPr>
            <w:r>
              <w:t>Fascicolo, teleconsulto, terapie digitali su prescrizione, triage e stratificazione assistiti, alfabetizzazione ai limiti e ai rischi</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87AB9D6" w14:textId="77777777" w:rsidR="007C4598" w:rsidRDefault="00000000">
            <w:pPr>
              <w:spacing w:after="40"/>
            </w:pPr>
            <w:r>
              <w:t>Elevato</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7380A07" w14:textId="77777777" w:rsidR="007C4598" w:rsidRDefault="00000000">
            <w:pPr>
              <w:spacing w:after="40"/>
            </w:pPr>
            <w:r>
              <w:t>Intermedio</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BE58CB9" w14:textId="77777777" w:rsidR="007C4598" w:rsidRDefault="00000000">
            <w:pPr>
              <w:spacing w:after="40"/>
            </w:pPr>
            <w:r>
              <w:t>Di base</w:t>
            </w:r>
          </w:p>
        </w:tc>
      </w:tr>
    </w:tbl>
    <w:p w14:paraId="39CEF97A" w14:textId="77777777" w:rsidR="007C4598" w:rsidRDefault="007C4598"/>
    <w:p w14:paraId="5445A146" w14:textId="77777777" w:rsidR="007C4598" w:rsidRDefault="00000000">
      <w:pPr>
        <w:jc w:val="both"/>
      </w:pPr>
      <w:r>
        <w:t xml:space="preserve">La misura del fabbisogno non si esaurisce nell’identificazione delle aree e dei livelli attesi, ma comprende la stima della distanza che separa il profilo richiesto dal profilo che la formazione esistente produce. Questa distanza non è uniforme tra le aree. Nelle competenze cliniche essa è contenuta, poiché il fondamento psicodiagnostico e terapeutico è già patrimonio della formazione dello psicologo, e ciò che manca è il suo adattamento al </w:t>
      </w:r>
      <w:proofErr w:type="spellStart"/>
      <w:r>
        <w:t>setting</w:t>
      </w:r>
      <w:proofErr w:type="spellEnd"/>
      <w:r>
        <w:t xml:space="preserve"> delle cure primarie; nelle competenze organizzative e relazionali la distanza è maggiore, poiché la formazione tradizionale, orientata al </w:t>
      </w:r>
      <w:proofErr w:type="spellStart"/>
      <w:r>
        <w:t>setting</w:t>
      </w:r>
      <w:proofErr w:type="spellEnd"/>
      <w:r>
        <w:t xml:space="preserve"> specialistico e individuale, non prepara al lavoro collaborativo e integrato; nelle competenze digitali, e in particolare in quelle dedicate all’Intelligenza Artificiale, la distanza è massima, poiché si tratta di competenze in larga parte assenti dai percorsi formativi consolidati e in rapida evoluzione. La differente ampiezza della distanza nelle quattro aree ha una conseguenza diretta sulla scelta delle modalità formative: le aree in cui il fondamento esiste e va adattato si prestano alla formazione lavorativa e all’aggiornamento continuo, mentre le aree in cui la competenza è nuova e in evoluzione richiedono in misura maggiore l’affiancamento esperto, che accelera l’adozione delle competenze non ancora consolidate. La determinazione del fabbisogno, in questo senso, non descrive soltanto ciò che manca, ma orienta già la combinazione delle modalità che le voci successive valuteranno.</w:t>
      </w:r>
    </w:p>
    <w:p w14:paraId="0E48E01C" w14:textId="77777777" w:rsidR="007C4598" w:rsidRDefault="007C4598"/>
    <w:p w14:paraId="1CCA584F" w14:textId="77777777" w:rsidR="007C4598" w:rsidRDefault="00000000">
      <w:pPr>
        <w:jc w:val="both"/>
      </w:pPr>
      <w:r>
        <w:t xml:space="preserve">Una considerazione conclusiva riguarda la natura interprofessionale del fabbisogno. Le quattro aree di competenza non definiscono soltanto il profilo del singolo professionista, ma la capacità del sistema di operare in modo integrato, poiché il modello collaborativo richiede che le figure della cascata condividano un linguaggio comune e una comprensione reciproca dei rispettivi ruoli. Una parte rilevante del fabbisogno formativo è perciò fabbisogno di competenze condivise, che la formazione deve costruire non in capo a ciascuna figura isolatamente, ma nella relazione tra le figure: la coppia clinica tra psicologo e medico di medicina generale, in particolare, esige una formazione che le due figure possano in parte ricevere congiuntamente, affinché il loro lavoro comune si fondi su una base di competenza condivisa. Questa dimensione interprofessionale del fabbisogno sarà ripresa nella voce dedicata alla combinazione delle modalità, dove la formazione condivisa si rivelerà uno dei luoghi in cui la complementarità delle modalità produce il suo rendimento maggiore. La mappa del fabbisogno così determinata è rappresentata nella scheda </w:t>
      </w:r>
      <w:proofErr w:type="spellStart"/>
      <w:r>
        <w:t>infografica</w:t>
      </w:r>
      <w:proofErr w:type="spellEnd"/>
      <w:r>
        <w:t xml:space="preserve"> seguente, che ne sintetizza le quattro aree e i livelli attesi lungo la cascata.</w:t>
      </w:r>
    </w:p>
    <w:p w14:paraId="19AA82C7"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780F6B63"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D67C8FC" w14:textId="77777777" w:rsidR="007C4598" w:rsidRDefault="00000000">
            <w:pPr>
              <w:spacing w:after="40"/>
            </w:pPr>
            <w:r>
              <w:rPr>
                <w:b/>
                <w:bCs/>
                <w:color w:val="FFFFFF"/>
                <w:sz w:val="18"/>
                <w:szCs w:val="18"/>
              </w:rPr>
              <w:t xml:space="preserve">◆  SEGNALIBRO — INFOGRAFICA 5.1 · DA INSERIRE A POSTERIORI Titolo previsto: La mappa del fabbisogno formativo integrale — quattro aree e livelli attesi Contenuto da rappresentare: Rappresentazione radiale a quattro assi (clinica, organizzativa, relazionale, digitale/pro-IA) che colloca lo Psicologo di Base al centro e dispone i livelli attesi per le figure della cascata su anelli concentrici; obiettivo: mostrare che il fabbisogno è integrale e differenziato per figura, e che la distanza dal profilo esistente è massima nell’area digitale e pro-Intelligenza Artificiale. Codice </w:t>
            </w:r>
            <w:proofErr w:type="spellStart"/>
            <w:r>
              <w:rPr>
                <w:b/>
                <w:bCs/>
                <w:color w:val="FFFFFF"/>
                <w:sz w:val="18"/>
                <w:szCs w:val="18"/>
              </w:rPr>
              <w:t>Canva-Friendly</w:t>
            </w:r>
            <w:proofErr w:type="spellEnd"/>
            <w:r>
              <w:rPr>
                <w:b/>
                <w:bCs/>
                <w:color w:val="FFFFFF"/>
                <w:sz w:val="18"/>
                <w:szCs w:val="18"/>
              </w:rPr>
              <w:t xml:space="preserve"> (scheda di generazione) TIPO: diagramma radiale a 4 assi con anelli concentrici (livello: di base / intermedio / elevato) FORMATO: 1280 × 1000 </w:t>
            </w:r>
            <w:proofErr w:type="spellStart"/>
            <w:r>
              <w:rPr>
                <w:b/>
                <w:bCs/>
                <w:color w:val="FFFFFF"/>
                <w:sz w:val="18"/>
                <w:szCs w:val="18"/>
              </w:rPr>
              <w:t>px</w:t>
            </w:r>
            <w:proofErr w:type="spellEnd"/>
            <w:r>
              <w:rPr>
                <w:b/>
                <w:bCs/>
                <w:color w:val="FFFFFF"/>
                <w:sz w:val="18"/>
                <w:szCs w:val="18"/>
              </w:rPr>
              <w:t xml:space="preserve">; adatta a slide e ad A4 SFONDO: gradiente verticale bianco #FFFFFF 85% → crema #F3EAD6 15% PALETTE: assi e nucleo #101F3C; area clinica #16264B; organizzativa #244272; relazionale #2E5AA0; digitale/pro-IA #5B7BB0; accento oro #C49A48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valori </w:t>
            </w:r>
            <w:proofErr w:type="spellStart"/>
            <w:r>
              <w:rPr>
                <w:b/>
                <w:bCs/>
                <w:color w:val="FFFFFF"/>
                <w:sz w:val="18"/>
                <w:szCs w:val="18"/>
              </w:rPr>
              <w:t>Bold</w:t>
            </w:r>
            <w:proofErr w:type="spellEnd"/>
            <w:r>
              <w:rPr>
                <w:b/>
                <w:bCs/>
                <w:color w:val="FFFFFF"/>
                <w:sz w:val="18"/>
                <w:szCs w:val="18"/>
              </w:rPr>
              <w:t>, etichette Regular TITOLO: «La mappa del fabbisogno formativo integrale — quattro aree e livelli attesi» NUCLEO: «Psicologo di Base» (livello elevato su tutti e quattro gli assi) ASSI (4): Clinica · Organizzativa · Relazionale · Digitale (</w:t>
            </w:r>
            <w:proofErr w:type="spellStart"/>
            <w:r>
              <w:rPr>
                <w:b/>
                <w:bCs/>
                <w:color w:val="FFFFFF"/>
                <w:sz w:val="18"/>
                <w:szCs w:val="18"/>
              </w:rPr>
              <w:t>incl</w:t>
            </w:r>
            <w:proofErr w:type="spellEnd"/>
            <w:r>
              <w:rPr>
                <w:b/>
                <w:bCs/>
                <w:color w:val="FFFFFF"/>
                <w:sz w:val="18"/>
                <w:szCs w:val="18"/>
              </w:rPr>
              <w:t>. pro-IA) ANELLI: interno = di base; intermedio = intermedio; esterno = elevato SERIE: Psicologo di Base (esterno su tutti) · Medico di medicina generale (organizzativa/relazionale esterno; clinica/digitale intermedio) · Altre figure (differenziato) CODIFICA DISTANZA: tratteggio oro sull’asse digitale/pro-IA = distanza massima dal profilo esistente DIDASCALIA: «Il fabbisogno è integrale e differenziato: la distanza dal profilo esistente cresce dalla competenza clinica a quella pro-Intelligenza Artificiale» VARIANTE 3D (consigliata): diagramma radiale con effetto isometrico leggero, nucleo in rilievo e anelli digradanti; etichette degli assi in piano per la leggibilità FONTE (piè di figura): elaborazione dello studio su OMS (</w:t>
            </w:r>
            <w:proofErr w:type="spellStart"/>
            <w:r>
              <w:rPr>
                <w:b/>
                <w:bCs/>
                <w:color w:val="FFFFFF"/>
                <w:sz w:val="18"/>
                <w:szCs w:val="18"/>
              </w:rPr>
              <w:t>mhGAP</w:t>
            </w:r>
            <w:proofErr w:type="spellEnd"/>
            <w:r>
              <w:rPr>
                <w:b/>
                <w:bCs/>
                <w:color w:val="FFFFFF"/>
                <w:sz w:val="18"/>
                <w:szCs w:val="18"/>
              </w:rPr>
              <w:t xml:space="preserve">) e </w:t>
            </w:r>
            <w:proofErr w:type="spellStart"/>
            <w:r>
              <w:rPr>
                <w:b/>
                <w:bCs/>
                <w:color w:val="FFFFFF"/>
                <w:sz w:val="18"/>
                <w:szCs w:val="18"/>
              </w:rPr>
              <w:t>Topol</w:t>
            </w:r>
            <w:proofErr w:type="spellEnd"/>
            <w:r>
              <w:rPr>
                <w:b/>
                <w:bCs/>
                <w:color w:val="FFFFFF"/>
                <w:sz w:val="18"/>
                <w:szCs w:val="18"/>
              </w:rPr>
              <w:t xml:space="preserve"> </w:t>
            </w:r>
            <w:proofErr w:type="spellStart"/>
            <w:r>
              <w:rPr>
                <w:b/>
                <w:bCs/>
                <w:color w:val="FFFFFF"/>
                <w:sz w:val="18"/>
                <w:szCs w:val="18"/>
              </w:rPr>
              <w:t>Review</w:t>
            </w:r>
            <w:proofErr w:type="spellEnd"/>
            <w:r>
              <w:rPr>
                <w:b/>
                <w:bCs/>
                <w:color w:val="FFFFFF"/>
                <w:sz w:val="18"/>
                <w:szCs w:val="18"/>
              </w:rPr>
              <w:t xml:space="preserve"> (</w:t>
            </w:r>
            <w:proofErr w:type="spellStart"/>
            <w:r>
              <w:rPr>
                <w:b/>
                <w:bCs/>
                <w:color w:val="FFFFFF"/>
                <w:sz w:val="18"/>
                <w:szCs w:val="18"/>
              </w:rPr>
              <w:t>Health</w:t>
            </w:r>
            <w:proofErr w:type="spellEnd"/>
            <w:r>
              <w:rPr>
                <w:b/>
                <w:bCs/>
                <w:color w:val="FFFFFF"/>
                <w:sz w:val="18"/>
                <w:szCs w:val="18"/>
              </w:rPr>
              <w:t xml:space="preserve"> </w:t>
            </w:r>
            <w:proofErr w:type="spellStart"/>
            <w:r>
              <w:rPr>
                <w:b/>
                <w:bCs/>
                <w:color w:val="FFFFFF"/>
                <w:sz w:val="18"/>
                <w:szCs w:val="18"/>
              </w:rPr>
              <w:t>Education</w:t>
            </w:r>
            <w:proofErr w:type="spellEnd"/>
            <w:r>
              <w:rPr>
                <w:b/>
                <w:bCs/>
                <w:color w:val="FFFFFF"/>
                <w:sz w:val="18"/>
                <w:szCs w:val="18"/>
              </w:rPr>
              <w:t xml:space="preserve"> </w:t>
            </w:r>
            <w:proofErr w:type="spellStart"/>
            <w:r>
              <w:rPr>
                <w:b/>
                <w:bCs/>
                <w:color w:val="FFFFFF"/>
                <w:sz w:val="18"/>
                <w:szCs w:val="18"/>
              </w:rPr>
              <w:t>England</w:t>
            </w:r>
            <w:proofErr w:type="spellEnd"/>
            <w:r>
              <w:rPr>
                <w:b/>
                <w:bCs/>
                <w:color w:val="FFFFFF"/>
                <w:sz w:val="18"/>
                <w:szCs w:val="18"/>
              </w:rPr>
              <w:t>)</w:t>
            </w:r>
          </w:p>
          <w:p w14:paraId="51964A55" w14:textId="77777777" w:rsidR="007C4598" w:rsidRDefault="00000000">
            <w:pPr>
              <w:spacing w:before="120" w:after="60"/>
              <w:jc w:val="center"/>
            </w:pPr>
            <w:r>
              <w:rPr>
                <w:noProof/>
              </w:rPr>
              <w:drawing>
                <wp:inline distT="0" distB="0" distL="0" distR="0" wp14:anchorId="15434396" wp14:editId="50849381">
                  <wp:extent cx="8229600" cy="4629150"/>
                  <wp:effectExtent l="0" t="0" r="0" b="0"/>
                  <wp:docPr id="122" name="Infografica22" descr="La mappa del fabbisogno formativo per competenza e 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nfografica22"/>
                          <pic:cNvPicPr>
                            <a:picLocks noChangeAspect="1" noChangeArrowheads="1"/>
                          </pic:cNvPicPr>
                        </pic:nvPicPr>
                        <pic:blipFill>
                          <a:blip r:embed="rId33">
                            <a:extLst>
                              <a:ext uri="{96DAC541-7B7A-43D3-8B79-37D633B846F1}">
                                <asvg:svgBlip xmlns:asvg="http://schemas.microsoft.com/office/drawing/2016/SVG/main" r:embed="rId34"/>
                              </a:ext>
                            </a:extLst>
                          </a:blip>
                          <a:stretch>
                            <a:fillRect/>
                          </a:stretch>
                        </pic:blipFill>
                        <pic:spPr bwMode="auto">
                          <a:xfrm>
                            <a:off x="0" y="0"/>
                            <a:ext cx="8229600" cy="4629150"/>
                          </a:xfrm>
                          <a:prstGeom prst="rect">
                            <a:avLst/>
                          </a:prstGeom>
                          <a:noFill/>
                          <a:ln>
                            <a:noFill/>
                          </a:ln>
                        </pic:spPr>
                      </pic:pic>
                    </a:graphicData>
                  </a:graphic>
                </wp:inline>
              </w:drawing>
            </w:r>
          </w:p>
          <w:p w14:paraId="0DAE701B" w14:textId="77777777" w:rsidR="007C4598" w:rsidRDefault="00000000">
            <w:pPr>
              <w:spacing w:before="40" w:after="200"/>
              <w:jc w:val="center"/>
            </w:pPr>
            <w:r>
              <w:rPr>
                <w:i/>
                <w:color w:val="2E5A8F"/>
                <w:sz w:val="16"/>
                <w:szCs w:val="16"/>
              </w:rPr>
              <w:t>Fig. 5.1 — La mappa del fabbisogno formativo per competenza e figura. Elaborazione dello studio · Luigi De Michele · Giugno 2026.</w:t>
            </w:r>
          </w:p>
        </w:tc>
      </w:tr>
    </w:tbl>
    <w:p w14:paraId="02979BEC" w14:textId="77777777" w:rsidR="007C4598" w:rsidRDefault="007C4598"/>
    <w:p w14:paraId="0D454FE1" w14:textId="77777777" w:rsidR="007C4598" w:rsidRDefault="00000000">
      <w:pPr>
        <w:jc w:val="both"/>
      </w:pPr>
      <w:r>
        <w:t>Determinato il fabbisogno nelle sue quattro aree, nei suoi livelli differenziati lungo la cascata e nella sua dimensione interprofessionale, la trattazione può procedere all’esame delle modalità attraverso cui esso è soddisfatto. La prima modalità, oggetto della voce seguente, è la formazione universitaria, fondamento di lungo periodo del capitale umano professionale, da cui muove la costruzione del profilo di competenza che le aree fin qui descritte definiscono.</w:t>
      </w:r>
    </w:p>
    <w:p w14:paraId="3716257C" w14:textId="77777777" w:rsidR="007C4598" w:rsidRDefault="007C4598"/>
    <w:p w14:paraId="67A8E019" w14:textId="77777777" w:rsidR="007C4598" w:rsidRDefault="00000000">
      <w:pPr>
        <w:pStyle w:val="Titolo1"/>
        <w:pageBreakBefore/>
      </w:pPr>
      <w:r>
        <w:rPr>
          <w:sz w:val="22"/>
          <w:szCs w:val="22"/>
        </w:rPr>
        <w:t>5.2  Modalità prima — Formazione universitaria</w:t>
      </w:r>
    </w:p>
    <w:p w14:paraId="54AA1CBC" w14:textId="77777777" w:rsidR="007C4598" w:rsidRDefault="007C4598"/>
    <w:p w14:paraId="1D1D4997" w14:textId="77777777" w:rsidR="007C4598" w:rsidRDefault="00000000">
      <w:pPr>
        <w:jc w:val="both"/>
      </w:pPr>
      <w:r>
        <w:rPr>
          <w:i/>
          <w:iCs/>
        </w:rPr>
        <w:t>Questa voce esamina la prima delle quattro modalità formative, la formazione universitaria, nei suoi corsi di laurea, nei suoi master e nei suoi curricula. Essa ne descrive la funzione di fondamento di lungo periodo del capitale umano professionale, ne dichiara i costi, i tempi e i rendimenti, e ne riconosce i limiti, ponendo le basi del confronto con le modalità successive e con il percorso integrato.</w:t>
      </w:r>
    </w:p>
    <w:p w14:paraId="079CF1E9" w14:textId="77777777" w:rsidR="007C4598" w:rsidRDefault="007C4598"/>
    <w:p w14:paraId="2AF93922" w14:textId="77777777" w:rsidR="007C4598" w:rsidRDefault="00000000">
      <w:pPr>
        <w:jc w:val="both"/>
      </w:pPr>
      <w:r>
        <w:t>La formazione universitaria è la prima delle quattro modalità non soltanto nell’ordine dell’esposizione, ma nell’ordine logico della costruzione delle competenze, poiché essa fornisce il fondamento sul quale le altre modalità operano. Le competenze cliniche, organizzative, relazionali e digitali che il fabbisogno richiede non si costruiscono ex novo nell’esercizio della professione, ma poggiano su una base scientifica e metodologica che l’università trasmette e che le modalità successive specificano, aggiornano e traducono in pratica. La funzione propria della formazione universitaria è dunque la formazione del capitale umano professionale di lungo periodo: essa non addestra a un compito determinato, ma costruisce la capacità di apprendere, di valutare le prove e di adattare la propria pratica all’evoluzione delle conoscenze, capacità che costituiscono il presupposto durevole di ogni competenza successiva.</w:t>
      </w:r>
    </w:p>
    <w:p w14:paraId="36119DC0" w14:textId="77777777" w:rsidR="007C4598" w:rsidRDefault="007C4598"/>
    <w:p w14:paraId="5CDDA4C4" w14:textId="77777777" w:rsidR="007C4598" w:rsidRDefault="00000000">
      <w:pPr>
        <w:jc w:val="both"/>
      </w:pPr>
      <w:r>
        <w:t>Il percorso universitario dello psicologo si articola, nell’ordinamento italiano, nella laurea triennale nella classe delle scienze e tecniche psicologiche e nella laurea magistrale nella classe della psicologia, alla quale la riforma dei titoli universitari abilitanti ha conferito valore abilitante all’esercizio della professione, integrando nel corso di studi il tirocinio e la prova pratica valutativa.</w:t>
      </w:r>
      <w:r>
        <w:rPr>
          <w:color w:val="555555"/>
          <w:sz w:val="16"/>
          <w:szCs w:val="16"/>
          <w:vertAlign w:val="superscript"/>
        </w:rPr>
        <w:t>[9]</w:t>
      </w:r>
      <w:r>
        <w:t xml:space="preserve"> A questo percorso di base si aggiungono, nella formazione post-laurea di livello universitario, i master di primo e di secondo livello e i corsi di perfezionamento, che consentono la specializzazione delle competenze su ambiti determinati. È in questa articolazione che si colloca la possibilità di costruire, già nella formazione universitaria, il profilo di competenza che lo Psicologo di Base richiede: attraverso l’adeguamento dei curricula della laurea magistrale, che può introdurre nei piani di studio gli insegnamenti dedicati alla psicologia delle cure primarie, all’assistenza collaborativa e alla salute digitale; e attraverso l’istituzione di master dedicati, che possono costruire il profilo specialistico in modo mirato e in tempi più brevi di quelli della riforma curriculare. Lo standard europeo di certificazione delle competenze dello psicologo fornisce, a questo riguardo, la cornice entro cui i livelli minimi di competenza e la struttura del percorso possono essere definiti in modo coerente con il contesto sovranazionale.</w:t>
      </w:r>
      <w:r>
        <w:rPr>
          <w:color w:val="555555"/>
          <w:sz w:val="16"/>
          <w:szCs w:val="16"/>
          <w:vertAlign w:val="superscript"/>
        </w:rPr>
        <w:t>[8]</w:t>
      </w:r>
    </w:p>
    <w:p w14:paraId="3E06E120" w14:textId="77777777" w:rsidR="007C4598" w:rsidRDefault="007C4598"/>
    <w:p w14:paraId="28F74E03" w14:textId="77777777" w:rsidR="007C4598" w:rsidRDefault="00000000">
      <w:pPr>
        <w:jc w:val="both"/>
      </w:pPr>
      <w:r>
        <w:t xml:space="preserve">La valutazione della formazione universitaria secondo i modelli del ritorno sull’investimento formativo mette in evidenza un profilo caratteristico, che la distingue dalle modalità successive. Nei termini dei quattro livelli di </w:t>
      </w:r>
      <w:proofErr w:type="spellStart"/>
      <w:r>
        <w:t>Kirkpatrick</w:t>
      </w:r>
      <w:proofErr w:type="spellEnd"/>
      <w:r>
        <w:t>, la formazione universitaria opera con la massima efficacia al secondo livello, quello dell’apprendimento delle conoscenze e delle abilità, poiché è la modalità che costruisce il fondamento scientifico e metodologico nella sua forma più sistematica e completa; opera invece in modo differito al terzo e al quarto livello, quelli del trasferimento dei comportamenti nella pratica e dei risultati organizzativi, poiché il fondamento che essa costruisce si traduce in pratica e in risultato solo attraverso la successiva esperienza professionale e l’affiancamento esperto, che le altre modalità forniscono. Questo profilo differito ha una conseguenza diretta sul rendimento: il valore della formazione universitaria è elevato e durevole, ma si manifesta nel lungo periodo e non è immediatamente convertibile in efficienza del servizio, a differenza del valore prodotto dalle modalità che operano direttamente sul trasferimento e sull’adozione.</w:t>
      </w:r>
    </w:p>
    <w:p w14:paraId="32788436" w14:textId="77777777" w:rsidR="007C4598" w:rsidRDefault="007C4598"/>
    <w:p w14:paraId="5474CB28" w14:textId="77777777" w:rsidR="007C4598" w:rsidRDefault="00000000">
      <w:pPr>
        <w:jc w:val="both"/>
      </w:pPr>
      <w:r>
        <w:t>La considerazione dei costi della formazione universitaria richiede una distinzione che ha rilievo diretto per la valutazione economica della riforma e per la regola di non duplicazione che governa l’opera. Il costo della formazione universitaria di base — la laurea triennale e la laurea magistrale — non grava in via principale sul bilancio sanitario regionale né sul programma formativo della riforma, ma sul sistema dell’istruzione universitaria e, in parte, sull’individuo che intraprende il percorso. Esso è perciò in larga misura un costo esterno al perimetro economico della riforma, già sostenuto dal sistema per la formazione dei professionisti che la riforma impiega, e non un costo incrementale che la riforma genera. Costituiscono invece costi che la riforma può sostenere, e che ricadono nel suo perimetro economico, gli interventi mirati di adeguamento dei curricula e di istituzione di master dedicati, nella misura in cui la Regione li promuova e li finanzi per costruire il profilo specialistico che il servizio richiede. La distinzione tra il costo esterno della formazione di base e il costo incrementale degli interventi mirati è essenziale affinché la valutazione economica non attribuisca alla riforma costi che essa non genera, e sarà ripresa nella settima voce, dove il costo della formazione è quantificato per ciascuna modalità.</w:t>
      </w:r>
    </w:p>
    <w:p w14:paraId="1FA29892" w14:textId="77777777" w:rsidR="007C4598" w:rsidRDefault="007C4598"/>
    <w:p w14:paraId="3BC3E71D" w14:textId="77777777" w:rsidR="007C4598" w:rsidRDefault="00000000">
      <w:pPr>
        <w:jc w:val="both"/>
      </w:pPr>
      <w:r>
        <w:t xml:space="preserve">La formazione universitaria presenta, accanto ai suoi pregi, limiti che ne circoscrivono la funzione e che giustificano il ricorso alle modalità successive. Il primo limite è la durata: il percorso universitario si misura in anni, e il fondamento che esso costruisce è disponibile solo al termine di un ciclo formativo lungo, inadeguato a rispondere a un fabbisogno che la riforma genera nel breve periodo. Il secondo limite è la generalità: la formazione universitaria costruisce un profilo ampio e fondato, ma non specifico al </w:t>
      </w:r>
      <w:proofErr w:type="spellStart"/>
      <w:r>
        <w:t>setting</w:t>
      </w:r>
      <w:proofErr w:type="spellEnd"/>
      <w:r>
        <w:t xml:space="preserve"> delle cure primarie, e la sua specificazione richiede interventi ulteriori, curriculari o post-laurea, che ne riducono la genericità senza eliminarla del tutto. Il terzo limite è la lentezza dell’aggiornamento: i curricula universitari si modificano attraverso processi istituzionali che hanno tempi propri, e mal si adattano alla rapidità con cui evolvono le competenze digitali e quelle dedicate all’Intelligenza Artificiale, che richiedono un aggiornamento più frequente di quello che la struttura universitaria può assicurare. Questi tre limiti non sono difetti della formazione universitaria, ma caratteri propri della sua funzione, che è quella di costruire un fondamento durevole e non quella di rispondere a esigenze immediate o di aggiornare con frequenza; e sono precisamente i limiti che le modalità successive — l’educazione continua, la formazione lavorativa e l’affiancamento — sono chiamate a compensare. La tabella seguente riepiloga i percorsi della formazione universitaria, la loro durata, i loro esiti e l’onere prevalente che ciascuno comporta.</w:t>
      </w:r>
    </w:p>
    <w:p w14:paraId="658627B6" w14:textId="77777777" w:rsidR="007C4598" w:rsidRDefault="007C4598"/>
    <w:p w14:paraId="66AE6BB3" w14:textId="77777777" w:rsidR="007C4598" w:rsidRDefault="00000000">
      <w:pPr>
        <w:jc w:val="both"/>
      </w:pPr>
      <w:r>
        <w:rPr>
          <w:b/>
          <w:bCs/>
        </w:rPr>
        <w:t>Tabella 5.2.A — I percorsi della formazione universitaria: durata, esiti, onere prevalente</w:t>
      </w:r>
    </w:p>
    <w:p w14:paraId="4C669229"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17746DAC"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6020A76" w14:textId="77777777" w:rsidR="007C4598" w:rsidRDefault="00000000">
            <w:pPr>
              <w:spacing w:after="40"/>
            </w:pPr>
            <w:r>
              <w:rPr>
                <w:b/>
                <w:bCs/>
                <w:color w:val="FFFFFF"/>
                <w:sz w:val="18"/>
                <w:szCs w:val="18"/>
              </w:rPr>
              <w:t>Percorso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75802FE" w14:textId="77777777" w:rsidR="007C4598" w:rsidRDefault="00000000">
            <w:pPr>
              <w:spacing w:after="40"/>
            </w:pPr>
            <w:r>
              <w:rPr>
                <w:b/>
                <w:bCs/>
                <w:color w:val="FFFFFF"/>
                <w:sz w:val="18"/>
                <w:szCs w:val="18"/>
              </w:rPr>
              <w:t>Durata indicativa</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677B7F8" w14:textId="77777777" w:rsidR="007C4598" w:rsidRDefault="00000000">
            <w:pPr>
              <w:spacing w:after="40"/>
            </w:pPr>
            <w:r>
              <w:rPr>
                <w:b/>
                <w:bCs/>
                <w:color w:val="FFFFFF"/>
                <w:sz w:val="18"/>
                <w:szCs w:val="18"/>
              </w:rPr>
              <w:t>Esito formativo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9D97BF0" w14:textId="77777777" w:rsidR="007C4598" w:rsidRDefault="00000000">
            <w:pPr>
              <w:spacing w:after="40"/>
            </w:pPr>
            <w:r>
              <w:rPr>
                <w:b/>
                <w:bCs/>
                <w:color w:val="FFFFFF"/>
                <w:sz w:val="18"/>
                <w:szCs w:val="18"/>
              </w:rPr>
              <w:t>Onere prevalente</w:t>
            </w:r>
          </w:p>
        </w:tc>
      </w:tr>
      <w:tr w:rsidR="007C4598" w14:paraId="241F9769"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8A01DE6" w14:textId="77777777" w:rsidR="007C4598" w:rsidRDefault="00000000">
            <w:pPr>
              <w:spacing w:after="40"/>
            </w:pPr>
            <w:r>
              <w:rPr>
                <w:b/>
                <w:bCs/>
              </w:rPr>
              <w:t>Laurea triennale (scienze e tecniche psicologiche)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1A7E628" w14:textId="77777777" w:rsidR="007C4598" w:rsidRDefault="00000000">
            <w:pPr>
              <w:spacing w:after="40"/>
            </w:pPr>
            <w:r>
              <w:t>3 anni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1357210" w14:textId="77777777" w:rsidR="007C4598" w:rsidRDefault="00000000">
            <w:pPr>
              <w:spacing w:after="40"/>
            </w:pPr>
            <w:r>
              <w:t>Fondamento scientifico di base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A658801" w14:textId="77777777" w:rsidR="007C4598" w:rsidRDefault="00000000">
            <w:pPr>
              <w:spacing w:after="40"/>
            </w:pPr>
            <w:r>
              <w:t>Sistema istruzione / individuo (esterno alla riforma)</w:t>
            </w:r>
          </w:p>
        </w:tc>
      </w:tr>
      <w:tr w:rsidR="007C4598" w14:paraId="0816FBAA"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B005E8D" w14:textId="77777777" w:rsidR="007C4598" w:rsidRDefault="00000000">
            <w:pPr>
              <w:spacing w:after="40"/>
            </w:pPr>
            <w:r>
              <w:rPr>
                <w:b/>
                <w:bCs/>
              </w:rPr>
              <w:t>Laurea magistrale abilitante (psicologia)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8382509" w14:textId="77777777" w:rsidR="007C4598" w:rsidRDefault="00000000">
            <w:pPr>
              <w:spacing w:after="40"/>
            </w:pPr>
            <w:r>
              <w:t>2 anni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CF18DA1" w14:textId="77777777" w:rsidR="007C4598" w:rsidRDefault="00000000">
            <w:pPr>
              <w:spacing w:after="40"/>
            </w:pPr>
            <w:r>
              <w:t>Profilo professionale abilitato, tirocinio integrato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9D33EA5" w14:textId="77777777" w:rsidR="007C4598" w:rsidRDefault="00000000">
            <w:pPr>
              <w:spacing w:after="40"/>
            </w:pPr>
            <w:r>
              <w:t>Sistema istruzione / individuo (esterno alla riforma)</w:t>
            </w:r>
          </w:p>
        </w:tc>
      </w:tr>
      <w:tr w:rsidR="007C4598" w14:paraId="5D4F0CA9"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4C15350" w14:textId="77777777" w:rsidR="007C4598" w:rsidRDefault="00000000">
            <w:pPr>
              <w:spacing w:after="40"/>
            </w:pPr>
            <w:r>
              <w:rPr>
                <w:b/>
                <w:bCs/>
              </w:rPr>
              <w:t>Master dedicato (cure primarie, salute digitale)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7A62ADC" w14:textId="77777777" w:rsidR="007C4598" w:rsidRDefault="00000000">
            <w:pPr>
              <w:spacing w:after="40"/>
            </w:pPr>
            <w:r>
              <w:t>1 anno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CC70B11" w14:textId="77777777" w:rsidR="007C4598" w:rsidRDefault="00000000">
            <w:pPr>
              <w:spacing w:after="40"/>
            </w:pPr>
            <w:r>
              <w:t>Profilo specialistico mirato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B008083" w14:textId="77777777" w:rsidR="007C4598" w:rsidRDefault="00000000">
            <w:pPr>
              <w:spacing w:after="40"/>
            </w:pPr>
            <w:r>
              <w:t>Incrementale: promosso/finanziabile dalla Regione</w:t>
            </w:r>
          </w:p>
        </w:tc>
      </w:tr>
      <w:tr w:rsidR="007C4598" w14:paraId="256475B1"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CA59EF7" w14:textId="77777777" w:rsidR="007C4598" w:rsidRDefault="00000000">
            <w:pPr>
              <w:spacing w:after="40"/>
            </w:pPr>
            <w:r>
              <w:rPr>
                <w:b/>
                <w:bCs/>
              </w:rPr>
              <w:t>Adeguamento dei curricula magistrali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8D02EF7" w14:textId="77777777" w:rsidR="007C4598" w:rsidRDefault="00000000">
            <w:pPr>
              <w:spacing w:after="40"/>
            </w:pPr>
            <w:r>
              <w:t>ciclo istituzionale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5A68D47" w14:textId="77777777" w:rsidR="007C4598" w:rsidRDefault="00000000">
            <w:pPr>
              <w:spacing w:after="40"/>
            </w:pPr>
            <w:r>
              <w:t>Profilo di base orientato alle cure primarie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186A494" w14:textId="77777777" w:rsidR="007C4598" w:rsidRDefault="00000000">
            <w:pPr>
              <w:spacing w:after="40"/>
            </w:pPr>
            <w:r>
              <w:t>Incrementale: cofinanziabile dalla Regione</w:t>
            </w:r>
          </w:p>
        </w:tc>
      </w:tr>
    </w:tbl>
    <w:p w14:paraId="1A03DC6C" w14:textId="77777777" w:rsidR="007C4598" w:rsidRDefault="007C4598"/>
    <w:p w14:paraId="212BE767" w14:textId="77777777" w:rsidR="007C4598" w:rsidRDefault="00000000">
      <w:pPr>
        <w:jc w:val="both"/>
      </w:pPr>
      <w:r>
        <w:t>La posizione della formazione universitaria nel percorso integrato, che la sesta voce tratterà compiutamente, può essere già anticipata nei suoi termini essenziali. La formazione universitaria è il fondamento sul quale le altre modalità operano, e in questa funzione è insostituibile: nessuna delle modalità successive costruisce il capitale umano professionale di lungo periodo che l’università trasmette, e la loro efficacia presuppone quel fondamento. Ma proprio perché è fondamento, la formazione universitaria non è sufficiente da sola: essa richiede di essere aggiornata dall’educazione continua, tradotta in pratica dalla formazione lavorativa e accelerata nell’adozione delle competenze nuove dall’affiancamento esperto. La combinazione ottimale delle modalità, che la sesta voce individuerà, colloca perciò la formazione universitaria all’origine del percorso, come componente che costruisce il capitale di lungo periodo, e le affianca le modalità che ne compensano i limiti di durata, di generalità e di aggiornamento. È in questa composizione, e non nell’isolamento, che la formazione universitaria esprime il suo rendimento pieno; e a questa composizione la trattazione perverrà dopo aver esaminato, nelle voci seguenti, le altre tre modalità a sé stanti, a partire dalla formazione post-universitaria, che della formazione universitaria è il prolungamento e l’aggiornamento.</w:t>
      </w:r>
    </w:p>
    <w:p w14:paraId="2C59132D" w14:textId="77777777" w:rsidR="007C4598" w:rsidRDefault="007C4598"/>
    <w:p w14:paraId="704182BE" w14:textId="77777777" w:rsidR="007C4598" w:rsidRDefault="00000000">
      <w:pPr>
        <w:pStyle w:val="Titolo1"/>
        <w:pageBreakBefore/>
      </w:pPr>
      <w:r>
        <w:rPr>
          <w:sz w:val="22"/>
          <w:szCs w:val="22"/>
        </w:rPr>
        <w:t>5.3  Modalità seconda — Formazione post-universitaria</w:t>
      </w:r>
    </w:p>
    <w:p w14:paraId="1C41AFF8" w14:textId="77777777" w:rsidR="007C4598" w:rsidRDefault="007C4598"/>
    <w:p w14:paraId="1F087F68" w14:textId="77777777" w:rsidR="007C4598" w:rsidRDefault="00000000">
      <w:pPr>
        <w:jc w:val="both"/>
      </w:pPr>
      <w:r>
        <w:rPr>
          <w:i/>
          <w:iCs/>
        </w:rPr>
        <w:t>Questa voce esamina la seconda modalità formativa, la formazione post-universitaria, nelle sue tre forme — la specializzazione, l’educazione continua in medicina e le certificazioni. Essa ne descrive la funzione di aggiornamento rapido e continuo delle competenze, che compensa il limite di lentezza proprio della formazione universitaria, ne dichiara i costi, i tempi e i rendimenti, vi colloca il veicolo naturale dell’aggiornamento delle competenze dedicate all’Intelligenza Artificiale, e ne riconosce i limiti di frammentarietà e di dipendenza dalla qualità dei provider.</w:t>
      </w:r>
    </w:p>
    <w:p w14:paraId="240C891B" w14:textId="77777777" w:rsidR="007C4598" w:rsidRDefault="007C4598"/>
    <w:p w14:paraId="0FF49FDC" w14:textId="77777777" w:rsidR="007C4598" w:rsidRDefault="00000000">
      <w:pPr>
        <w:jc w:val="both"/>
      </w:pPr>
      <w:r>
        <w:t>La formazione post-universitaria è la seconda modalità e, nell’ordine logico della costruzione delle competenze, il prolungamento e l’aggiornamento del fondamento che la formazione universitaria trasmette. La sua funzione propria si definisce per contrasto con il limite che la voce precedente ha riconosciuto alla formazione universitaria: dove l’università costruisce un fondamento durevole ma si aggiorna con lentezza, attraverso processi istituzionali dai tempi lunghi, la formazione post-universitaria provvede all’aggiornamento rapido e ripetibile delle competenze, adeguandole all’evoluzione delle conoscenze e degli strumenti con una frequenza che la struttura universitaria non può assicurare. È perciò la modalità che mantiene la competenza professionale costantemente adeguata, e la sua necessità cresce in proporzione alla rapidità con cui evolvono i contenuti che essa aggiorna — una rapidità che, nel caso delle competenze digitali e di quelle dedicate all’Intelligenza Artificiale, è massima.</w:t>
      </w:r>
    </w:p>
    <w:p w14:paraId="36A5869A" w14:textId="77777777" w:rsidR="007C4598" w:rsidRDefault="007C4598"/>
    <w:p w14:paraId="072986F5" w14:textId="77777777" w:rsidR="007C4598" w:rsidRDefault="00000000">
      <w:pPr>
        <w:jc w:val="both"/>
      </w:pPr>
      <w:r>
        <w:t>La formazione post-universitaria si realizza, nell’ordinamento italiano, attraverso tre forme distinte, che la presente voce considera in successione. La prima è la specializzazione, che approfondisce e specializza il profilo clinico attraverso le scuole di specializzazione universitarie e le scuole di psicoterapia riconosciute; l’esercizio dell’attività psicoterapeutica, in particolare, è subordinato dalla legge a una specifica formazione presso tali scuole, e costituisce la forma più strutturata e prolungata della specializzazione post-laurea.</w:t>
      </w:r>
      <w:r>
        <w:rPr>
          <w:color w:val="555555"/>
          <w:sz w:val="16"/>
          <w:szCs w:val="16"/>
          <w:vertAlign w:val="superscript"/>
        </w:rPr>
        <w:t>[12]</w:t>
      </w:r>
      <w:r>
        <w:t xml:space="preserve"> La seconda forma è l’educazione continua in medicina, che assicura l’aggiornamento periodico e obbligatorio delle competenze attraverso un sistema nazionale di crediti formativi: gli esercenti le professioni sanitarie, psicologi compresi, sono tenuti ad acquisire un debito formativo triennale presso provider accreditati, e il sistema costituisce il principale canale istituzionale dell’aggiornamento continuo.</w:t>
      </w:r>
      <w:r>
        <w:rPr>
          <w:color w:val="555555"/>
          <w:sz w:val="16"/>
          <w:szCs w:val="16"/>
          <w:vertAlign w:val="superscript"/>
        </w:rPr>
        <w:t>[11]</w:t>
      </w:r>
      <w:r>
        <w:t xml:space="preserve"> La terza forma è la certificazione, che attesta il possesso di una competenza determinata attraverso percorsi mirati e di durata contenuta, e che si presta in modo particolare all’acquisizione rapida di competenze specifiche, comprese quelle digitali e quelle dedicate all’uso degli strumenti di Intelligenza Artificiale.</w:t>
      </w:r>
    </w:p>
    <w:p w14:paraId="5F2B23A4" w14:textId="77777777" w:rsidR="007C4598" w:rsidRDefault="007C4598"/>
    <w:p w14:paraId="15034517" w14:textId="77777777" w:rsidR="007C4598" w:rsidRDefault="00000000">
      <w:pPr>
        <w:jc w:val="both"/>
      </w:pPr>
      <w:r>
        <w:t xml:space="preserve">La specializzazione, prima forma della modalità, costruisce il profilo clinico approfondito e ne assicura il riconoscimento. Per la figura dello Psicologo di Base, la specializzazione rilevante è quella orientata agli interventi brevi e fondati sulle prove adatti al contesto delle cure primarie, più che alla psicoterapia di lungo corso propria del </w:t>
      </w:r>
      <w:proofErr w:type="spellStart"/>
      <w:r>
        <w:t>setting</w:t>
      </w:r>
      <w:proofErr w:type="spellEnd"/>
      <w:r>
        <w:t xml:space="preserve"> specialistico; ma va riconosciuto che la specializzazione, e in particolare la formazione psicoterapeutica presso le scuole riconosciute, è un percorso prolungato, che si misura in anni, e condivide perciò in parte il limite di durata della formazione universitaria, dal quale si distingue per la maggiore specificità del profilo che costruisce. La specializzazione, in questo senso, sta a metà tra la formazione universitaria, di cui prolunga la durata e la profondità, e le forme più agili della modalità post-universitaria, di cui non condivide la rapidità; e il suo rendimento è elevato e durevole, ma differito come quello della formazione universitaria.</w:t>
      </w:r>
    </w:p>
    <w:p w14:paraId="397E3628" w14:textId="77777777" w:rsidR="007C4598" w:rsidRDefault="007C4598"/>
    <w:p w14:paraId="39F07C37" w14:textId="77777777" w:rsidR="007C4598" w:rsidRDefault="00000000">
      <w:pPr>
        <w:jc w:val="both"/>
      </w:pPr>
      <w:r>
        <w:t>L’educazione continua in medicina, seconda forma della modalità, è il canale attraverso cui la competenza professionale è mantenuta costantemente adeguata. Il sistema dei crediti formativi impone al professionista un aggiornamento periodico e ne verifica l’assolvimento, ma la sua efficacia formativa dipende dalla qualità e dalla pertinenza dei percorsi offerti dai provider accreditati. È in questa forma che la riforma trova il suo strumento più diretto di aggiornamento delle competenze dello Psicologo di Base, poiché il sistema sanitario regionale può operare esso stesso come provider accreditato e progettare percorsi di educazione continua dedicati ai contenuti che il modello richiede: la psicologia delle cure primarie, l’assistenza collaborativa, gli interventi a bassa intensità, i dispositivi terapeutici digitali e l’uso degli strumenti assistiti da algoritmi. Il costo dei percorsi di educazione continua progettati e finanziati dalla Regione è un costo incrementale che ricade nel perimetro economico della riforma, e come tale sarà quantificato nella settima voce; il costo dell’assolvimento generale dell’obbligo formativo, invece, grava in via ordinaria sul professionista e sul datore di lavoro, ed è in larga parte esterno al perimetro della riforma, secondo la distinzione tra costo esterno e costo incrementale già introdotta a proposito della formazione universitaria.</w:t>
      </w:r>
    </w:p>
    <w:p w14:paraId="59DA2218" w14:textId="77777777" w:rsidR="007C4598" w:rsidRDefault="007C4598"/>
    <w:p w14:paraId="205AE3F0" w14:textId="77777777" w:rsidR="007C4598" w:rsidRDefault="00000000">
      <w:pPr>
        <w:jc w:val="both"/>
      </w:pPr>
      <w:r>
        <w:t>La certificazione, terza forma della modalità, attesta il possesso di una competenza determinata e si presta in modo particolare all’aggiornamento rapido e mirato delle competenze digitali e di quelle dedicate all’Intelligenza Artificiale. È precisamente in questa forma che si colloca, in misura prevalente, l’aggiornamento delle competenze pro-Intelligenza Artificiale considerate a sé stanti, secondo la prima esigenza del duplice mandato. La rapidità con cui evolvono gli strumenti di Intelligenza Artificiale rende inadeguata, per il loro aggiornamento, la lentezza della formazione universitaria, e richiede percorsi brevi, ripetibili e mirati, che attestino di volta in volta la competenza nell’uso degli strumenti di triage e di stratificazione, dei dispositivi terapeutici digitali, e l’alfabetizzazione ai loro limiti e ai loro rischi. La graduazione invariante dell’evidenza si applica con pienezza a questa forma: la certificazione attesta una competenza nell’uso dello strumento, non l’acquisizione di una capacità sostitutiva del giudizio clinico, e l’evidenza sulla resa formativa dei percorsi dedicati all’Intelligenza Artificiale è graduata con il medesimo rigore applicato alle competenze cliniche. La certificazione, in questo senso, è il luogo in cui la competenza pro-Intelligenza Artificiale è costruita e aggiornata in modo isolato e ripetibile, prima di essere integrata, attraverso le modalità successive, nel profilo professionale complessivo.</w:t>
      </w:r>
    </w:p>
    <w:p w14:paraId="59E73345" w14:textId="77777777" w:rsidR="007C4598" w:rsidRDefault="007C4598"/>
    <w:p w14:paraId="15A6CA0A" w14:textId="77777777" w:rsidR="007C4598" w:rsidRDefault="00000000">
      <w:pPr>
        <w:jc w:val="both"/>
      </w:pPr>
      <w:r>
        <w:t xml:space="preserve">La valutazione della formazione post-universitaria secondo i modelli del ritorno sull’investimento formativo ne mette in luce un profilo intermedio tra quello della formazione universitaria e quello delle modalità successive. Nei termini dei livelli di </w:t>
      </w:r>
      <w:proofErr w:type="spellStart"/>
      <w:r>
        <w:t>Kirkpatrick</w:t>
      </w:r>
      <w:proofErr w:type="spellEnd"/>
      <w:r>
        <w:t>, la formazione post-universitaria opera con efficacia al secondo livello, quello dell’apprendimento, e raggiunge in parte il terzo, quello del trasferimento dei comportamenti, in misura maggiore della formazione universitaria, poiché i suoi percorsi sono più vicini alla pratica e più facilmente convertibili in efficienza del servizio; il suo ciclo è inoltre più rapido, sicché il suo rendimento si manifesta in tempi più brevi di quelli della formazione universitaria. La distinzione dei costi, già introdotta, ha qui la sua applicazione: l’obbligo generale dell’educazione continua è un costo in larga parte esterno, mentre i percorsi mirati di educazione continua e le certificazioni promosse e finanziate dalla Regione sono costi incrementali interni al perimetro, da quantificare senza duplicazione rispetto alle altre modalità.</w:t>
      </w:r>
    </w:p>
    <w:p w14:paraId="3AA1B1A8" w14:textId="77777777" w:rsidR="007C4598" w:rsidRDefault="007C4598"/>
    <w:p w14:paraId="68295392" w14:textId="77777777" w:rsidR="007C4598" w:rsidRDefault="00000000">
      <w:pPr>
        <w:jc w:val="both"/>
      </w:pPr>
      <w:r>
        <w:t>La formazione post-universitaria presenta, come la formazione universitaria, limiti che ne circoscrivono la funzione e che giustificano il ricorso alle modalità successive. Il primo limite è la frammentarietà: la formazione post-universitaria procede per eventi discreti — corsi, crediti, certificazioni — e, in assenza di un disegno che li coordini, rischia di produrre un aggiornamento frammentario anziché uno sviluppo coerente delle competenze. Il secondo limite è la dipendenza dalla qualità dei provider: il valore dell’educazione continua e delle certificazioni dipende dalla qualità e dalla pertinenza dei percorsi offerti, che è variabile, e la sola acquisizione dei crediti non garantisce l’acquisizione delle competenze. Il terzo limite è il rischio dell’adempimento formale: l’obbligo dei crediti può essere soddisfatto in modo formale, senza un reale trasferimento nella pratica, se i percorsi non sono progettati per produrre un cambiamento dei comportamenti. Questi tre limiti indicano che la formazione post-universitaria, come la formazione universitaria, è necessaria ma non sufficiente, e richiede le modalità che traducono l’aggiornamento in pratica — la formazione lavorativa e l’affiancamento — affinché il suo rendimento si realizzi. La tabella seguente riepiloga le tre forme della formazione post-universitaria, la loro durata, i loro esiti e l’onere prevalente che ciascuna comporta.</w:t>
      </w:r>
    </w:p>
    <w:p w14:paraId="1477E434" w14:textId="77777777" w:rsidR="007C4598" w:rsidRDefault="007C4598"/>
    <w:p w14:paraId="567A6266" w14:textId="77777777" w:rsidR="007C4598" w:rsidRDefault="00000000">
      <w:pPr>
        <w:jc w:val="both"/>
      </w:pPr>
      <w:r>
        <w:rPr>
          <w:b/>
          <w:bCs/>
        </w:rPr>
        <w:t>Tabella 5.3.A — Le tre forme della formazione post-universitaria: durata, esiti, onere prevalente</w:t>
      </w:r>
    </w:p>
    <w:p w14:paraId="301DD625"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17"/>
        <w:gridCol w:w="2180"/>
        <w:gridCol w:w="2215"/>
        <w:gridCol w:w="2414"/>
      </w:tblGrid>
      <w:tr w:rsidR="007C4598" w14:paraId="16E0147B"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3AD2349" w14:textId="77777777" w:rsidR="007C4598" w:rsidRDefault="00000000">
            <w:pPr>
              <w:spacing w:after="40"/>
            </w:pPr>
            <w:r>
              <w:rPr>
                <w:b/>
                <w:bCs/>
                <w:color w:val="FFFFFF"/>
                <w:sz w:val="18"/>
                <w:szCs w:val="18"/>
              </w:rPr>
              <w:t>Forma</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42F52D5" w14:textId="77777777" w:rsidR="007C4598" w:rsidRDefault="00000000">
            <w:pPr>
              <w:spacing w:after="40"/>
            </w:pPr>
            <w:r>
              <w:rPr>
                <w:b/>
                <w:bCs/>
                <w:color w:val="FFFFFF"/>
                <w:sz w:val="18"/>
                <w:szCs w:val="18"/>
              </w:rPr>
              <w:t>Durata indicativa</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6896868" w14:textId="77777777" w:rsidR="007C4598" w:rsidRDefault="00000000">
            <w:pPr>
              <w:spacing w:after="40"/>
            </w:pPr>
            <w:r>
              <w:rPr>
                <w:b/>
                <w:bCs/>
                <w:color w:val="FFFFFF"/>
                <w:sz w:val="18"/>
                <w:szCs w:val="18"/>
              </w:rPr>
              <w:t>Esito formativo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0772C02" w14:textId="77777777" w:rsidR="007C4598" w:rsidRDefault="00000000">
            <w:pPr>
              <w:spacing w:after="40"/>
            </w:pPr>
            <w:r>
              <w:rPr>
                <w:b/>
                <w:bCs/>
                <w:color w:val="FFFFFF"/>
                <w:sz w:val="18"/>
                <w:szCs w:val="18"/>
              </w:rPr>
              <w:t>Onere prevalente</w:t>
            </w:r>
          </w:p>
        </w:tc>
      </w:tr>
      <w:tr w:rsidR="007C4598" w14:paraId="48B34ED5"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D7E7EAA" w14:textId="77777777" w:rsidR="007C4598" w:rsidRDefault="00000000">
            <w:pPr>
              <w:spacing w:after="40"/>
            </w:pPr>
            <w:r>
              <w:rPr>
                <w:b/>
                <w:bCs/>
              </w:rPr>
              <w:t>Specializzazione (scuole di specializzazione e psicoterapia)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8CDFA46" w14:textId="77777777" w:rsidR="007C4598" w:rsidRDefault="00000000">
            <w:pPr>
              <w:spacing w:after="40"/>
            </w:pPr>
            <w:r>
              <w:t>pluriennale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1074A50" w14:textId="77777777" w:rsidR="007C4598" w:rsidRDefault="00000000">
            <w:pPr>
              <w:spacing w:after="40"/>
            </w:pPr>
            <w:r>
              <w:t>Profilo clinico approfondito, abilitazione psicoterapeutica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FBAB4B4" w14:textId="77777777" w:rsidR="007C4598" w:rsidRDefault="00000000">
            <w:pPr>
              <w:spacing w:after="40"/>
            </w:pPr>
            <w:r>
              <w:t>Sistema istruzione / individuo (esterno)</w:t>
            </w:r>
          </w:p>
        </w:tc>
      </w:tr>
      <w:tr w:rsidR="007C4598" w14:paraId="62C3BE27"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1E41B5F" w14:textId="77777777" w:rsidR="007C4598" w:rsidRDefault="00000000">
            <w:pPr>
              <w:spacing w:after="40"/>
            </w:pPr>
            <w:r>
              <w:rPr>
                <w:b/>
                <w:bCs/>
              </w:rPr>
              <w:t>Educazione continua (ECM)</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6FAC4C2" w14:textId="77777777" w:rsidR="007C4598" w:rsidRDefault="00000000">
            <w:pPr>
              <w:spacing w:after="40"/>
            </w:pPr>
            <w:r>
              <w:t>ciclo triennale ricorrente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D5B17A0" w14:textId="77777777" w:rsidR="007C4598" w:rsidRDefault="00000000">
            <w:pPr>
              <w:spacing w:after="40"/>
            </w:pPr>
            <w:r>
              <w:t>Aggiornamento periodico delle competenze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AA62419" w14:textId="77777777" w:rsidR="007C4598" w:rsidRDefault="00000000">
            <w:pPr>
              <w:spacing w:after="40"/>
            </w:pPr>
            <w:r>
              <w:t>Misto: obbligo esterno; percorsi mirati incrementali</w:t>
            </w:r>
          </w:p>
        </w:tc>
      </w:tr>
      <w:tr w:rsidR="007C4598" w14:paraId="7FC877F8"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A62CDAA" w14:textId="77777777" w:rsidR="007C4598" w:rsidRDefault="00000000">
            <w:pPr>
              <w:spacing w:after="40"/>
            </w:pPr>
            <w:r>
              <w:rPr>
                <w:b/>
                <w:bCs/>
              </w:rPr>
              <w:t>Certificazioni (digitali, pro-IA, interventi specifici)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B78B107" w14:textId="77777777" w:rsidR="007C4598" w:rsidRDefault="00000000">
            <w:pPr>
              <w:spacing w:after="40"/>
            </w:pPr>
            <w:r>
              <w:t>da settimane a mesi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02C0AD9" w14:textId="77777777" w:rsidR="007C4598" w:rsidRDefault="00000000">
            <w:pPr>
              <w:spacing w:after="40"/>
            </w:pPr>
            <w:r>
              <w:t>Competenza determinata e attestata, aggiornamento rapido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4A8EE3E" w14:textId="77777777" w:rsidR="007C4598" w:rsidRDefault="00000000">
            <w:pPr>
              <w:spacing w:after="40"/>
            </w:pPr>
            <w:r>
              <w:t>Incrementale: promuovibile/finanziabile dalla Regione</w:t>
            </w:r>
          </w:p>
        </w:tc>
      </w:tr>
    </w:tbl>
    <w:p w14:paraId="48AF4ED1" w14:textId="77777777" w:rsidR="007C4598" w:rsidRDefault="007C4598"/>
    <w:p w14:paraId="086F8D28" w14:textId="77777777" w:rsidR="007C4598" w:rsidRDefault="00000000">
      <w:pPr>
        <w:jc w:val="both"/>
      </w:pPr>
      <w:r>
        <w:t>La posizione della formazione post-universitaria nel percorso integrato, che la sesta voce tratterà, può essere già anticipata. La formazione post-universitaria è la modalità che mantiene adeguato il fondamento costruito dalla formazione universitaria, e in questa funzione è insostituibile: nessuna delle altre modalità assicura l’aggiornamento sistematico e ripetibile che l’educazione continua e le certificazioni forniscono, e la sua necessità è tanto maggiore quanto più rapida è l’evoluzione dei contenuti, come nel caso delle competenze pro-Intelligenza Artificiale. Ma, come la formazione universitaria, anche la formazione post-universitaria opera prevalentemente sull’apprendimento e solo in parte sul trasferimento, e richiede perciò le modalità successive per tradurre l’aggiornamento in pratica consolidata. La prima di queste, oggetto della voce seguente, è la formazione lavorativa, che dell’apprendimento aggiornato dalle modalità formali produce il trasferimento diretto nell’esercizio della professione.</w:t>
      </w:r>
    </w:p>
    <w:p w14:paraId="3A86FA38" w14:textId="77777777" w:rsidR="007C4598" w:rsidRDefault="007C4598"/>
    <w:p w14:paraId="673A0325" w14:textId="77777777" w:rsidR="007C4598" w:rsidRDefault="00000000">
      <w:pPr>
        <w:pStyle w:val="Titolo1"/>
        <w:pageBreakBefore/>
      </w:pPr>
      <w:r>
        <w:rPr>
          <w:sz w:val="22"/>
          <w:szCs w:val="22"/>
        </w:rPr>
        <w:t>5.4  Modalità terza — Formazione lavorativa e sul posto di lavoro</w:t>
      </w:r>
    </w:p>
    <w:p w14:paraId="37978340" w14:textId="77777777" w:rsidR="007C4598" w:rsidRDefault="007C4598"/>
    <w:p w14:paraId="4A92FBCD" w14:textId="77777777" w:rsidR="007C4598" w:rsidRDefault="00000000">
      <w:pPr>
        <w:jc w:val="both"/>
      </w:pPr>
      <w:r>
        <w:rPr>
          <w:i/>
          <w:iCs/>
        </w:rPr>
        <w:t>Questa voce esamina la terza modalità formativa, la formazione lavorativa, ossia l’apprendimento che avviene nell’esercizio stesso della professione. Essa ne descrive la funzione di modalità che più direttamente produce il trasferimento delle competenze nella pratica, ne dichiara le forme, i costi — compreso il costo implicito della curva di apprendimento — e i rendimenti, e ne riconosce i limiti di lentezza in assenza di guida e di rischio di consolidamento degli errori, che la quarta modalità è chiamata a compensare.</w:t>
      </w:r>
    </w:p>
    <w:p w14:paraId="03D2C13E" w14:textId="77777777" w:rsidR="007C4598" w:rsidRDefault="007C4598"/>
    <w:p w14:paraId="474C0BDD" w14:textId="77777777" w:rsidR="007C4598" w:rsidRDefault="00000000">
      <w:pPr>
        <w:jc w:val="both"/>
      </w:pPr>
      <w:r>
        <w:t xml:space="preserve">La formazione lavorativa è la terza modalità e, nell’ordine logico della costruzione delle competenze, il luogo in cui esse divengono pratica. Dove la formazione universitaria costruisce il fondamento e la formazione post-universitaria lo aggiorna — entrambe operando in misura prevalente sull’apprendimento delle conoscenze e delle abilità — la formazione lavorativa opera sul trasferimento dei comportamenti nella pratica professionale, ossia su quel terzo livello del modello di </w:t>
      </w:r>
      <w:proofErr w:type="spellStart"/>
      <w:r>
        <w:t>Kirkpatrick</w:t>
      </w:r>
      <w:proofErr w:type="spellEnd"/>
      <w:r>
        <w:t xml:space="preserve"> che le modalità formali raggiungono solo in parte. Essa è perciò la modalità che più direttamente produce il cambiamento dei comportamenti, poiché l’apprendimento vi avviene nel contesto reale dell’azione, dove la competenza si misura non con ciò che il professionista sa, ma con ciò che il professionista fa. La distinzione è essenziale: una competenza appresa nei percorsi formali e non trasferita nella pratica resta inerte, e la funzione della formazione lavorativa è precisamente quella di convertire il fondamento appreso in competenza operativa.</w:t>
      </w:r>
    </w:p>
    <w:p w14:paraId="4B6FFACC" w14:textId="77777777" w:rsidR="007C4598" w:rsidRDefault="007C4598"/>
    <w:p w14:paraId="21F531F6" w14:textId="77777777" w:rsidR="007C4598" w:rsidRDefault="00000000">
      <w:pPr>
        <w:jc w:val="both"/>
      </w:pPr>
      <w:r>
        <w:t>La letteratura sull’apprendimento professionale attribuisce all’esperienza sul posto di lavoro la parte prevalente dello sviluppo delle competenze. Il modello cosiddetto 70-20-10 esprime questa regolarità nella forma di una proporzione indicativa, secondo cui circa il settanta per cento dello sviluppo delle competenze deriva dall’esperienza sul posto di lavoro, circa il venti per cento dall’interazione con altri professionisti e circa il dieci per cento dalla formazione d’aula.</w:t>
      </w:r>
      <w:r>
        <w:rPr>
          <w:color w:val="555555"/>
          <w:sz w:val="16"/>
          <w:szCs w:val="16"/>
          <w:vertAlign w:val="superscript"/>
        </w:rPr>
        <w:t>[13]</w:t>
      </w:r>
      <w:r>
        <w:t xml:space="preserve"> Le proporzioni non vanno assunte come legge universale, ma come espressione di una regolarità robusta: le modalità formali — la formazione universitaria e quella post-universitaria — costruiscono e aggiornano il fondamento, ma il consolidamento della competenza nella pratica avviene in misura preponderante nell’esercizio. Questa regolarità colloca la formazione lavorativa come la modalità attraverso cui il fondamento costruito dalle modalità formali è convertito in competenza operativa, e ne giustifica il peso nel percorso formativo integrato, dove a essa, e all’affiancamento che la guida, spetta la parte maggiore della costruzione effettiva delle competenze.</w:t>
      </w:r>
    </w:p>
    <w:p w14:paraId="568A79A4" w14:textId="77777777" w:rsidR="007C4598" w:rsidRDefault="007C4598"/>
    <w:p w14:paraId="1969692A" w14:textId="77777777" w:rsidR="007C4598" w:rsidRDefault="00000000">
      <w:pPr>
        <w:jc w:val="both"/>
      </w:pPr>
      <w:r>
        <w:t>La formazione lavorativa si realizza attraverso forme che non sono spontanee, ma che l’organizzazione del servizio può progettare e sostenere. La prima forma è l’apprendimento nell’esercizio della coppia clinica con il medico di medicina generale, dove lo Psicologo di Base apprende il lavoro collaborativo praticandolo. La seconda forma è la discussione strutturata dei casi, che converte l’esperienza clinica in occasione di apprendimento condiviso. La terza forma è la partecipazione ai percorsi diagnostico-terapeutici assistenziali e ai cicli di verifica e ritorno informativo, ossia di audit e feedback, che misurano la pratica rispetto a uno standard e ne restituiscono il risultato al professionista; tale meccanismo è documentato dalla letteratura come strumento di miglioramento della pratica professionale, di effetto modesto ma reale.</w:t>
      </w:r>
      <w:r>
        <w:rPr>
          <w:color w:val="555555"/>
          <w:sz w:val="16"/>
          <w:szCs w:val="16"/>
          <w:vertAlign w:val="superscript"/>
        </w:rPr>
        <w:t>[14]</w:t>
      </w:r>
      <w:r>
        <w:t xml:space="preserve"> La quarta forma è la comunità di pratica tra Psicologi di Base, gruppo di professionisti che condividono conoscenza in un dominio determinato e ne fanno il veicolo di un apprendimento situato.</w:t>
      </w:r>
      <w:r>
        <w:rPr>
          <w:color w:val="555555"/>
          <w:sz w:val="16"/>
          <w:szCs w:val="16"/>
          <w:vertAlign w:val="superscript"/>
        </w:rPr>
        <w:t>[15]</w:t>
      </w:r>
      <w:r>
        <w:t xml:space="preserve"> La quinta forma è la riflessione strutturata sulla pratica, che converte l’esperienza in consapevolezza. Queste forme, opportunamente progettate, fanno della formazione lavorativa non un apprendimento casuale, ma un processo governato e produttivo.</w:t>
      </w:r>
    </w:p>
    <w:p w14:paraId="7BF428E6" w14:textId="77777777" w:rsidR="007C4598" w:rsidRDefault="007C4598"/>
    <w:p w14:paraId="60D20C0B" w14:textId="77777777" w:rsidR="007C4598" w:rsidRDefault="00000000">
      <w:pPr>
        <w:jc w:val="both"/>
      </w:pPr>
      <w:r>
        <w:t>La considerazione dei costi della formazione lavorativa richiede una distinzione che le è propria e che ha rilievo diretto per la valutazione economica. Il costo diretto incrementale della formazione lavorativa è contenuto, poiché essa avviene all’interno dell’esercizio del servizio e non richiede percorsi formativi separati con costi propri; le sue forme — la discussione dei casi, l’audit e feedback, le comunità di pratica — si innestano sull’attività ordinaria e ne assorbono solo il tempo dedicato. La formazione lavorativa comporta tuttavia un costo implicito che le valutazioni non possono ignorare: il costo della curva di apprendimento. Nei mesi iniziali dell’esercizio, la produttività del professionista è inferiore a quella che raggiungerà a regime, poiché le competenze si consolidano gradualmente attraverso la pratica; la differenza tra la produttività iniziale e quella a regime è il costo implicito della curva di apprendimento, sostenuto dal servizio sotto forma di minor rendimento nel periodo iniziale. Questo costo è temporaneo e decresce a misura che la competenza si consolida, ma va riconosciuto nella valutazione, ed è precisamente il costo che la quarta modalità, l’affiancamento esperto, riduce accelerando il consolidamento delle competenze e comprimendo la durata della curva.</w:t>
      </w:r>
    </w:p>
    <w:p w14:paraId="7524F203" w14:textId="77777777" w:rsidR="007C4598" w:rsidRDefault="007C4598"/>
    <w:p w14:paraId="25654C23" w14:textId="77777777" w:rsidR="007C4598" w:rsidRDefault="00000000">
      <w:pPr>
        <w:jc w:val="both"/>
      </w:pPr>
      <w:r>
        <w:t xml:space="preserve">La formazione lavorativa è anche il luogo in cui le competenze digitali e quelle dedicate all’Intelligenza Artificiale si consolidano attraverso l’uso effettivo degli strumenti, ma due caratteri di queste competenze rendono la sola formazione lavorativa insufficiente a costruirle compiutamente. Il primo carattere è la rapidità di evoluzione degli strumenti, che la formazione lavorativa non può inseguire da sola e che richiede l’aggiornamento continuo proprio della modalità post-universitaria. Il secondo carattere, più rilevante in questa sede, è il rischio del consolidamento degli errori: in assenza di guida, il professionista può consolidare nella pratica un uso scorretto o acritico degli strumenti di Intelligenza Artificiale — in particolare un’eccessiva fiducia nell’output algoritmico, che la </w:t>
      </w:r>
      <w:proofErr w:type="spellStart"/>
      <w:r>
        <w:t>governance</w:t>
      </w:r>
      <w:proofErr w:type="spellEnd"/>
      <w:r>
        <w:t xml:space="preserve"> prudenziale della quarta parte espressamente vieta — e l’apprendimento per prova ed errore, lasciato a sé, può fissare l’errore anziché correggerlo. Questo secondo carattere rende la quarta modalità, l’affiancamento esperto, essenziale precisamente per le competenze pro-Intelligenza Artificiale, poiché essa corregge l’uso scorretto prima che si consolidi e accelera l’acquisizione dell’uso corretto, esercitando quella supervisione che il consolidamento autonomo non garantisce.</w:t>
      </w:r>
    </w:p>
    <w:p w14:paraId="3A269589" w14:textId="77777777" w:rsidR="007C4598" w:rsidRDefault="007C4598"/>
    <w:p w14:paraId="754372CC" w14:textId="77777777" w:rsidR="007C4598" w:rsidRDefault="00000000">
      <w:pPr>
        <w:jc w:val="both"/>
      </w:pPr>
      <w:r>
        <w:t xml:space="preserve">La formazione lavorativa presenta, accanto ai suoi pregi, limiti che ne circoscrivono l’efficacia in assenza di guida. Il primo limite è la lentezza: la formazione lavorativa, lasciata a sé, è lenta, poiché il professionista apprende per prova ed errore, e il consolidamento delle competenze richiede tempo. Il secondo limite è il rischio del consolidamento degli errori, già richiamato a proposito delle competenze digitali ma valido per tutte le competenze: in assenza di correzione, il professionista può fissare nella pratica comportamenti scorretti, che divengono tanto più difficili da modificare quanto più si consolidano. Il terzo limite è la dipendenza dalla qualità dell’ambiente di lavoro: il valore della formazione lavorativa dipende dalla qualità dell’organizzazione del servizio in cui essa avviene, e un ambiente disorganizzato produce un apprendimento povero o distorto. Questi tre limiti indicano che la formazione lavorativa, la modalità che produce il trasferimento, è massimamente efficace quando è guidata; e la guida è fornita dalla quarta modalità, l’affiancamento esperto, che accelera il consolidamento e corregge gli errori. La tabella seguente riepiloga le forme della formazione lavorativa, il livello di </w:t>
      </w:r>
      <w:proofErr w:type="spellStart"/>
      <w:r>
        <w:t>Kirkpatrick</w:t>
      </w:r>
      <w:proofErr w:type="spellEnd"/>
      <w:r>
        <w:t xml:space="preserve"> su cui ciascuna opera prevalentemente, il loro costo e il loro rendimento.</w:t>
      </w:r>
    </w:p>
    <w:p w14:paraId="3797E7A2" w14:textId="77777777" w:rsidR="007C4598" w:rsidRDefault="007C4598"/>
    <w:p w14:paraId="599DFE81" w14:textId="77777777" w:rsidR="007C4598" w:rsidRDefault="00000000">
      <w:pPr>
        <w:jc w:val="both"/>
      </w:pPr>
      <w:r>
        <w:rPr>
          <w:b/>
          <w:bCs/>
        </w:rPr>
        <w:t>Tabella 5.4.A — Le forme della formazione lavorativa: livello prevalente, costo, rendimento</w:t>
      </w:r>
    </w:p>
    <w:p w14:paraId="1D396DBD"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5672E158"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F339B17" w14:textId="77777777" w:rsidR="007C4598" w:rsidRDefault="00000000">
            <w:pPr>
              <w:spacing w:after="40"/>
            </w:pPr>
            <w:r>
              <w:rPr>
                <w:b/>
                <w:bCs/>
                <w:color w:val="FFFFFF"/>
                <w:sz w:val="18"/>
                <w:szCs w:val="18"/>
              </w:rPr>
              <w:t>Forma di apprendimento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9D19A5F" w14:textId="77777777" w:rsidR="007C4598" w:rsidRDefault="00000000">
            <w:pPr>
              <w:spacing w:after="40"/>
            </w:pPr>
            <w:r>
              <w:rPr>
                <w:b/>
                <w:bCs/>
                <w:color w:val="FFFFFF"/>
                <w:sz w:val="18"/>
                <w:szCs w:val="18"/>
              </w:rPr>
              <w:t xml:space="preserve">Livello di </w:t>
            </w:r>
            <w:proofErr w:type="spellStart"/>
            <w:r>
              <w:rPr>
                <w:b/>
                <w:bCs/>
                <w:color w:val="FFFFFF"/>
                <w:sz w:val="18"/>
                <w:szCs w:val="18"/>
              </w:rPr>
              <w:t>Kirkpatrick</w:t>
            </w:r>
            <w:proofErr w:type="spellEnd"/>
            <w:r>
              <w:rPr>
                <w:b/>
                <w:bCs/>
                <w:color w:val="FFFFFF"/>
                <w:sz w:val="18"/>
                <w:szCs w:val="18"/>
              </w:rPr>
              <w:t xml:space="preserve"> prevalente</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91C0042" w14:textId="77777777" w:rsidR="007C4598" w:rsidRDefault="00000000">
            <w:pPr>
              <w:spacing w:after="40"/>
            </w:pPr>
            <w:r>
              <w:rPr>
                <w:b/>
                <w:bCs/>
                <w:color w:val="FFFFFF"/>
                <w:sz w:val="18"/>
                <w:szCs w:val="18"/>
              </w:rPr>
              <w:t>Costo diretto incrementale</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242C457" w14:textId="77777777" w:rsidR="007C4598" w:rsidRDefault="00000000">
            <w:pPr>
              <w:spacing w:after="40"/>
            </w:pPr>
            <w:r>
              <w:rPr>
                <w:b/>
                <w:bCs/>
                <w:color w:val="FFFFFF"/>
                <w:sz w:val="18"/>
                <w:szCs w:val="18"/>
              </w:rPr>
              <w:t>Rendimento atteso</w:t>
            </w:r>
          </w:p>
        </w:tc>
      </w:tr>
      <w:tr w:rsidR="007C4598" w14:paraId="10B7DD59"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03BDF77" w14:textId="77777777" w:rsidR="007C4598" w:rsidRDefault="00000000">
            <w:pPr>
              <w:spacing w:after="40"/>
            </w:pPr>
            <w:r>
              <w:rPr>
                <w:b/>
                <w:bCs/>
              </w:rPr>
              <w:t>Esercizio della coppia clinica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3F89153" w14:textId="77777777" w:rsidR="007C4598" w:rsidRDefault="00000000">
            <w:pPr>
              <w:spacing w:after="40"/>
            </w:pPr>
            <w:r>
              <w:t>Trasferimento (3)</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1EC06BA" w14:textId="77777777" w:rsidR="007C4598" w:rsidRDefault="00000000">
            <w:pPr>
              <w:spacing w:after="40"/>
            </w:pPr>
            <w:r>
              <w:t>Assorbito dall’attività</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6CAE4C9" w14:textId="77777777" w:rsidR="007C4598" w:rsidRDefault="00000000">
            <w:pPr>
              <w:spacing w:after="40"/>
            </w:pPr>
            <w:r>
              <w:t>Elevato sul trasferimento</w:t>
            </w:r>
          </w:p>
        </w:tc>
      </w:tr>
      <w:tr w:rsidR="007C4598" w14:paraId="11A615FD"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8B34924" w14:textId="77777777" w:rsidR="007C4598" w:rsidRDefault="00000000">
            <w:pPr>
              <w:spacing w:after="40"/>
            </w:pPr>
            <w:r>
              <w:rPr>
                <w:b/>
                <w:bCs/>
              </w:rPr>
              <w:t>Discussione strutturata dei casi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109D18F" w14:textId="77777777" w:rsidR="007C4598" w:rsidRDefault="00000000">
            <w:pPr>
              <w:spacing w:after="40"/>
            </w:pPr>
            <w:r>
              <w:t>Apprendimento–Trasferimento (2–3)</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0B90895" w14:textId="77777777" w:rsidR="007C4598" w:rsidRDefault="00000000">
            <w:pPr>
              <w:spacing w:after="40"/>
            </w:pPr>
            <w:r>
              <w:t>Tempo dedicato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58B075C" w14:textId="77777777" w:rsidR="007C4598" w:rsidRDefault="00000000">
            <w:pPr>
              <w:spacing w:after="40"/>
            </w:pPr>
            <w:r>
              <w:t>Medio-elevato</w:t>
            </w:r>
          </w:p>
        </w:tc>
      </w:tr>
      <w:tr w:rsidR="007C4598" w14:paraId="114B4F59"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BA63BEA" w14:textId="77777777" w:rsidR="007C4598" w:rsidRDefault="00000000">
            <w:pPr>
              <w:spacing w:after="40"/>
            </w:pPr>
            <w:r>
              <w:rPr>
                <w:b/>
                <w:bCs/>
              </w:rPr>
              <w:t>Audit e feedback</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35551E8" w14:textId="77777777" w:rsidR="007C4598" w:rsidRDefault="00000000">
            <w:pPr>
              <w:spacing w:after="40"/>
            </w:pPr>
            <w:r>
              <w:t>Trasferimento–Risultati (3–4)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B33F937" w14:textId="77777777" w:rsidR="007C4598" w:rsidRDefault="00000000">
            <w:pPr>
              <w:spacing w:after="40"/>
            </w:pPr>
            <w:r>
              <w:t>Tempo e sistema informativo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3EC74D8" w14:textId="77777777" w:rsidR="007C4598" w:rsidRDefault="00000000">
            <w:pPr>
              <w:spacing w:after="40"/>
            </w:pPr>
            <w:r>
              <w:t>Modesto ma reale, cumulativo</w:t>
            </w:r>
          </w:p>
        </w:tc>
      </w:tr>
      <w:tr w:rsidR="007C4598" w14:paraId="17841733"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12FCABF" w14:textId="77777777" w:rsidR="007C4598" w:rsidRDefault="00000000">
            <w:pPr>
              <w:spacing w:after="40"/>
            </w:pPr>
            <w:r>
              <w:rPr>
                <w:b/>
                <w:bCs/>
              </w:rPr>
              <w:t>Comunità di pratica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181CAD0" w14:textId="77777777" w:rsidR="007C4598" w:rsidRDefault="00000000">
            <w:pPr>
              <w:spacing w:after="40"/>
            </w:pPr>
            <w:r>
              <w:t>Trasferimento (3)</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B4E8E11" w14:textId="77777777" w:rsidR="007C4598" w:rsidRDefault="00000000">
            <w:pPr>
              <w:spacing w:after="40"/>
            </w:pPr>
            <w:r>
              <w:t>Tempo dedicato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FACE96F" w14:textId="77777777" w:rsidR="007C4598" w:rsidRDefault="00000000">
            <w:pPr>
              <w:spacing w:after="40"/>
            </w:pPr>
            <w:r>
              <w:t>Medio, di lungo periodo</w:t>
            </w:r>
          </w:p>
        </w:tc>
      </w:tr>
    </w:tbl>
    <w:p w14:paraId="417ACB21" w14:textId="77777777" w:rsidR="007C4598" w:rsidRDefault="007C4598"/>
    <w:p w14:paraId="1ECF9565" w14:textId="77777777" w:rsidR="007C4598" w:rsidRDefault="00000000">
      <w:pPr>
        <w:jc w:val="both"/>
      </w:pPr>
      <w:r>
        <w:t xml:space="preserve">La dinamica del costo implicito della formazione lavorativa e dell’effetto che l’affiancamento esperto produce su di essa può essere rappresentata nella sua forma essenziale, che la scheda </w:t>
      </w:r>
      <w:proofErr w:type="spellStart"/>
      <w:r>
        <w:t>infografica</w:t>
      </w:r>
      <w:proofErr w:type="spellEnd"/>
      <w:r>
        <w:t xml:space="preserve"> seguente sintetizza. Essa mostra la curva di apprendimento del professionista nei mesi iniziali dell’esercizio, il divario tra la produttività iniziale e quella a regime che costituisce il costo implicito, e la compressione di tale divario che l’affiancamento esperto produce accelerando il consolidamento delle competenze; ed è il ponte verso la quarta modalità, oggetto della voce seguente.</w:t>
      </w:r>
    </w:p>
    <w:p w14:paraId="1CA30674"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5DDE0514"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53B63E9" w14:textId="77777777" w:rsidR="007C4598" w:rsidRDefault="00000000">
            <w:pPr>
              <w:spacing w:after="40"/>
            </w:pPr>
            <w:r>
              <w:rPr>
                <w:b/>
                <w:bCs/>
                <w:color w:val="FFFFFF"/>
                <w:sz w:val="18"/>
                <w:szCs w:val="18"/>
              </w:rPr>
              <w:t xml:space="preserve">◆  SEGNALIBRO — INFOGRAFICA 5.4 · DA INSERIRE A POSTERIORI Titolo previsto: La curva di apprendimento e l’effetto dell’affiancamento esperto Contenuto da rappresentare: Grafico a due curve che rappresenta la produttività del professionista nei mesi iniziali dell’esercizio: una curva senza affiancamento, che raggiunge il regime più lentamente, e una curva con affiancamento esperto, che lo raggiunge prima; l’area compresa tra la curva e il livello di regime rappresenta il costo implicito della curva di apprendimento, e la differenza tra le due aree rappresenta il risparmio prodotto dall’affiancamento. Obiettivo: mostrare che l’affiancamento esperto comprime il costo implicito della formazione lavorativa nei primi dodici-diciotto mesi. Codice </w:t>
            </w:r>
            <w:proofErr w:type="spellStart"/>
            <w:r>
              <w:rPr>
                <w:b/>
                <w:bCs/>
                <w:color w:val="FFFFFF"/>
                <w:sz w:val="18"/>
                <w:szCs w:val="18"/>
              </w:rPr>
              <w:t>Canva-Friendly</w:t>
            </w:r>
            <w:proofErr w:type="spellEnd"/>
            <w:r>
              <w:rPr>
                <w:b/>
                <w:bCs/>
                <w:color w:val="FFFFFF"/>
                <w:sz w:val="18"/>
                <w:szCs w:val="18"/>
              </w:rPr>
              <w:t xml:space="preserve"> (scheda di generazione) TIPO: grafico a linee — due curve di apprendimento (con/senza affiancamento) + area del costo implicito evidenziata FORMATO: 1280 × 860 </w:t>
            </w:r>
            <w:proofErr w:type="spellStart"/>
            <w:r>
              <w:rPr>
                <w:b/>
                <w:bCs/>
                <w:color w:val="FFFFFF"/>
                <w:sz w:val="18"/>
                <w:szCs w:val="18"/>
              </w:rPr>
              <w:t>px</w:t>
            </w:r>
            <w:proofErr w:type="spellEnd"/>
            <w:r>
              <w:rPr>
                <w:b/>
                <w:bCs/>
                <w:color w:val="FFFFFF"/>
                <w:sz w:val="18"/>
                <w:szCs w:val="18"/>
              </w:rPr>
              <w:t xml:space="preserve">; adatta a slide e ad A4 SFONDO: gradiente verticale bianco #FFFFFF 85% → crema #F3EAD6 15% PALETTE: curva senza affiancamento #244272; curva con affiancamento #2E5AA0; livello di regime #101F3C (tratteggio); area del costo implicito oro #C49A48 a bassa opacità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valori </w:t>
            </w:r>
            <w:proofErr w:type="spellStart"/>
            <w:r>
              <w:rPr>
                <w:b/>
                <w:bCs/>
                <w:color w:val="FFFFFF"/>
                <w:sz w:val="18"/>
                <w:szCs w:val="18"/>
              </w:rPr>
              <w:t>Bold</w:t>
            </w:r>
            <w:proofErr w:type="spellEnd"/>
            <w:r>
              <w:rPr>
                <w:b/>
                <w:bCs/>
                <w:color w:val="FFFFFF"/>
                <w:sz w:val="18"/>
                <w:szCs w:val="18"/>
              </w:rPr>
              <w:t xml:space="preserve">, etichette Regular TITOLO: «La curva di apprendimento e l’effetto dell’affiancamento esperto» ASSE X: mesi di esercizio (0 → 24) ASSE Y: produttività relativa (% del livello di regime) LIVELLO DI REGIME: 100% (linea tratteggia orizzontale, </w:t>
            </w:r>
            <w:proofErr w:type="spellStart"/>
            <w:r>
              <w:rPr>
                <w:b/>
                <w:bCs/>
                <w:color w:val="FFFFFF"/>
                <w:sz w:val="18"/>
                <w:szCs w:val="18"/>
              </w:rPr>
              <w:t>navy</w:t>
            </w:r>
            <w:proofErr w:type="spellEnd"/>
            <w:r>
              <w:rPr>
                <w:b/>
                <w:bCs/>
                <w:color w:val="FFFFFF"/>
                <w:sz w:val="18"/>
                <w:szCs w:val="18"/>
              </w:rPr>
              <w:t xml:space="preserve">) CURVA SENZA AFFIANCAMENTO: raggiunge il regime in tempi più lunghi (consolidamento lento) CURVA CON AFFIANCAMENTO: raggiunge il regime nei primi 12–18 mesi (consolidamento accelerato) AREA EVIDENZIATA: divario produttività iniziale → regime = costo implicito della curva di apprendimento DIDASCALIA: «L’affiancamento esperto comprime il costo implicito della formazione lavorativa: il consolidamento delle competenze è accelerato nei primi 12–18 mesi» VARIANTE 3D (consigliata): le due curve in prospettiva isometrica leggera, con l’area del costo implicito come superficie ombreggiata fra la curva e il piano del regime; etichette in piano FONTE (piè di figura): elaborazione dello studio su modello 70-20-10 (Lombardo ed </w:t>
            </w:r>
            <w:proofErr w:type="spellStart"/>
            <w:r>
              <w:rPr>
                <w:b/>
                <w:bCs/>
                <w:color w:val="FFFFFF"/>
                <w:sz w:val="18"/>
                <w:szCs w:val="18"/>
              </w:rPr>
              <w:t>Eichinger</w:t>
            </w:r>
            <w:proofErr w:type="spellEnd"/>
            <w:r>
              <w:rPr>
                <w:b/>
                <w:bCs/>
                <w:color w:val="FFFFFF"/>
                <w:sz w:val="18"/>
                <w:szCs w:val="18"/>
              </w:rPr>
              <w:t>) e letteratura sulle curve di apprendimento</w:t>
            </w:r>
          </w:p>
          <w:p w14:paraId="4274BE55" w14:textId="77777777" w:rsidR="007C4598" w:rsidRDefault="00000000">
            <w:pPr>
              <w:spacing w:before="120" w:after="60"/>
              <w:jc w:val="center"/>
            </w:pPr>
            <w:r>
              <w:rPr>
                <w:noProof/>
              </w:rPr>
              <w:drawing>
                <wp:inline distT="0" distB="0" distL="0" distR="0" wp14:anchorId="091B96AE" wp14:editId="02704A63">
                  <wp:extent cx="8229600" cy="4629150"/>
                  <wp:effectExtent l="0" t="0" r="0" b="0"/>
                  <wp:docPr id="123" name="Infografica23" descr="La curva di apprendimento per modalità form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Infografica23"/>
                          <pic:cNvPicPr>
                            <a:picLocks noChangeAspect="1" noChangeArrowheads="1"/>
                          </pic:cNvPicPr>
                        </pic:nvPicPr>
                        <pic:blipFill>
                          <a:blip r:embed="rId35">
                            <a:extLst>
                              <a:ext uri="{96DAC541-7B7A-43D3-8B79-37D633B846F1}">
                                <asvg:svgBlip xmlns:asvg="http://schemas.microsoft.com/office/drawing/2016/SVG/main" r:embed="rId36"/>
                              </a:ext>
                            </a:extLst>
                          </a:blip>
                          <a:stretch>
                            <a:fillRect/>
                          </a:stretch>
                        </pic:blipFill>
                        <pic:spPr bwMode="auto">
                          <a:xfrm>
                            <a:off x="0" y="0"/>
                            <a:ext cx="8229600" cy="4629150"/>
                          </a:xfrm>
                          <a:prstGeom prst="rect">
                            <a:avLst/>
                          </a:prstGeom>
                          <a:noFill/>
                          <a:ln>
                            <a:noFill/>
                          </a:ln>
                        </pic:spPr>
                      </pic:pic>
                    </a:graphicData>
                  </a:graphic>
                </wp:inline>
              </w:drawing>
            </w:r>
          </w:p>
          <w:p w14:paraId="13B690CF" w14:textId="77777777" w:rsidR="007C4598" w:rsidRDefault="00000000">
            <w:pPr>
              <w:spacing w:before="40" w:after="200"/>
              <w:jc w:val="center"/>
            </w:pPr>
            <w:r>
              <w:rPr>
                <w:i/>
                <w:color w:val="2E5A8F"/>
                <w:sz w:val="16"/>
                <w:szCs w:val="16"/>
              </w:rPr>
              <w:t>Fig. 5.4 — La curva di apprendimento per modalità formativa. Elaborazione dello studio · Luigi De Michele · Giugno 2026.</w:t>
            </w:r>
          </w:p>
        </w:tc>
      </w:tr>
    </w:tbl>
    <w:p w14:paraId="2975ACBB" w14:textId="77777777" w:rsidR="007C4598" w:rsidRDefault="007C4598"/>
    <w:p w14:paraId="22703AF5" w14:textId="77777777" w:rsidR="007C4598" w:rsidRDefault="00000000">
      <w:pPr>
        <w:jc w:val="both"/>
      </w:pPr>
      <w:r>
        <w:t xml:space="preserve">La posizione della formazione lavorativa nel percorso integrato è così definita nei suoi termini essenziali. La formazione lavorativa è la modalità che produce il trasferimento delle competenze nella pratica, e in questa funzione è insostituibile: nessuna delle modalità formali converte il fondamento appreso in competenza operativa con la stessa immediatezza, e la regolarità espressa dal modello 70-20-10 le attribuisce la parte prevalente dello sviluppo effettivo delle competenze. Ma la formazione lavorativa, lasciata a sé, è lenta e soggetta al rischio del consolidamento degli errori, e la sua efficacia è massima quando è guidata. La guida è fornita dalla quarta modalità, l’affiancamento e il </w:t>
      </w:r>
      <w:proofErr w:type="spellStart"/>
      <w:r>
        <w:t>mentoring</w:t>
      </w:r>
      <w:proofErr w:type="spellEnd"/>
      <w:r>
        <w:t xml:space="preserve"> di figure esperte, compresa la figura competente nell’uso dell’Intelligenza Artificiale presente nello studio, che accelera il consolidamento delle competenze, comprime il costo implicito della curva di apprendimento e corregge gli errori prima che si fissino nella pratica. È questa quarta modalità, complemento necessario della formazione lavorativa, l’oggetto della voce seguente.</w:t>
      </w:r>
    </w:p>
    <w:p w14:paraId="4692853F" w14:textId="77777777" w:rsidR="007C4598" w:rsidRDefault="007C4598"/>
    <w:p w14:paraId="7E0E9D39" w14:textId="77777777" w:rsidR="007C4598" w:rsidRDefault="00000000">
      <w:pPr>
        <w:pStyle w:val="Titolo1"/>
        <w:pageBreakBefore/>
      </w:pPr>
      <w:r>
        <w:rPr>
          <w:sz w:val="22"/>
          <w:szCs w:val="22"/>
        </w:rPr>
        <w:t xml:space="preserve">5.5  Modalità quarta — Affiancamento e </w:t>
      </w:r>
      <w:proofErr w:type="spellStart"/>
      <w:r>
        <w:rPr>
          <w:sz w:val="22"/>
          <w:szCs w:val="22"/>
        </w:rPr>
        <w:t>mentoring</w:t>
      </w:r>
      <w:proofErr w:type="spellEnd"/>
      <w:r>
        <w:rPr>
          <w:sz w:val="22"/>
          <w:szCs w:val="22"/>
        </w:rPr>
        <w:t xml:space="preserve"> di figure esperte</w:t>
      </w:r>
    </w:p>
    <w:p w14:paraId="11B27DA9" w14:textId="77777777" w:rsidR="007C4598" w:rsidRDefault="007C4598"/>
    <w:p w14:paraId="078B69BB" w14:textId="77777777" w:rsidR="007C4598" w:rsidRDefault="00000000">
      <w:pPr>
        <w:jc w:val="both"/>
      </w:pPr>
      <w:r>
        <w:rPr>
          <w:i/>
          <w:iCs/>
        </w:rPr>
        <w:t xml:space="preserve">Questa voce esamina la quarta modalità formativa, l’affiancamento e il </w:t>
      </w:r>
      <w:proofErr w:type="spellStart"/>
      <w:r>
        <w:rPr>
          <w:i/>
          <w:iCs/>
        </w:rPr>
        <w:t>mentoring</w:t>
      </w:r>
      <w:proofErr w:type="spellEnd"/>
      <w:r>
        <w:rPr>
          <w:i/>
          <w:iCs/>
        </w:rPr>
        <w:t xml:space="preserve"> di figure esperte, compresa la figura competente nell’uso dell’Intelligenza Artificiale presente nello studio. Essa ne descrive la funzione di modalità che guida e accelera la formazione lavorativa — comprimendo la curva di apprendimento e correggendo gli errori prima che si consolidino — ne dichiara le forme, i costi e i rendimenti, dà particolare rilievo al ruolo dell’esperto di Intelligenza Artificiale in studio nel fronteggiare i due caratteri delle competenze digitali, e ne riconosce i limiti di dipendenza dalla disponibilità di figure esperte e di scalabilità.</w:t>
      </w:r>
    </w:p>
    <w:p w14:paraId="0A63DA4B" w14:textId="77777777" w:rsidR="007C4598" w:rsidRDefault="007C4598"/>
    <w:p w14:paraId="33BA1AEE" w14:textId="77777777" w:rsidR="007C4598" w:rsidRDefault="00000000">
      <w:pPr>
        <w:jc w:val="both"/>
      </w:pPr>
      <w:r>
        <w:t xml:space="preserve">La quarta modalità è l’affiancamento e il </w:t>
      </w:r>
      <w:proofErr w:type="spellStart"/>
      <w:r>
        <w:t>mentoring</w:t>
      </w:r>
      <w:proofErr w:type="spellEnd"/>
      <w:r>
        <w:t xml:space="preserve"> di figure esperte, e la sua funzione è quella di guidare la formazione lavorativa che la terza modalità produce. Nei termini del modello 70-20-10, essa corrisponde alla quota dell’apprendimento che deriva dall’interazione con altri professionisti, ed è perciò la modalità attraverso cui l’esperienza sul posto di lavoro è trasformata da apprendimento per prova ed errore in apprendimento guidato. La sua collocazione nel percorso è definita dalla relazione con la terza modalità: la formazione lavorativa produce il trasferimento delle competenze nella pratica, ma lentamente e con il rischio del consolidamento degli errori, e l’affiancamento esperto è il complemento che ne accelera il consolidamento e ne corregge gli errori, rendendola massimamente efficace. È dunque la modalità che comprime la curva di apprendimento descritta nella voce precedente e che corregge le pratiche scorrette prima che si fissino, e in questa duplice funzione — di acceleratore e di correttore — si distingue dalle altre tre.</w:t>
      </w:r>
    </w:p>
    <w:p w14:paraId="05A7F255" w14:textId="77777777" w:rsidR="007C4598" w:rsidRDefault="007C4598"/>
    <w:p w14:paraId="17086080" w14:textId="77777777" w:rsidR="007C4598" w:rsidRDefault="00000000">
      <w:pPr>
        <w:jc w:val="both"/>
      </w:pPr>
      <w:r>
        <w:t>La quarta modalità si realizza attraverso forme che differiscono per grado di struttura e per competenze cui si rivolgono, ma che condividono la funzione di guidare il consolidamento sul posto di lavoro. La prima forma è la supervisione clinica, in cui un professionista più esperto supervisiona la pratica clinica dello Psicologo di Base; essa è una componente documentata dello sviluppo professionale, di cui la letteratura attesta l’efficacia sul miglioramento delle competenze e sulla qualità della pratica.</w:t>
      </w:r>
      <w:r>
        <w:rPr>
          <w:color w:val="555555"/>
          <w:sz w:val="16"/>
          <w:szCs w:val="16"/>
          <w:vertAlign w:val="superscript"/>
        </w:rPr>
        <w:t>[16]</w:t>
      </w:r>
      <w:r>
        <w:t xml:space="preserve"> La seconda forma è il </w:t>
      </w:r>
      <w:proofErr w:type="spellStart"/>
      <w:r>
        <w:t>mentoring</w:t>
      </w:r>
      <w:proofErr w:type="spellEnd"/>
      <w:r>
        <w:t>, in cui una figura esperta accompagna una meno esperta nello sviluppo delle competenze, e di cui la letteratura documenta l’associazione con lo sviluppo professionale.</w:t>
      </w:r>
      <w:r>
        <w:rPr>
          <w:color w:val="555555"/>
          <w:sz w:val="16"/>
          <w:szCs w:val="16"/>
          <w:vertAlign w:val="superscript"/>
        </w:rPr>
        <w:t>[17]</w:t>
      </w:r>
      <w:r>
        <w:t xml:space="preserve"> La terza forma è l’affiancamento nello studio, ossia l’accompagnamento ravvicinato nell’esercizio effettivo della professione. La quarta forma, propria della dimensione digitale della riforma, è la figura competente nell’uso dell’Intelligenza Artificiale presente nello studio, che accompagna lo Psicologo di Base nell’uso corretto degli strumenti assistiti da algoritmi. Queste forme, opportunamente disposte, fanno dell’affiancamento esperto la modalità che governa e accelera la costruzione effettiva delle competenze.</w:t>
      </w:r>
    </w:p>
    <w:p w14:paraId="376ADC20" w14:textId="77777777" w:rsidR="007C4598" w:rsidRDefault="007C4598"/>
    <w:p w14:paraId="198B985C" w14:textId="77777777" w:rsidR="007C4598" w:rsidRDefault="00000000">
      <w:pPr>
        <w:jc w:val="both"/>
      </w:pPr>
      <w:r>
        <w:t xml:space="preserve">La figura competente nell’uso dell’Intelligenza Artificiale presente nello studio merita una considerazione particolare, poiché è l’elemento attraverso cui la quarta modalità fronteggia i due caratteri delle competenze digitali che la voce precedente ha individuato come ragioni dell’insufficienza della sola formazione lavorativa. Tale figura — che può essere un professionista designato e non necessariamente una persona distinta — accompagna lo Psicologo di Base nell’uso corretto degli strumenti di Intelligenza Artificiale, e fronteggia il primo carattere, la rapidità di evoluzione, mediando nella pratica l’aggiornamento che la modalità post-universitaria fornisce; ma soprattutto fronteggia il secondo carattere, il rischio del consolidamento degli errori, correggendo l’uso scorretto o acritico degli strumenti — in particolare l’eccessiva fiducia nell’output algoritmico che la </w:t>
      </w:r>
      <w:proofErr w:type="spellStart"/>
      <w:r>
        <w:t>governance</w:t>
      </w:r>
      <w:proofErr w:type="spellEnd"/>
      <w:r>
        <w:t xml:space="preserve"> prudenziale vieta — prima che si fissi nella pratica. L’esperto di Intelligenza Artificiale in studio è perciò, sul piano formativo, il garante della supervisione che la </w:t>
      </w:r>
      <w:proofErr w:type="spellStart"/>
      <w:r>
        <w:t>governance</w:t>
      </w:r>
      <w:proofErr w:type="spellEnd"/>
      <w:r>
        <w:t xml:space="preserve"> prudenziale richiede sul piano operativo: esso costruisce nel professionista la capacità di esercitare sull’output algoritmico quella supervisione umana che la </w:t>
      </w:r>
      <w:proofErr w:type="spellStart"/>
      <w:r>
        <w:t>governance</w:t>
      </w:r>
      <w:proofErr w:type="spellEnd"/>
      <w:r>
        <w:t xml:space="preserve"> prudenziale esige, e in questo senso la quarta modalità è il luogo formativo in cui il principio della subordinazione dell’Intelligenza Artificiale al giudizio professionale è trasmesso e consolidato.</w:t>
      </w:r>
    </w:p>
    <w:p w14:paraId="1B60C802" w14:textId="77777777" w:rsidR="007C4598" w:rsidRDefault="007C4598"/>
    <w:p w14:paraId="6AE5AC3F" w14:textId="77777777" w:rsidR="007C4598" w:rsidRDefault="00000000">
      <w:pPr>
        <w:jc w:val="both"/>
      </w:pPr>
      <w:r>
        <w:t xml:space="preserve">L’effetto distintivo della quarta modalità è l’accelerazione della curva di adozione delle competenze nei mesi iniziali dell’esercizio. Come la scheda </w:t>
      </w:r>
      <w:proofErr w:type="spellStart"/>
      <w:r>
        <w:t>infografica</w:t>
      </w:r>
      <w:proofErr w:type="spellEnd"/>
      <w:r>
        <w:t xml:space="preserve"> della voce precedente ha rappresentato, l’affiancamento comprime la curva di apprendimento, conducendo il professionista alla produttività di regime nei primi dodici-diciotto mesi anziché in un arco più lungo; e lo fa con particolare evidenza per le competenze digitali e per quelle dedicate all’Intelligenza Artificiale, che sono le più nuove e le più esposte al rischio di un consolidamento scorretto. L’accelerazione della curva di adozione è il meccanismo principale attraverso cui la quarta modalità produce il proprio rendimento, ed è oggetto di trattazione più ampia nell’ottava voce, dedicata alle curve di adozione tecnologica; qui è sufficiente riconoscere che è precisamente in questa accelerazione che si misura il valore della modalità, poiché è essa a convertire il tempo della curva di apprendimento, che sarebbe perduto in minor produttività, in tempo di esercizio pieno.</w:t>
      </w:r>
    </w:p>
    <w:p w14:paraId="080DDD95" w14:textId="77777777" w:rsidR="007C4598" w:rsidRDefault="007C4598"/>
    <w:p w14:paraId="16FA57CD" w14:textId="77777777" w:rsidR="007C4598" w:rsidRDefault="00000000">
      <w:pPr>
        <w:jc w:val="both"/>
      </w:pPr>
      <w:r>
        <w:t>La considerazione dei costi della quarta modalità ne mette in luce il profilo caratteristico, che la distingue dalle altre tre. L’affiancamento esperto è la modalità con il più rilevante costo diretto incrementale interno al perimetro della riforma, poiché richiede il tempo dedicato di figure esperte — supervisori, mentori, esperti dell’Intelligenza Artificiale — che accompagnano i professionisti, e tale tempo ha un costo proprio che le altre modalità, in larga parte assorbite dall’attività ordinaria o esterne al perimetro, non comportano nella stessa misura. Questo costo è reale e va riconosciuto, ma è compensato da due effetti che ne riducono l’incidenza netta. Il primo è la riduzione del costo implicito della curva di apprendimento individuato nella voce precedente: comprimendo la curva, l’affiancamento recupera la produttività che sarebbe altrimenti perduta nel periodo iniziale, e questo recupero compensa in parte il costo del tempo esperto. Il secondo effetto è la prevenzione del consolidamento degli errori: correggendo le pratiche scorrette prima che si fissino, l’affiancamento evita il costo della loro successiva correzione, che è tanto maggiore quanto più l’errore si è consolidato. Il costo netto della quarta modalità è perciò inferiore al suo costo lordo, e la misura della compensazione è sviluppata nella settima voce, dove il costo della formazione è quantificato per ciascuna modalità.</w:t>
      </w:r>
    </w:p>
    <w:p w14:paraId="1D070F91" w14:textId="77777777" w:rsidR="007C4598" w:rsidRDefault="007C4598"/>
    <w:p w14:paraId="32ECFB14" w14:textId="77777777" w:rsidR="007C4598" w:rsidRDefault="00000000">
      <w:pPr>
        <w:jc w:val="both"/>
      </w:pPr>
      <w:r>
        <w:t>La quarta modalità presenta, accanto ai suoi pregi, limiti che ne circoscrivono l’estensione e che ne orientano la collocazione nel percorso. Il primo limite è la dipendenza dalla disponibilità di figure esperte: la modalità richiede che vi siano figure esperte in numero sufficiente ad accompagnare i professionisti, e la sua scalabilità è vincolata da tale disponibilità, che nei primi anni della riforma è essa stessa oggetto di costruzione. Il secondo limite è il costo del tempo esperto, già richiamato: la modalità non può essere estesa indefinitamente senza un costo corrispondente, e va perciò concentrata dove produce il rendimento maggiore. Il terzo limite è il rischio della dipendenza: se non è progettato per costruire l’autonomia, l’affiancamento può alimentare la dipendenza anziché la competenza, e va perciò calibrato in modo da decrescere a misura che la competenza del professionista si consolida. Questi tre limiti indicano che la quarta modalità è massimamente efficace quando è concentrata nel periodo iniziale dell’esercizio — dove la curva di apprendimento è più ripida e il rischio di errore più alto — e quando è progettata per costruire l’autonomia; ed è precisamente il periodo e il disegno che l’orizzonte dei primi dodici-diciotto mesi, ricorrente nell’opera, esprime. La tabella seguente riepiloga le forme dell’affiancamento esperto, la loro funzione, il loro costo e il loro effetto sulla curva di apprendimento.</w:t>
      </w:r>
    </w:p>
    <w:p w14:paraId="4868FA18" w14:textId="77777777" w:rsidR="007C4598" w:rsidRDefault="007C4598"/>
    <w:p w14:paraId="7E4F3DA9" w14:textId="77777777" w:rsidR="007C4598" w:rsidRDefault="00000000">
      <w:pPr>
        <w:jc w:val="both"/>
      </w:pPr>
      <w:r>
        <w:rPr>
          <w:b/>
          <w:bCs/>
        </w:rPr>
        <w:t>Tabella 5.5.A — Le forme dell’affiancamento esperto: funzione, costo, effetto sulla curva</w:t>
      </w:r>
    </w:p>
    <w:p w14:paraId="40FD7F85"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401ADC01"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811E636" w14:textId="77777777" w:rsidR="007C4598" w:rsidRDefault="00000000">
            <w:pPr>
              <w:spacing w:after="40"/>
            </w:pPr>
            <w:r>
              <w:rPr>
                <w:b/>
                <w:bCs/>
                <w:color w:val="FFFFFF"/>
                <w:sz w:val="18"/>
                <w:szCs w:val="18"/>
              </w:rPr>
              <w:t>Forma</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1B977BD" w14:textId="77777777" w:rsidR="007C4598" w:rsidRDefault="00000000">
            <w:pPr>
              <w:spacing w:after="40"/>
            </w:pPr>
            <w:r>
              <w:rPr>
                <w:b/>
                <w:bCs/>
                <w:color w:val="FFFFFF"/>
                <w:sz w:val="18"/>
                <w:szCs w:val="18"/>
              </w:rPr>
              <w:t>Funzione formativa</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3336A80" w14:textId="77777777" w:rsidR="007C4598" w:rsidRDefault="00000000">
            <w:pPr>
              <w:spacing w:after="40"/>
            </w:pPr>
            <w:r>
              <w:rPr>
                <w:b/>
                <w:bCs/>
                <w:color w:val="FFFFFF"/>
                <w:sz w:val="18"/>
                <w:szCs w:val="18"/>
              </w:rPr>
              <w:t>Costo diretto incrementale</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68965FF" w14:textId="77777777" w:rsidR="007C4598" w:rsidRDefault="00000000">
            <w:pPr>
              <w:spacing w:after="40"/>
            </w:pPr>
            <w:r>
              <w:rPr>
                <w:b/>
                <w:bCs/>
                <w:color w:val="FFFFFF"/>
                <w:sz w:val="18"/>
                <w:szCs w:val="18"/>
              </w:rPr>
              <w:t>Effetto sulla curva di apprendimento</w:t>
            </w:r>
          </w:p>
        </w:tc>
      </w:tr>
      <w:tr w:rsidR="007C4598" w14:paraId="676D761C"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176E036" w14:textId="77777777" w:rsidR="007C4598" w:rsidRDefault="00000000">
            <w:pPr>
              <w:spacing w:after="40"/>
            </w:pPr>
            <w:r>
              <w:rPr>
                <w:b/>
                <w:bCs/>
              </w:rPr>
              <w:t>Supervisione clinica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8846D42" w14:textId="77777777" w:rsidR="007C4598" w:rsidRDefault="00000000">
            <w:pPr>
              <w:spacing w:after="40"/>
            </w:pPr>
            <w:r>
              <w:t>Miglioramento delle competenze e della qualità della pratica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B603731" w14:textId="77777777" w:rsidR="007C4598" w:rsidRDefault="00000000">
            <w:pPr>
              <w:spacing w:after="40"/>
            </w:pPr>
            <w:r>
              <w:t>Tempo del supervisore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532582D" w14:textId="77777777" w:rsidR="007C4598" w:rsidRDefault="00000000">
            <w:pPr>
              <w:spacing w:after="40"/>
            </w:pPr>
            <w:r>
              <w:t>Correzione e consolidamento guidato</w:t>
            </w:r>
          </w:p>
        </w:tc>
      </w:tr>
      <w:tr w:rsidR="007C4598" w14:paraId="479127E4"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D59001D" w14:textId="77777777" w:rsidR="007C4598" w:rsidRDefault="00000000">
            <w:pPr>
              <w:spacing w:after="40"/>
            </w:pPr>
            <w:proofErr w:type="spellStart"/>
            <w:r>
              <w:rPr>
                <w:b/>
                <w:bCs/>
              </w:rPr>
              <w:t>Mentoring</w:t>
            </w:r>
            <w:proofErr w:type="spellEnd"/>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A66409D" w14:textId="77777777" w:rsidR="007C4598" w:rsidRDefault="00000000">
            <w:pPr>
              <w:spacing w:after="40"/>
            </w:pPr>
            <w:r>
              <w:t>Accompagnamento nello sviluppo delle competenze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FC9860E" w14:textId="77777777" w:rsidR="007C4598" w:rsidRDefault="00000000">
            <w:pPr>
              <w:spacing w:after="40"/>
            </w:pPr>
            <w:r>
              <w:t>Tempo del mentore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1287159" w14:textId="77777777" w:rsidR="007C4598" w:rsidRDefault="00000000">
            <w:pPr>
              <w:spacing w:after="40"/>
            </w:pPr>
            <w:r>
              <w:t>Accelerazione dello sviluppo</w:t>
            </w:r>
          </w:p>
        </w:tc>
      </w:tr>
      <w:tr w:rsidR="007C4598" w14:paraId="3633AD50"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6B43763" w14:textId="77777777" w:rsidR="007C4598" w:rsidRDefault="00000000">
            <w:pPr>
              <w:spacing w:after="40"/>
            </w:pPr>
            <w:r>
              <w:rPr>
                <w:b/>
                <w:bCs/>
              </w:rPr>
              <w:t>Affiancamento in studio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ABD9778" w14:textId="77777777" w:rsidR="007C4598" w:rsidRDefault="00000000">
            <w:pPr>
              <w:spacing w:after="40"/>
            </w:pPr>
            <w:r>
              <w:t>Accompagnamento ravvicinato nell’esercizio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668D3E1" w14:textId="77777777" w:rsidR="007C4598" w:rsidRDefault="00000000">
            <w:pPr>
              <w:spacing w:after="40"/>
            </w:pPr>
            <w:r>
              <w:t>Tempo della figura esperta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E9506D2" w14:textId="77777777" w:rsidR="007C4598" w:rsidRDefault="00000000">
            <w:pPr>
              <w:spacing w:after="40"/>
            </w:pPr>
            <w:r>
              <w:t>Compressione della curva nel periodo iniziale</w:t>
            </w:r>
          </w:p>
        </w:tc>
      </w:tr>
      <w:tr w:rsidR="007C4598" w14:paraId="5D6F6823"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78C95AC" w14:textId="77777777" w:rsidR="007C4598" w:rsidRDefault="00000000">
            <w:pPr>
              <w:spacing w:after="40"/>
            </w:pPr>
            <w:r>
              <w:rPr>
                <w:b/>
                <w:bCs/>
              </w:rPr>
              <w:t>Esperto di Intelligenza Artificiale in studio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756EFDA" w14:textId="77777777" w:rsidR="007C4598" w:rsidRDefault="00000000">
            <w:pPr>
              <w:spacing w:after="40"/>
            </w:pPr>
            <w:r>
              <w:t>Uso corretto degli strumenti; supervisione dell’output</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D3C6E84" w14:textId="77777777" w:rsidR="007C4598" w:rsidRDefault="00000000">
            <w:pPr>
              <w:spacing w:after="40"/>
            </w:pPr>
            <w:r>
              <w:t>Tempo della figura competente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2687C24" w14:textId="77777777" w:rsidR="007C4598" w:rsidRDefault="00000000">
            <w:pPr>
              <w:spacing w:after="40"/>
            </w:pPr>
            <w:r>
              <w:t>Accelerazione e correzione delle competenze pro-IA</w:t>
            </w:r>
          </w:p>
        </w:tc>
      </w:tr>
    </w:tbl>
    <w:p w14:paraId="15FAF89C" w14:textId="77777777" w:rsidR="007C4598" w:rsidRDefault="007C4598"/>
    <w:p w14:paraId="58202FBE" w14:textId="77777777" w:rsidR="007C4598" w:rsidRDefault="00000000">
      <w:pPr>
        <w:jc w:val="both"/>
      </w:pPr>
      <w:r>
        <w:t>La posizione della quarta modalità nel percorso integrato è così definita nei suoi termini essenziali. L’affiancamento esperto è la modalità che guida e accelera la formazione lavorativa, comprimendo la curva di apprendimento e correggendo gli errori prima che si consolidino, e in questa funzione è il complemento necessario della terza modalità: nessuna delle altre modalità produce l’accelerazione e la correzione che l’affiancamento fornisce, e la sua collocazione nel periodo iniziale dell’esercizio ne massimizza il rendimento. Esaminata a sé stante come le altre tre, in aderenza alla prima esigenza del mandato, la quarta modalità può ora essere considerata insieme ad esse, in aderenza alla seconda esigenza, nel percorso formativo integrato in cui la complementarità delle quattro modalità rende più della loro somma isolata. È questo il percorso integrato, oggetto della voce seguente, in cui le quattro modalità si compongono e ciascuna assolve la funzione che le altre non assolvono.</w:t>
      </w:r>
    </w:p>
    <w:p w14:paraId="65D47944" w14:textId="77777777" w:rsidR="007C4598" w:rsidRDefault="007C4598"/>
    <w:p w14:paraId="233D1F77" w14:textId="77777777" w:rsidR="007C4598" w:rsidRDefault="00000000">
      <w:pPr>
        <w:pStyle w:val="Titolo1"/>
        <w:pageBreakBefore/>
      </w:pPr>
      <w:r>
        <w:rPr>
          <w:sz w:val="22"/>
          <w:szCs w:val="22"/>
        </w:rPr>
        <w:t>5.6  Le quattro modalità in combinazione: il percorso formativo integrato</w:t>
      </w:r>
    </w:p>
    <w:p w14:paraId="7AECD212" w14:textId="77777777" w:rsidR="007C4598" w:rsidRDefault="007C4598"/>
    <w:p w14:paraId="6A44056E" w14:textId="77777777" w:rsidR="007C4598" w:rsidRDefault="00000000">
      <w:pPr>
        <w:jc w:val="both"/>
      </w:pPr>
      <w:r>
        <w:rPr>
          <w:i/>
          <w:iCs/>
        </w:rPr>
        <w:t xml:space="preserve">Questa voce considera le quattro modalità insieme, in aderenza alla seconda esigenza del mandato. Essa mostra che le modalità non sono alternative ma componenti complementari di un percorso integrato, in cui ciascuna assolve una funzione che le altre non assolvono; individua la combinazione ottimale e ne motiva la composizione; mappa le modalità sui quattro livelli di </w:t>
      </w:r>
      <w:proofErr w:type="spellStart"/>
      <w:r>
        <w:rPr>
          <w:i/>
          <w:iCs/>
        </w:rPr>
        <w:t>Kirkpatrick</w:t>
      </w:r>
      <w:proofErr w:type="spellEnd"/>
      <w:r>
        <w:rPr>
          <w:i/>
          <w:iCs/>
        </w:rPr>
        <w:t>, mostrando che il percorso integrato li copre tutti dove ciascuna modalità isolata ne copre solo alcuni; e integra qui le competenze pro-Intelligenza Artificiale costruite a sé stanti nelle voci precedenti, in aderenza alla seconda esigenza del mandato relativa all’Intelligenza Artificiale.</w:t>
      </w:r>
    </w:p>
    <w:p w14:paraId="4E9147C5" w14:textId="77777777" w:rsidR="007C4598" w:rsidRDefault="007C4598"/>
    <w:p w14:paraId="367B1F3E" w14:textId="77777777" w:rsidR="007C4598" w:rsidRDefault="00000000">
      <w:pPr>
        <w:jc w:val="both"/>
      </w:pPr>
      <w:r>
        <w:t>Le quattro voci precedenti hanno esaminato le modalità formative a sé stanti, in aderenza alla prima esigenza del mandato, che richiede di considerare ciascuna modalità con i propri costi, i propri tempi e i propri rendimenti. Questa voce le considera insieme, in aderenza alla seconda esigenza, che richiede di considerarle in combinazione, come percorso formativo integrato. Il passaggio dal singolo al combinato non è una semplice giustapposizione: le quattro modalità non sono alternative tra cui scegliere, ma componenti complementari di un percorso integrato, e la domanda non è più quale modalità sia migliore, ma come le modalità si compongano in un percorso che renda più della loro somma isolata. La risposta a questa domanda è il contenuto proprio della presente voce, e si fonda sul riconoscimento della complementarità delle modalità, che le voci precedenti hanno preparato esponendo per ciascuna i pregi e i limiti.</w:t>
      </w:r>
    </w:p>
    <w:p w14:paraId="2C6A5CB9" w14:textId="77777777" w:rsidR="007C4598" w:rsidRDefault="007C4598"/>
    <w:p w14:paraId="0773FED3" w14:textId="77777777" w:rsidR="007C4598" w:rsidRDefault="00000000">
      <w:pPr>
        <w:jc w:val="both"/>
      </w:pPr>
      <w:r>
        <w:t>La complementarità delle quattro modalità è il fondamento del percorso integrato, e si manifesta nel fatto che il limite di ciascuna modalità è precisamente la funzione che un’altra modalità assolve. La formazione universitaria costruisce il fondamento durevole, il capitale umano di lungo periodo, ma si aggiorna con lentezza e resta generica; il suo limite di lento aggiornamento è compensato dalla formazione post-universitaria, che provvede all’aggiornamento rapido. La formazione post-universitaria aggiorna il fondamento, ma è frammentaria e non produce il trasferimento nella pratica; il suo limite di mancato trasferimento è compensato dalla formazione lavorativa, che converte l’apprendimento in competenza operativa. La formazione lavorativa produce il trasferimento, ma lentamente e con il rischio del consolidamento degli errori; il suo limite di lentezza e di rischio è compensato dall’affiancamento esperto, che accelera il consolidamento e corregge gli errori. La complementarità è dunque circolare e completa: ogni limite trova in un’altra modalità la propria compensazione, e il percorso integrato è la composizione che dispone le quattro modalità in modo che il limite di ciascuna sia coperto dalla funzione di un’altra. È questa compensazione reciproca dei limiti la ragione per cui le modalità non sono alternative, ma componenti di un percorso unico.</w:t>
      </w:r>
    </w:p>
    <w:p w14:paraId="0803A16C" w14:textId="77777777" w:rsidR="007C4598" w:rsidRDefault="007C4598"/>
    <w:p w14:paraId="0E546BA1" w14:textId="77777777" w:rsidR="007C4598" w:rsidRDefault="00000000">
      <w:pPr>
        <w:jc w:val="both"/>
      </w:pPr>
      <w:r>
        <w:t>Dalla complementarità discende la combinazione ottimale, che la metodologia validata del progetto individua e che la presente voce motiva. La combinazione dispone la formazione universitaria all’origine del percorso, come componente che costruisce il capitale umano di lungo periodo; vi aggiunge la formazione post-universitaria, e in particolare l’educazione continua e le certificazioni, che ne assicurano l’aggiornamento rapido; si affida alla formazione lavorativa per il trasferimento nella pratica; e concentra l’affiancamento esperto nel periodo iniziale dell’esercizio, dove esso produce la maggiore accelerazione della curva di adozione, segnatamente per le competenze digitali e per quelle dedicate all’Intelligenza Artificiale, nei primi dodici-diciotto mesi. Questa combinazione non è un’aggregazione arbitraria, ma la composizione che deriva dalla complementarità: essa colloca ciascuna modalità nella posizione in cui la sua funzione è più utile e in cui il suo limite è compensato dalla funzione di un’altra, e ne ricava un percorso in cui il fondamento è costruito, aggiornato, trasferito nella pratica e accelerato nel consolidamento. È la combinazione che le voci precedenti hanno preparato e che la settima voce sottoporrà alla misura del costo e del rendimento.</w:t>
      </w:r>
    </w:p>
    <w:p w14:paraId="57B1A63A" w14:textId="77777777" w:rsidR="007C4598" w:rsidRDefault="007C4598"/>
    <w:p w14:paraId="5542D563" w14:textId="77777777" w:rsidR="007C4598" w:rsidRDefault="00000000">
      <w:pPr>
        <w:jc w:val="both"/>
      </w:pPr>
      <w:r>
        <w:t xml:space="preserve">Il percorso integrato può essere letto attraverso i quattro livelli del modello di </w:t>
      </w:r>
      <w:proofErr w:type="spellStart"/>
      <w:r>
        <w:t>Kirkpatrick</w:t>
      </w:r>
      <w:proofErr w:type="spellEnd"/>
      <w:r>
        <w:t>, e in questa lettura la sua superiorità sulle modalità isolate diviene evidente. Nessuna modalità isolata copre tutti e quattro i livelli: la formazione universitaria e quella post-universitaria operano in misura prevalente al secondo livello, quello dell’apprendimento; la formazione lavorativa opera al terzo livello, quello del trasferimento; l’affiancamento esperto accelera il terzo livello e, attraverso l’audit e feedback, tocca il quarto, quello dei risultati. Il percorso integrato, invece, copre tutti e quattro i livelli, perché compone le modalità che operano a ciascuno: il fondamento è appreso al secondo livello, aggiornato fra il secondo e il terzo, trasferito nella pratica al terzo, e il trasferimento è accelerato e i suoi risultati misurati fra il terzo e il quarto. È questa copertura di tutti e quattro i livelli a far sì che il percorso integrato renda più della somma delle modalità isolate, ciascuna delle quali ne copre solo alcuni; e la copertura completa è il modo in cui la complementarità delle modalità si traduce in efficacia formativa misurabile.</w:t>
      </w:r>
    </w:p>
    <w:p w14:paraId="00011A66" w14:textId="77777777" w:rsidR="007C4598" w:rsidRDefault="007C4598"/>
    <w:p w14:paraId="455E6FF4" w14:textId="77777777" w:rsidR="007C4598" w:rsidRDefault="00000000">
      <w:pPr>
        <w:jc w:val="both"/>
      </w:pPr>
      <w:r>
        <w:t>Il percorso integrato realizza anche la dimensione interprofessionale del fabbisogno individuata nella prima voce. La formazione condivisa nella coppia clinica — la formazione che lo Psicologo di Base e il medico di medicina generale ricevono in parte congiuntamente — è realizzata in modo più efficace nel percorso combinato, dove le modalità formali costruiscono il fondamento condiviso e la formazione lavorativa e l’affiancamento ne consolidano la pratica condivisa. La formazione interprofessionale è documentata dalla letteratura come veicolo di miglioramento della pratica professionale e della competenza collaborativa, e il percorso integrato è la forma in cui essa si realizza, costruendo non soltanto la competenza del singolo professionista ma la capacità del sistema di operare in modo integrato.</w:t>
      </w:r>
      <w:r>
        <w:rPr>
          <w:color w:val="555555"/>
          <w:sz w:val="16"/>
          <w:szCs w:val="16"/>
          <w:vertAlign w:val="superscript"/>
        </w:rPr>
        <w:t>[19]</w:t>
      </w:r>
      <w:r>
        <w:t xml:space="preserve"> La dimensione interprofessionale, anticipata nella prima voce come parte rilevante del fabbisogno, trova così nel percorso integrato il suo luogo proprio, poiché è nella combinazione delle modalità, e non nella loro applicazione isolata, che la competenza condivisa può essere costruita.</w:t>
      </w:r>
    </w:p>
    <w:p w14:paraId="52F9C69F" w14:textId="77777777" w:rsidR="007C4598" w:rsidRDefault="007C4598"/>
    <w:p w14:paraId="5345A770" w14:textId="77777777" w:rsidR="007C4598" w:rsidRDefault="00000000">
      <w:pPr>
        <w:jc w:val="both"/>
      </w:pPr>
      <w:r>
        <w:t>Il percorso integrato è infine la forma in cui le competenze dedicate all’Intelligenza Artificiale, costruite a sé stanti nelle voci precedenti, sono integrate nel profilo professionale, in aderenza alla seconda esigenza del mandato relativa all’Intelligenza Artificiale. Le competenze pro-Intelligenza Artificiale, costruite in modo rapido e isolato attraverso le certificazioni, consolidate attraverso l’uso effettivo nella formazione lavorativa e accelerate e corrette dall’esperto di Intelligenza Artificiale in studio, sono integrate nel profilo professionale attraverso il percorso combinato, dove cessano di essere una competenza isolata e divengono una componente del profilo integrato dello Psicologo di Base potenziato dalle leve abilitanti. Questa integrazione realizza la seconda esigenza del duplice mandato relativa all’Intelligenza Artificiale: le competenze pro-Intelligenza Artificiale sono considerate non soltanto a sé stanti, come nelle certificazioni, ma congiunte alle altre, come nel percorso integrato, dove sono subordinate alla competenza clinica che servono e alla supervisione umana che le governa. Il duplice mandato relativo all’Intelligenza Artificiale — considerarne le competenze sia a sé stanti sia in combinazione — trova così nel rapporto tra le certificazioni e il percorso integrato la sua compiuta attuazione.</w:t>
      </w:r>
    </w:p>
    <w:p w14:paraId="3235602F" w14:textId="77777777" w:rsidR="007C4598" w:rsidRDefault="007C4598"/>
    <w:p w14:paraId="44B7C583" w14:textId="77777777" w:rsidR="007C4598" w:rsidRDefault="00000000">
      <w:pPr>
        <w:jc w:val="both"/>
      </w:pPr>
      <w:r>
        <w:t xml:space="preserve">Dalla complementarità delle modalità, dalla copertura di tutti e quattro i livelli, dalla dimensione interprofessionale e dall’integrazione delle competenze pro-Intelligenza Artificiale discende la proposizione centrale di questa voce: il percorso integrato rende più della somma delle modalità isolate. Questa </w:t>
      </w:r>
      <w:proofErr w:type="spellStart"/>
      <w:r>
        <w:t>superadditività</w:t>
      </w:r>
      <w:proofErr w:type="spellEnd"/>
      <w:r>
        <w:t xml:space="preserve"> non è un’affermazione retorica, ma una conseguenza della complementarità: poiché il limite di ciascuna modalità è compensato dalla funzione di un’altra, il percorso combinato produce uno sviluppo delle competenze che nessuna modalità isolata produce, e il suo rendimento eccede la somma dei rendimenti delle modalità isolate; la letteratura sui percorsi formativi integrati documenta, a sostegno, la maggiore efficacia dei percorsi in cui più modalità si compongono rispetto alle modalità applicate isolatamente.</w:t>
      </w:r>
      <w:r>
        <w:rPr>
          <w:color w:val="555555"/>
          <w:sz w:val="16"/>
          <w:szCs w:val="16"/>
          <w:vertAlign w:val="superscript"/>
        </w:rPr>
        <w:t>[18]</w:t>
      </w:r>
      <w:r>
        <w:t xml:space="preserve"> La proposizione è falsificabile e sarà quantificata nella settima voce, dove il rapporto costo-efficacia della combinazione è confrontato con quello delle modalità singole; ed è contenuta entro le bande prudenziali del progetto, che impediscono alla </w:t>
      </w:r>
      <w:proofErr w:type="spellStart"/>
      <w:r>
        <w:t>superadditività</w:t>
      </w:r>
      <w:proofErr w:type="spellEnd"/>
      <w:r>
        <w:t xml:space="preserve"> di essere sopravvalutata e ne mantengono la stima entro i limiti che l’evidenza sostiene. La tabella seguente riepiloga le quattro modalità, la loro funzione, il livello di </w:t>
      </w:r>
      <w:proofErr w:type="spellStart"/>
      <w:r>
        <w:t>Kirkpatrick</w:t>
      </w:r>
      <w:proofErr w:type="spellEnd"/>
      <w:r>
        <w:t xml:space="preserve"> su cui ciascuna opera prevalentemente e il loro ruolo nel percorso integrato.</w:t>
      </w:r>
    </w:p>
    <w:p w14:paraId="592115A5" w14:textId="77777777" w:rsidR="007C4598" w:rsidRDefault="007C4598"/>
    <w:p w14:paraId="654839B9" w14:textId="77777777" w:rsidR="007C4598" w:rsidRDefault="00000000">
      <w:pPr>
        <w:jc w:val="both"/>
      </w:pPr>
      <w:r>
        <w:rPr>
          <w:b/>
          <w:bCs/>
        </w:rPr>
        <w:t>Tabella 5.6.A — Le quattro modalità nel percorso integrato: funzione, livello, ruolo</w:t>
      </w:r>
    </w:p>
    <w:p w14:paraId="1EDB65CC"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420719D8"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1DCF2B0" w14:textId="77777777" w:rsidR="007C4598" w:rsidRDefault="00000000">
            <w:pPr>
              <w:spacing w:after="40"/>
            </w:pPr>
            <w:r>
              <w:rPr>
                <w:b/>
                <w:bCs/>
                <w:color w:val="FFFFFF"/>
                <w:sz w:val="18"/>
                <w:szCs w:val="18"/>
              </w:rPr>
              <w:t>Modalità</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45730E3" w14:textId="77777777" w:rsidR="007C4598" w:rsidRDefault="00000000">
            <w:pPr>
              <w:spacing w:after="40"/>
            </w:pPr>
            <w:r>
              <w:rPr>
                <w:b/>
                <w:bCs/>
                <w:color w:val="FFFFFF"/>
                <w:sz w:val="18"/>
                <w:szCs w:val="18"/>
              </w:rPr>
              <w:t>Funzione propria</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FFB6455" w14:textId="77777777" w:rsidR="007C4598" w:rsidRDefault="00000000">
            <w:pPr>
              <w:spacing w:after="40"/>
            </w:pPr>
            <w:r>
              <w:rPr>
                <w:b/>
                <w:bCs/>
                <w:color w:val="FFFFFF"/>
                <w:sz w:val="18"/>
                <w:szCs w:val="18"/>
              </w:rPr>
              <w:t xml:space="preserve">Livello di </w:t>
            </w:r>
            <w:proofErr w:type="spellStart"/>
            <w:r>
              <w:rPr>
                <w:b/>
                <w:bCs/>
                <w:color w:val="FFFFFF"/>
                <w:sz w:val="18"/>
                <w:szCs w:val="18"/>
              </w:rPr>
              <w:t>Kirkpatrick</w:t>
            </w:r>
            <w:proofErr w:type="spellEnd"/>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A44F20F" w14:textId="77777777" w:rsidR="007C4598" w:rsidRDefault="00000000">
            <w:pPr>
              <w:spacing w:after="40"/>
            </w:pPr>
            <w:r>
              <w:rPr>
                <w:b/>
                <w:bCs/>
                <w:color w:val="FFFFFF"/>
                <w:sz w:val="18"/>
                <w:szCs w:val="18"/>
              </w:rPr>
              <w:t>Ruolo nel percorso integrato</w:t>
            </w:r>
          </w:p>
        </w:tc>
      </w:tr>
      <w:tr w:rsidR="007C4598" w14:paraId="4ACD035A"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57738A1" w14:textId="77777777" w:rsidR="007C4598" w:rsidRDefault="00000000">
            <w:pPr>
              <w:spacing w:after="40"/>
            </w:pPr>
            <w:r>
              <w:rPr>
                <w:b/>
                <w:bCs/>
              </w:rPr>
              <w:t>Universitaria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9C44510" w14:textId="77777777" w:rsidR="007C4598" w:rsidRDefault="00000000">
            <w:pPr>
              <w:spacing w:after="40"/>
            </w:pPr>
            <w:r>
              <w:t>Fondamento durevole, capitale umano di lungo periodo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99A6914" w14:textId="77777777" w:rsidR="007C4598" w:rsidRDefault="00000000">
            <w:pPr>
              <w:spacing w:after="40"/>
            </w:pPr>
            <w:r>
              <w:t>Apprendimento (2)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3BDFE2E" w14:textId="77777777" w:rsidR="007C4598" w:rsidRDefault="00000000">
            <w:pPr>
              <w:spacing w:after="40"/>
            </w:pPr>
            <w:r>
              <w:t>Origine: costruisce il fondamento</w:t>
            </w:r>
          </w:p>
        </w:tc>
      </w:tr>
      <w:tr w:rsidR="007C4598" w14:paraId="0AF2890A"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60668F7" w14:textId="77777777" w:rsidR="007C4598" w:rsidRDefault="00000000">
            <w:pPr>
              <w:spacing w:after="40"/>
            </w:pPr>
            <w:r>
              <w:rPr>
                <w:b/>
                <w:bCs/>
              </w:rPr>
              <w:t>Post-universitaria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EF59A55" w14:textId="77777777" w:rsidR="007C4598" w:rsidRDefault="00000000">
            <w:pPr>
              <w:spacing w:after="40"/>
            </w:pPr>
            <w:r>
              <w:t>Aggiornamento rapido e continuo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F2E771D" w14:textId="77777777" w:rsidR="007C4598" w:rsidRDefault="00000000">
            <w:pPr>
              <w:spacing w:after="40"/>
            </w:pPr>
            <w:r>
              <w:t>Apprendimento–Trasferimento (2–3)</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49C4AE8" w14:textId="77777777" w:rsidR="007C4598" w:rsidRDefault="00000000">
            <w:pPr>
              <w:spacing w:after="40"/>
            </w:pPr>
            <w:r>
              <w:t>Mantiene adeguato il fondamento</w:t>
            </w:r>
          </w:p>
        </w:tc>
      </w:tr>
      <w:tr w:rsidR="007C4598" w14:paraId="31914F71"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580078C" w14:textId="77777777" w:rsidR="007C4598" w:rsidRDefault="00000000">
            <w:pPr>
              <w:spacing w:after="40"/>
            </w:pPr>
            <w:r>
              <w:rPr>
                <w:b/>
                <w:bCs/>
              </w:rPr>
              <w:t>Lavorativa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BAE4133" w14:textId="77777777" w:rsidR="007C4598" w:rsidRDefault="00000000">
            <w:pPr>
              <w:spacing w:after="40"/>
            </w:pPr>
            <w:r>
              <w:t>Trasferimento nella pratica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7083C56" w14:textId="77777777" w:rsidR="007C4598" w:rsidRDefault="00000000">
            <w:pPr>
              <w:spacing w:after="40"/>
            </w:pPr>
            <w:r>
              <w:t>Trasferimento (3)</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1FF7DFE" w14:textId="77777777" w:rsidR="007C4598" w:rsidRDefault="00000000">
            <w:pPr>
              <w:spacing w:after="40"/>
            </w:pPr>
            <w:r>
              <w:t>Converte il fondamento in pratica</w:t>
            </w:r>
          </w:p>
        </w:tc>
      </w:tr>
      <w:tr w:rsidR="007C4598" w14:paraId="7912646F"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EA1778C" w14:textId="77777777" w:rsidR="007C4598" w:rsidRDefault="00000000">
            <w:pPr>
              <w:spacing w:after="40"/>
            </w:pPr>
            <w:r>
              <w:rPr>
                <w:b/>
                <w:bCs/>
              </w:rPr>
              <w:t>Affiancamento esperto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373F301" w14:textId="77777777" w:rsidR="007C4598" w:rsidRDefault="00000000">
            <w:pPr>
              <w:spacing w:after="40"/>
            </w:pPr>
            <w:r>
              <w:t>Accelerazione e correzione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23E293C" w14:textId="77777777" w:rsidR="007C4598" w:rsidRDefault="00000000">
            <w:pPr>
              <w:spacing w:after="40"/>
            </w:pPr>
            <w:r>
              <w:t>Trasferimento–Risultati (3–4)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5C09B4A" w14:textId="77777777" w:rsidR="007C4598" w:rsidRDefault="00000000">
            <w:pPr>
              <w:spacing w:after="40"/>
            </w:pPr>
            <w:r>
              <w:t>Comprime la curva nei primi 12–18 mesi</w:t>
            </w:r>
          </w:p>
        </w:tc>
      </w:tr>
    </w:tbl>
    <w:p w14:paraId="51A3EE95" w14:textId="77777777" w:rsidR="007C4598" w:rsidRDefault="007C4598"/>
    <w:p w14:paraId="1904B880" w14:textId="77777777" w:rsidR="007C4598" w:rsidRDefault="00000000">
      <w:pPr>
        <w:jc w:val="both"/>
      </w:pPr>
      <w:r>
        <w:t xml:space="preserve">La composizione delle quattro modalità nel percorso integrato può essere rappresentata nella sua forma essenziale, che la scheda </w:t>
      </w:r>
      <w:proofErr w:type="spellStart"/>
      <w:r>
        <w:t>infografica</w:t>
      </w:r>
      <w:proofErr w:type="spellEnd"/>
      <w:r>
        <w:t xml:space="preserve"> seguente sintetizza. Essa dispone le quattro modalità in sequenza, ne mostra la funzione e il livello di </w:t>
      </w:r>
      <w:proofErr w:type="spellStart"/>
      <w:r>
        <w:t>Kirkpatrick</w:t>
      </w:r>
      <w:proofErr w:type="spellEnd"/>
      <w:r>
        <w:t xml:space="preserve"> su cui ciascuna opera, e rappresenta la costruzione progressiva della competenza lungo il percorso, dalla formazione del fondamento alla sua accelerazione nella pratica; ed evidenzia la copertura di tutti e quattro i livelli che il percorso integrato realizza e che nessuna modalità isolata raggiunge.</w:t>
      </w:r>
    </w:p>
    <w:p w14:paraId="6526CF54"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57157DF6"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CECB8A3" w14:textId="77777777" w:rsidR="007C4598" w:rsidRDefault="00000000">
            <w:pPr>
              <w:spacing w:after="40"/>
            </w:pPr>
            <w:r>
              <w:rPr>
                <w:b/>
                <w:bCs/>
                <w:color w:val="FFFFFF"/>
                <w:sz w:val="18"/>
                <w:szCs w:val="18"/>
              </w:rPr>
              <w:t xml:space="preserve">◆  SEGNALIBRO — INFOGRAFICA 5.6 · DA INSERIRE A POSTERIORI Titolo previsto: Il percorso formativo integrato: le quattro modalità e i livelli di </w:t>
            </w:r>
            <w:proofErr w:type="spellStart"/>
            <w:r>
              <w:rPr>
                <w:b/>
                <w:bCs/>
                <w:color w:val="FFFFFF"/>
                <w:sz w:val="18"/>
                <w:szCs w:val="18"/>
              </w:rPr>
              <w:t>Kirkpatrick</w:t>
            </w:r>
            <w:proofErr w:type="spellEnd"/>
            <w:r>
              <w:rPr>
                <w:b/>
                <w:bCs/>
                <w:color w:val="FFFFFF"/>
                <w:sz w:val="18"/>
                <w:szCs w:val="18"/>
              </w:rPr>
              <w:t xml:space="preserve"> Contenuto da rappresentare: Sequenza orizzontale delle quattro modalità (universitaria → post-universitaria → lavorativa → affiancamento esperto), ciascuna associata alla propria funzione e al livello di </w:t>
            </w:r>
            <w:proofErr w:type="spellStart"/>
            <w:r>
              <w:rPr>
                <w:b/>
                <w:bCs/>
                <w:color w:val="FFFFFF"/>
                <w:sz w:val="18"/>
                <w:szCs w:val="18"/>
              </w:rPr>
              <w:t>Kirkpatrick</w:t>
            </w:r>
            <w:proofErr w:type="spellEnd"/>
            <w:r>
              <w:rPr>
                <w:b/>
                <w:bCs/>
                <w:color w:val="FFFFFF"/>
                <w:sz w:val="18"/>
                <w:szCs w:val="18"/>
              </w:rPr>
              <w:t xml:space="preserve"> su cui opera, con una curva sovrapposta che rappresenta la costruzione progressiva della competenza lungo il percorso; obiettivo: mostrare che il percorso integrato copre tutti e quattro i livelli, dove ciascuna modalità isolata ne copre solo alcuni, e che l’affiancamento esperto accelera il tratto finale della curva nei primi dodici-diciotto mesi. Codice </w:t>
            </w:r>
            <w:proofErr w:type="spellStart"/>
            <w:r>
              <w:rPr>
                <w:b/>
                <w:bCs/>
                <w:color w:val="FFFFFF"/>
                <w:sz w:val="18"/>
                <w:szCs w:val="18"/>
              </w:rPr>
              <w:t>Canva-Friendly</w:t>
            </w:r>
            <w:proofErr w:type="spellEnd"/>
            <w:r>
              <w:rPr>
                <w:b/>
                <w:bCs/>
                <w:color w:val="FFFFFF"/>
                <w:sz w:val="18"/>
                <w:szCs w:val="18"/>
              </w:rPr>
              <w:t xml:space="preserve"> (scheda di generazione) TIPO: diagramma a sequenza (4 stadi) con asse dei livelli di </w:t>
            </w:r>
            <w:proofErr w:type="spellStart"/>
            <w:r>
              <w:rPr>
                <w:b/>
                <w:bCs/>
                <w:color w:val="FFFFFF"/>
                <w:sz w:val="18"/>
                <w:szCs w:val="18"/>
              </w:rPr>
              <w:t>Kirkpatrick</w:t>
            </w:r>
            <w:proofErr w:type="spellEnd"/>
            <w:r>
              <w:rPr>
                <w:b/>
                <w:bCs/>
                <w:color w:val="FFFFFF"/>
                <w:sz w:val="18"/>
                <w:szCs w:val="18"/>
              </w:rPr>
              <w:t xml:space="preserve"> e curva di costruzione della competenza sovrapposta FORMATO: 1280 × 900 </w:t>
            </w:r>
            <w:proofErr w:type="spellStart"/>
            <w:r>
              <w:rPr>
                <w:b/>
                <w:bCs/>
                <w:color w:val="FFFFFF"/>
                <w:sz w:val="18"/>
                <w:szCs w:val="18"/>
              </w:rPr>
              <w:t>px</w:t>
            </w:r>
            <w:proofErr w:type="spellEnd"/>
            <w:r>
              <w:rPr>
                <w:b/>
                <w:bCs/>
                <w:color w:val="FFFFFF"/>
                <w:sz w:val="18"/>
                <w:szCs w:val="18"/>
              </w:rPr>
              <w:t xml:space="preserve">; adatta a slide e ad A4 SFONDO: gradiente verticale bianco #FFFFFF 85% → crema #F3EAD6 15% PALETTE: stadi in gradiente </w:t>
            </w:r>
            <w:proofErr w:type="spellStart"/>
            <w:r>
              <w:rPr>
                <w:b/>
                <w:bCs/>
                <w:color w:val="FFFFFF"/>
                <w:sz w:val="18"/>
                <w:szCs w:val="18"/>
              </w:rPr>
              <w:t>navy</w:t>
            </w:r>
            <w:proofErr w:type="spellEnd"/>
            <w:r>
              <w:rPr>
                <w:b/>
                <w:bCs/>
                <w:color w:val="FFFFFF"/>
                <w:sz w:val="18"/>
                <w:szCs w:val="18"/>
              </w:rPr>
              <w:t xml:space="preserve"> #101F3C → #244272 → #2E5AA0 → #5B7BB0; curva della competenza oro #C49A48; livelli di </w:t>
            </w:r>
            <w:proofErr w:type="spellStart"/>
            <w:r>
              <w:rPr>
                <w:b/>
                <w:bCs/>
                <w:color w:val="FFFFFF"/>
                <w:sz w:val="18"/>
                <w:szCs w:val="18"/>
              </w:rPr>
              <w:t>Kirkpatrick</w:t>
            </w:r>
            <w:proofErr w:type="spellEnd"/>
            <w:r>
              <w:rPr>
                <w:b/>
                <w:bCs/>
                <w:color w:val="FFFFFF"/>
                <w:sz w:val="18"/>
                <w:szCs w:val="18"/>
              </w:rPr>
              <w:t xml:space="preserve"> in grigio-</w:t>
            </w:r>
            <w:proofErr w:type="spellStart"/>
            <w:r>
              <w:rPr>
                <w:b/>
                <w:bCs/>
                <w:color w:val="FFFFFF"/>
                <w:sz w:val="18"/>
                <w:szCs w:val="18"/>
              </w:rPr>
              <w:t>navy</w:t>
            </w:r>
            <w:proofErr w:type="spellEnd"/>
            <w:r>
              <w:rPr>
                <w:b/>
                <w:bCs/>
                <w:color w:val="FFFFFF"/>
                <w:sz w:val="18"/>
                <w:szCs w:val="18"/>
              </w:rPr>
              <w:t xml:space="preserve">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valori </w:t>
            </w:r>
            <w:proofErr w:type="spellStart"/>
            <w:r>
              <w:rPr>
                <w:b/>
                <w:bCs/>
                <w:color w:val="FFFFFF"/>
                <w:sz w:val="18"/>
                <w:szCs w:val="18"/>
              </w:rPr>
              <w:t>Bold</w:t>
            </w:r>
            <w:proofErr w:type="spellEnd"/>
            <w:r>
              <w:rPr>
                <w:b/>
                <w:bCs/>
                <w:color w:val="FFFFFF"/>
                <w:sz w:val="18"/>
                <w:szCs w:val="18"/>
              </w:rPr>
              <w:t xml:space="preserve">, etichette Regular TITOLO: «Il percorso formativo integrato: le quattro modalità e i livelli di </w:t>
            </w:r>
            <w:proofErr w:type="spellStart"/>
            <w:r>
              <w:rPr>
                <w:b/>
                <w:bCs/>
                <w:color w:val="FFFFFF"/>
                <w:sz w:val="18"/>
                <w:szCs w:val="18"/>
              </w:rPr>
              <w:t>Kirkpatrick</w:t>
            </w:r>
            <w:proofErr w:type="spellEnd"/>
            <w:r>
              <w:rPr>
                <w:b/>
                <w:bCs/>
                <w:color w:val="FFFFFF"/>
                <w:sz w:val="18"/>
                <w:szCs w:val="18"/>
              </w:rPr>
              <w:t xml:space="preserve">» STADIO 1: Universitaria — fondamento durevole — livello 2 (apprendimento) STADIO 2: Post-universitaria — aggiornamento rapido — livelli 2–3 STADIO 3: Lavorativa — trasferimento nella pratica — livello 3 STADIO 4: Affiancamento esperto — accelerazione e correzione — livelli 3–4 ASSE DEI LIVELLI: 1 reazione · 2 apprendimento · 3 trasferimento · 4 risultati CURVA COMPETENZA: crescente lungo i quattro stadi; tratto finale ripido sotto l’affiancamento (12–18 mesi) DIDASCALIA: «Il percorso integrato copre tutti e quattro i livelli: ciò che nessuna modalità isolata raggiunge» VARIANTE 3D (consigliata): i quattro stadi come blocchi in prospettiva isometrica digradante, con la curva della competenza che li attraversa in piano e il tratto finale in rilievo sotto lo stadio dell’affiancamento FONTE (piè di figura): elaborazione dello studio su modello di </w:t>
            </w:r>
            <w:proofErr w:type="spellStart"/>
            <w:r>
              <w:rPr>
                <w:b/>
                <w:bCs/>
                <w:color w:val="FFFFFF"/>
                <w:sz w:val="18"/>
                <w:szCs w:val="18"/>
              </w:rPr>
              <w:t>Kirkpatrick</w:t>
            </w:r>
            <w:proofErr w:type="spellEnd"/>
            <w:r>
              <w:rPr>
                <w:b/>
                <w:bCs/>
                <w:color w:val="FFFFFF"/>
                <w:sz w:val="18"/>
                <w:szCs w:val="18"/>
              </w:rPr>
              <w:t xml:space="preserve"> e Phillips, modello 70-20-10 e letteratura sull’apprendimento integrato</w:t>
            </w:r>
          </w:p>
          <w:p w14:paraId="40740701" w14:textId="77777777" w:rsidR="007C4598" w:rsidRDefault="00000000">
            <w:pPr>
              <w:spacing w:before="120" w:after="60"/>
              <w:jc w:val="center"/>
            </w:pPr>
            <w:r>
              <w:rPr>
                <w:noProof/>
              </w:rPr>
              <w:drawing>
                <wp:inline distT="0" distB="0" distL="0" distR="0" wp14:anchorId="28E25BC8" wp14:editId="0EE7DAC2">
                  <wp:extent cx="8229600" cy="4629150"/>
                  <wp:effectExtent l="0" t="0" r="0" b="0"/>
                  <wp:docPr id="124" name="Infografica24" descr="Il percorso formativo integrato: sequenza e combinazione delle modalit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Infografica24"/>
                          <pic:cNvPicPr>
                            <a:picLocks noChangeAspect="1" noChangeArrowheads="1"/>
                          </pic:cNvPicPr>
                        </pic:nvPicPr>
                        <pic:blipFill>
                          <a:blip r:embed="rId37">
                            <a:extLst>
                              <a:ext uri="{96DAC541-7B7A-43D3-8B79-37D633B846F1}">
                                <asvg:svgBlip xmlns:asvg="http://schemas.microsoft.com/office/drawing/2016/SVG/main" r:embed="rId38"/>
                              </a:ext>
                            </a:extLst>
                          </a:blip>
                          <a:stretch>
                            <a:fillRect/>
                          </a:stretch>
                        </pic:blipFill>
                        <pic:spPr bwMode="auto">
                          <a:xfrm>
                            <a:off x="0" y="0"/>
                            <a:ext cx="8229600" cy="4629150"/>
                          </a:xfrm>
                          <a:prstGeom prst="rect">
                            <a:avLst/>
                          </a:prstGeom>
                          <a:noFill/>
                          <a:ln>
                            <a:noFill/>
                          </a:ln>
                        </pic:spPr>
                      </pic:pic>
                    </a:graphicData>
                  </a:graphic>
                </wp:inline>
              </w:drawing>
            </w:r>
          </w:p>
          <w:p w14:paraId="3E3D7746" w14:textId="77777777" w:rsidR="007C4598" w:rsidRDefault="00000000">
            <w:pPr>
              <w:spacing w:before="40" w:after="200"/>
              <w:jc w:val="center"/>
            </w:pPr>
            <w:r>
              <w:rPr>
                <w:i/>
                <w:color w:val="2E5A8F"/>
                <w:sz w:val="16"/>
                <w:szCs w:val="16"/>
              </w:rPr>
              <w:t>Fig. 5.6 — Il percorso formativo integrato: sequenza e combinazione delle modalità. Elaborazione dello studio · Luigi De Michele · Giugno 2026.</w:t>
            </w:r>
          </w:p>
        </w:tc>
      </w:tr>
    </w:tbl>
    <w:p w14:paraId="6E8E35C8" w14:textId="77777777" w:rsidR="007C4598" w:rsidRDefault="007C4598"/>
    <w:p w14:paraId="60B23DAE" w14:textId="77777777" w:rsidR="007C4598" w:rsidRDefault="00000000">
      <w:pPr>
        <w:jc w:val="both"/>
      </w:pPr>
      <w:r>
        <w:t xml:space="preserve">Il percorso integrato, descritto nella sua composizione, nella sua complementarità, nella sua copertura dei quattro livelli, nella sua dimensione interprofessionale e nella sua integrazione delle competenze pro-Intelligenza Artificiale, può ora essere sottoposto alla misura. La proposizione che esso renda più della somma delle modalità isolate, qui fondata sulla complementarità, richiede di essere quantificata, e il rapporto costo-efficacia della combinazione richiede di essere confrontato con quello delle modalità singole. È il compito della voce seguente, che applica i modelli di </w:t>
      </w:r>
      <w:proofErr w:type="spellStart"/>
      <w:r>
        <w:t>Kirkpatrick</w:t>
      </w:r>
      <w:proofErr w:type="spellEnd"/>
      <w:r>
        <w:t xml:space="preserve"> e Phillips al costo e al rendimento della formazione, colloca le stime entro le bande prudenziali dell’opera ed esprime il rendimento dell’investimento formativo nell’intervallo validato per la Puglia, mantenendo il costo della formazione distinto dal saldo economico complessivo della riforma in ossequio alla regola di non duplicazione.</w:t>
      </w:r>
    </w:p>
    <w:p w14:paraId="30F51800" w14:textId="77777777" w:rsidR="007C4598" w:rsidRDefault="007C4598"/>
    <w:p w14:paraId="45A67F08" w14:textId="77777777" w:rsidR="007C4598" w:rsidRDefault="00000000">
      <w:pPr>
        <w:pStyle w:val="Titolo1"/>
        <w:pageBreakBefore/>
      </w:pPr>
      <w:r>
        <w:rPr>
          <w:sz w:val="22"/>
          <w:szCs w:val="22"/>
        </w:rPr>
        <w:t>5.7  Il costo della formazione e il ritorno sull’investimento formativo (</w:t>
      </w:r>
      <w:proofErr w:type="spellStart"/>
      <w:r>
        <w:rPr>
          <w:sz w:val="22"/>
          <w:szCs w:val="22"/>
        </w:rPr>
        <w:t>Kirkpatrick</w:t>
      </w:r>
      <w:proofErr w:type="spellEnd"/>
      <w:r>
        <w:rPr>
          <w:sz w:val="22"/>
          <w:szCs w:val="22"/>
        </w:rPr>
        <w:t xml:space="preserve"> e Phillips)</w:t>
      </w:r>
    </w:p>
    <w:p w14:paraId="1F64373E" w14:textId="77777777" w:rsidR="007C4598" w:rsidRDefault="007C4598"/>
    <w:p w14:paraId="62A7F720" w14:textId="77777777" w:rsidR="007C4598" w:rsidRDefault="00000000">
      <w:pPr>
        <w:jc w:val="both"/>
      </w:pPr>
      <w:r>
        <w:rPr>
          <w:i/>
          <w:iCs/>
        </w:rPr>
        <w:t xml:space="preserve">Questa voce misura il costo della formazione e il suo rendimento, applicando i modelli di </w:t>
      </w:r>
      <w:proofErr w:type="spellStart"/>
      <w:r>
        <w:rPr>
          <w:i/>
          <w:iCs/>
        </w:rPr>
        <w:t>Kirkpatrick</w:t>
      </w:r>
      <w:proofErr w:type="spellEnd"/>
      <w:r>
        <w:rPr>
          <w:i/>
          <w:iCs/>
        </w:rPr>
        <w:t xml:space="preserve"> e Phillips e confrontando il rapporto costo-efficacia delle modalità singole con quello della loro combinazione. Essa articola la struttura del costo per modalità, distinguendo i costi esterni da quelli incrementali; esprime il rendimento attraverso i cinque livelli; colloca le stime entro le bande prudenziali; esprime il rapporto beneficio-costo formativo nell’intervallo validato per la Puglia; e mantiene il costo della formazione distinto dal saldo economico complessivo della riforma, distinguendolo con nettezza dal rendimento complessivo della riforma vincolato all’ancora di </w:t>
      </w:r>
      <w:proofErr w:type="spellStart"/>
      <w:r>
        <w:rPr>
          <w:i/>
          <w:iCs/>
        </w:rPr>
        <w:t>Chisholm</w:t>
      </w:r>
      <w:proofErr w:type="spellEnd"/>
      <w:r>
        <w:rPr>
          <w:i/>
          <w:iCs/>
        </w:rPr>
        <w:t>.</w:t>
      </w:r>
    </w:p>
    <w:p w14:paraId="60C069E7" w14:textId="77777777" w:rsidR="007C4598" w:rsidRDefault="007C4598"/>
    <w:p w14:paraId="50ABB69B" w14:textId="77777777" w:rsidR="007C4598" w:rsidRDefault="00000000">
      <w:pPr>
        <w:jc w:val="both"/>
      </w:pPr>
      <w:r>
        <w:t xml:space="preserve">La voce precedente ha stabilito che il percorso integrato rende più della somma delle modalità isolate, fondando questa proposizione sulla complementarità. La presente voce la quantifica. Il metodo è l’apparato di </w:t>
      </w:r>
      <w:proofErr w:type="spellStart"/>
      <w:r>
        <w:t>Kirkpatrick</w:t>
      </w:r>
      <w:proofErr w:type="spellEnd"/>
      <w:r>
        <w:t xml:space="preserve"> e Phillips: i quattro livelli di </w:t>
      </w:r>
      <w:proofErr w:type="spellStart"/>
      <w:r>
        <w:t>Kirkpatrick</w:t>
      </w:r>
      <w:proofErr w:type="spellEnd"/>
      <w:r>
        <w:t xml:space="preserve"> descrivono ciò che ciascuna modalità produce, dalla reazione al risultato, e il quinto livello di Phillips converte il risultato in un rendimento monetario, consentendo il confronto delle modalità singole con la combinazione. La quantificazione è contenuta entro le bande prudenziali del progetto e rispetta la regola di non duplicazione, che impone di tenere il costo della formazione distinto sia dai risparmi diretti sia dai benefici indiretti della riforma, e di non confondere il rapporto beneficio-costo della formazione con il rendimento complessivo della riforma.</w:t>
      </w:r>
    </w:p>
    <w:p w14:paraId="66894387" w14:textId="77777777" w:rsidR="007C4598" w:rsidRDefault="007C4598"/>
    <w:p w14:paraId="3AF08F79" w14:textId="77777777" w:rsidR="007C4598" w:rsidRDefault="00000000">
      <w:pPr>
        <w:jc w:val="both"/>
      </w:pPr>
      <w:r>
        <w:t>La struttura del costo della formazione si articola per modalità, e la distinzione tra costi esterni e costi incrementali, introdotta nelle voci precedenti, trova qui la sua sintesi. La formazione universitaria di base, ossia il percorso di laurea, è in larga parte esterna al perimetro della riforma, poiché gravante sul sistema dell’istruzione e sull’individuo; l’obbligo generale dell’educazione continua è anch’esso in larga parte esterno, gravante sul professionista e sul datore di lavoro. I costi incrementali interni al perimetro della riforma sono quattro: l’adeguamento mirato dei curricula e i master dedicati, parte incrementale della prima modalità; i percorsi mirati di educazione continua e le certificazioni promossi dalla Regione, parte incrementale della seconda modalità; il tempo dedicato all’apprendimento strutturato sul posto di lavoro, terza modalità; e, in misura più rilevante, il tempo delle figure esperte dedicato all’affiancamento, quarta modalità. La somma dei costi incrementali costituisce il costo del programma formativo, dell’ordine di quattro milioni di euro l’anno a regime nello scenario base. La tabella seguente articola il costo per modalità, distinguendo la componente esterna da quella incrementale.</w:t>
      </w:r>
    </w:p>
    <w:p w14:paraId="39BCF158" w14:textId="77777777" w:rsidR="007C4598" w:rsidRDefault="007C4598"/>
    <w:p w14:paraId="20839563" w14:textId="77777777" w:rsidR="007C4598" w:rsidRDefault="00000000">
      <w:pPr>
        <w:jc w:val="both"/>
      </w:pPr>
      <w:r>
        <w:rPr>
          <w:b/>
          <w:bCs/>
        </w:rPr>
        <w:t>Tabella 5.7.A — La struttura del costo della formazione per modalità (scenario base, ordini di grandezza)</w:t>
      </w:r>
    </w:p>
    <w:p w14:paraId="7306B753"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6E35AF86"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3B3EC7A" w14:textId="77777777" w:rsidR="007C4598" w:rsidRDefault="00000000">
            <w:pPr>
              <w:spacing w:after="40"/>
            </w:pPr>
            <w:r>
              <w:rPr>
                <w:b/>
                <w:bCs/>
                <w:color w:val="FFFFFF"/>
                <w:sz w:val="18"/>
                <w:szCs w:val="18"/>
              </w:rPr>
              <w:t>Modalità</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883F1CB" w14:textId="77777777" w:rsidR="007C4598" w:rsidRDefault="00000000">
            <w:pPr>
              <w:spacing w:after="40"/>
            </w:pPr>
            <w:r>
              <w:rPr>
                <w:b/>
                <w:bCs/>
                <w:color w:val="FFFFFF"/>
                <w:sz w:val="18"/>
                <w:szCs w:val="18"/>
              </w:rPr>
              <w:t>Componente esterna</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8DFBAAF" w14:textId="77777777" w:rsidR="007C4598" w:rsidRDefault="00000000">
            <w:pPr>
              <w:spacing w:after="40"/>
            </w:pPr>
            <w:r>
              <w:rPr>
                <w:b/>
                <w:bCs/>
                <w:color w:val="FFFFFF"/>
                <w:sz w:val="18"/>
                <w:szCs w:val="18"/>
              </w:rPr>
              <w:t>Componente incrementale (perimetro riforma)</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A099F6B" w14:textId="77777777" w:rsidR="007C4598" w:rsidRDefault="00000000">
            <w:pPr>
              <w:spacing w:after="40"/>
            </w:pPr>
            <w:r>
              <w:rPr>
                <w:b/>
                <w:bCs/>
                <w:color w:val="FFFFFF"/>
                <w:sz w:val="18"/>
                <w:szCs w:val="18"/>
              </w:rPr>
              <w:t>Costo incrementale indicativo</w:t>
            </w:r>
          </w:p>
        </w:tc>
      </w:tr>
      <w:tr w:rsidR="007C4598" w14:paraId="320C9372"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C9B97DA" w14:textId="77777777" w:rsidR="007C4598" w:rsidRDefault="00000000">
            <w:pPr>
              <w:spacing w:after="40"/>
            </w:pPr>
            <w:r>
              <w:rPr>
                <w:b/>
                <w:bCs/>
              </w:rPr>
              <w:t>Universitaria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81D3687" w14:textId="77777777" w:rsidR="007C4598" w:rsidRDefault="00000000">
            <w:pPr>
              <w:spacing w:after="40"/>
            </w:pPr>
            <w:r>
              <w:t>Laurea (sistema istruzione/individuo)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3C19297" w14:textId="77777777" w:rsidR="007C4598" w:rsidRDefault="00000000">
            <w:pPr>
              <w:spacing w:after="40"/>
            </w:pPr>
            <w:r>
              <w:t>Adeguamento curricolare e master dedicati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4217184" w14:textId="77777777" w:rsidR="007C4598" w:rsidRDefault="00000000">
            <w:pPr>
              <w:spacing w:after="40"/>
            </w:pPr>
            <w:r>
              <w:t>~0,4 mln €/anno (ammortizzato)</w:t>
            </w:r>
          </w:p>
        </w:tc>
      </w:tr>
      <w:tr w:rsidR="007C4598" w14:paraId="22A37617"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78142A0" w14:textId="77777777" w:rsidR="007C4598" w:rsidRDefault="00000000">
            <w:pPr>
              <w:spacing w:after="40"/>
            </w:pPr>
            <w:r>
              <w:rPr>
                <w:b/>
                <w:bCs/>
              </w:rPr>
              <w:t>Post-universitaria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4E5AF2C" w14:textId="77777777" w:rsidR="007C4598" w:rsidRDefault="00000000">
            <w:pPr>
              <w:spacing w:after="40"/>
            </w:pPr>
            <w:r>
              <w:t>Obbligo ECM generale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A7DE38F" w14:textId="77777777" w:rsidR="007C4598" w:rsidRDefault="00000000">
            <w:pPr>
              <w:spacing w:after="40"/>
            </w:pPr>
            <w:r>
              <w:t>ECM mirato regionale e certificazioni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A8F9DBE" w14:textId="77777777" w:rsidR="007C4598" w:rsidRDefault="00000000">
            <w:pPr>
              <w:spacing w:after="40"/>
            </w:pPr>
            <w:r>
              <w:t>~0,8 mln €/anno</w:t>
            </w:r>
          </w:p>
        </w:tc>
      </w:tr>
      <w:tr w:rsidR="007C4598" w14:paraId="5D5A2FBF"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3F611B1" w14:textId="77777777" w:rsidR="007C4598" w:rsidRDefault="00000000">
            <w:pPr>
              <w:spacing w:after="40"/>
            </w:pPr>
            <w:r>
              <w:rPr>
                <w:b/>
                <w:bCs/>
              </w:rPr>
              <w:t>Lavorativa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2119C20" w14:textId="77777777" w:rsidR="007C4598" w:rsidRDefault="00000000">
            <w:pPr>
              <w:spacing w:after="40"/>
            </w:pPr>
            <w:r>
              <w:t>Attività ordinaria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89F55F6" w14:textId="77777777" w:rsidR="007C4598" w:rsidRDefault="00000000">
            <w:pPr>
              <w:spacing w:after="40"/>
            </w:pPr>
            <w:r>
              <w:t>Tempo dedicato all’apprendimento strutturato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3B18C24" w14:textId="77777777" w:rsidR="007C4598" w:rsidRDefault="00000000">
            <w:pPr>
              <w:spacing w:after="40"/>
            </w:pPr>
            <w:r>
              <w:t>~0,9 mln €/anno</w:t>
            </w:r>
          </w:p>
        </w:tc>
      </w:tr>
      <w:tr w:rsidR="007C4598" w14:paraId="0B521C8F"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7E69717" w14:textId="77777777" w:rsidR="007C4598" w:rsidRDefault="00000000">
            <w:pPr>
              <w:spacing w:after="40"/>
            </w:pPr>
            <w:r>
              <w:rPr>
                <w:b/>
                <w:bCs/>
              </w:rPr>
              <w:t>Affiancamento esperto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43F2BFE" w14:textId="77777777" w:rsidR="007C4598" w:rsidRDefault="00000000">
            <w:pPr>
              <w:spacing w:after="40"/>
            </w:pPr>
            <w:r>
              <w:t>—</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687728F" w14:textId="77777777" w:rsidR="007C4598" w:rsidRDefault="00000000">
            <w:pPr>
              <w:spacing w:after="40"/>
            </w:pPr>
            <w:r>
              <w:t>Tempo delle figure esperte e dell’esperto di IA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542B623" w14:textId="77777777" w:rsidR="007C4598" w:rsidRDefault="00000000">
            <w:pPr>
              <w:spacing w:after="40"/>
            </w:pPr>
            <w:r>
              <w:t>~1,9 mln €/anno</w:t>
            </w:r>
          </w:p>
        </w:tc>
      </w:tr>
      <w:tr w:rsidR="007C4598" w14:paraId="3872EDE1"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81E4422" w14:textId="77777777" w:rsidR="007C4598" w:rsidRDefault="00000000">
            <w:pPr>
              <w:spacing w:after="40"/>
            </w:pPr>
            <w:r>
              <w:rPr>
                <w:b/>
                <w:bCs/>
              </w:rPr>
              <w:t>Totale incrementale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C28B04E" w14:textId="77777777" w:rsidR="007C4598" w:rsidRDefault="00000000">
            <w:pPr>
              <w:spacing w:after="40"/>
            </w:pPr>
            <w:r>
              <w:t>—</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0008603" w14:textId="77777777" w:rsidR="007C4598" w:rsidRDefault="00000000">
            <w:pPr>
              <w:spacing w:after="40"/>
            </w:pPr>
            <w:r>
              <w:t>Somma delle componenti incrementali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F220DA9" w14:textId="77777777" w:rsidR="007C4598" w:rsidRDefault="00000000">
            <w:pPr>
              <w:spacing w:after="40"/>
            </w:pPr>
            <w:r>
              <w:t>~4,0 mln €/anno</w:t>
            </w:r>
          </w:p>
        </w:tc>
      </w:tr>
    </w:tbl>
    <w:p w14:paraId="2C1C9047" w14:textId="77777777" w:rsidR="007C4598" w:rsidRDefault="007C4598"/>
    <w:p w14:paraId="5ED7CED4" w14:textId="77777777" w:rsidR="007C4598" w:rsidRDefault="00000000">
      <w:pPr>
        <w:jc w:val="both"/>
      </w:pPr>
      <w:r>
        <w:t xml:space="preserve">L’applicazione dei modelli di </w:t>
      </w:r>
      <w:proofErr w:type="spellStart"/>
      <w:r>
        <w:t>Kirkpatrick</w:t>
      </w:r>
      <w:proofErr w:type="spellEnd"/>
      <w:r>
        <w:t xml:space="preserve"> e Phillips alle modalità singole ne mette in luce il rendimento parziale, che giustifica la superiorità della combinazione. La formazione universitaria e quella post-universitaria operano in misura prevalente al secondo livello, quello dell’apprendimento, con un raggiungimento differito del terzo e del quarto; il loro rendimento isolato è perciò durevole ma lento, e non immediatamente convertibile in efficienza del servizio, sicché il loro rapporto beneficio-costo, considerato in isolamento, è inferiore a quello della combinazione, poiché esse non producono da sole il trasferimento nella pratica. La formazione lavorativa opera al terzo livello, quello del trasferimento, con un rendimento più rapido, ma è esposta al costo implicito della curva di apprendimento e al rischio del consolidamento degli errori, che ne riducono il rendimento in assenza di guida. L’affiancamento esperto opera fra il terzo e il quarto livello, con il più rilevante costo incrementale ma con gli effetti compensativi già descritti — la compressione della curva e la prevenzione degli errori — che ne riducono il costo netto. Nessuna modalità singola, applicata da sola, raggiunge il rendimento pieno, poiché ciascuna copre solo alcuni livelli, e il rapporto beneficio-costo di ciascuna in isolamento è inferiore a quello della combinazione.</w:t>
      </w:r>
    </w:p>
    <w:p w14:paraId="18268F75" w14:textId="77777777" w:rsidR="007C4598" w:rsidRDefault="007C4598"/>
    <w:p w14:paraId="1A5A3953" w14:textId="77777777" w:rsidR="007C4598" w:rsidRDefault="00000000">
      <w:pPr>
        <w:jc w:val="both"/>
      </w:pPr>
      <w:r>
        <w:t xml:space="preserve">L’applicazione dei modelli alla combinazione restituisce il rendimento </w:t>
      </w:r>
      <w:proofErr w:type="spellStart"/>
      <w:r>
        <w:t>superadditivo</w:t>
      </w:r>
      <w:proofErr w:type="spellEnd"/>
      <w:r>
        <w:t xml:space="preserve"> che la voce precedente ha fondato sulla complementarità. La combinazione, coprendo tutti e quattro i livelli, raggiunge il rendimento che nessuna modalità singola raggiunge, e il suo rapporto beneficio-costo è l’ancora validata per la Puglia: esso è compreso tra sette e otto a uno, e corrisponde a un differenziale di valore dell’ordine di ventotto-trentadue milioni di euro l’anno a fronte di un costo del programma formativo dell’ordine di quattro milioni di euro l’anno nello scenario base. Lungo gli scenari di dimensionamento, dal conservativo all’espansivo, sia il costo sia il differenziale crescono in proporzione alla copertura del servizio, e il rapporto è mantenuto prudenzialmente entro la banda compresa tra sette e otto a uno, mentre il differenziale assoluto può raggiungere ordini di grandezza superiori negli scenari più estesi. Il rapporto della combinazione eccede quello di qualsiasi modalità singola, e questo eccesso è l’espressione quantitativa della </w:t>
      </w:r>
      <w:proofErr w:type="spellStart"/>
      <w:r>
        <w:t>superadditività</w:t>
      </w:r>
      <w:proofErr w:type="spellEnd"/>
      <w:r>
        <w:t>, che la combinazione realizza coprendo i livelli che le modalità isolate lasciano scoperti. La tabella seguente confronta il rendimento delle modalità singole con quello della combinazione.</w:t>
      </w:r>
    </w:p>
    <w:p w14:paraId="1255D303" w14:textId="77777777" w:rsidR="007C4598" w:rsidRDefault="007C4598"/>
    <w:p w14:paraId="018CD3DD" w14:textId="77777777" w:rsidR="007C4598" w:rsidRDefault="00000000">
      <w:pPr>
        <w:jc w:val="both"/>
      </w:pPr>
      <w:r>
        <w:rPr>
          <w:b/>
          <w:bCs/>
        </w:rPr>
        <w:t>Tabella 5.7.B — Il confronto del rendimento: modalità singole e combinazione (</w:t>
      </w:r>
      <w:proofErr w:type="spellStart"/>
      <w:r>
        <w:rPr>
          <w:b/>
          <w:bCs/>
        </w:rPr>
        <w:t>Kirkpatrick</w:t>
      </w:r>
      <w:proofErr w:type="spellEnd"/>
      <w:r>
        <w:rPr>
          <w:b/>
          <w:bCs/>
        </w:rPr>
        <w:t>–Phillips)</w:t>
      </w:r>
    </w:p>
    <w:p w14:paraId="12A87A7D"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66224473"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46FBF89" w14:textId="77777777" w:rsidR="007C4598" w:rsidRDefault="00000000">
            <w:pPr>
              <w:spacing w:after="40"/>
            </w:pPr>
            <w:r>
              <w:rPr>
                <w:b/>
                <w:bCs/>
                <w:color w:val="FFFFFF"/>
                <w:sz w:val="18"/>
                <w:szCs w:val="18"/>
              </w:rPr>
              <w:t>Configurazione</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E13E3F8" w14:textId="77777777" w:rsidR="007C4598" w:rsidRDefault="00000000">
            <w:pPr>
              <w:spacing w:after="40"/>
            </w:pPr>
            <w:r>
              <w:rPr>
                <w:b/>
                <w:bCs/>
                <w:color w:val="FFFFFF"/>
                <w:sz w:val="18"/>
                <w:szCs w:val="18"/>
              </w:rPr>
              <w:t>Livelli coperti</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C1D6042" w14:textId="77777777" w:rsidR="007C4598" w:rsidRDefault="00000000">
            <w:pPr>
              <w:spacing w:after="40"/>
            </w:pPr>
            <w:r>
              <w:rPr>
                <w:b/>
                <w:bCs/>
                <w:color w:val="FFFFFF"/>
                <w:sz w:val="18"/>
                <w:szCs w:val="18"/>
              </w:rPr>
              <w:t>Caratteristica del rendimento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E02A28A" w14:textId="77777777" w:rsidR="007C4598" w:rsidRDefault="00000000">
            <w:pPr>
              <w:spacing w:after="40"/>
            </w:pPr>
            <w:r>
              <w:rPr>
                <w:b/>
                <w:bCs/>
                <w:color w:val="FFFFFF"/>
                <w:sz w:val="18"/>
                <w:szCs w:val="18"/>
              </w:rPr>
              <w:t>Rapporto beneficio-costo</w:t>
            </w:r>
          </w:p>
        </w:tc>
      </w:tr>
      <w:tr w:rsidR="007C4598" w14:paraId="0DFE8B64"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BA8D215" w14:textId="77777777" w:rsidR="007C4598" w:rsidRDefault="00000000">
            <w:pPr>
              <w:spacing w:after="40"/>
            </w:pPr>
            <w:r>
              <w:rPr>
                <w:b/>
                <w:bCs/>
              </w:rPr>
              <w:t>Universitaria isolata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6905575" w14:textId="77777777" w:rsidR="007C4598" w:rsidRDefault="00000000">
            <w:pPr>
              <w:spacing w:after="40"/>
            </w:pPr>
            <w:r>
              <w:t>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A2B3D94" w14:textId="77777777" w:rsidR="007C4598" w:rsidRDefault="00000000">
            <w:pPr>
              <w:spacing w:after="40"/>
            </w:pPr>
            <w:r>
              <w:t>Durevole ma differito; nessun trasferimento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7E60299" w14:textId="77777777" w:rsidR="007C4598" w:rsidRDefault="00000000">
            <w:pPr>
              <w:spacing w:after="40"/>
            </w:pPr>
            <w:r>
              <w:t>Inferiore (non determinabile sul breve)</w:t>
            </w:r>
          </w:p>
        </w:tc>
      </w:tr>
      <w:tr w:rsidR="007C4598" w14:paraId="398DD88C"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9362CB4" w14:textId="77777777" w:rsidR="007C4598" w:rsidRDefault="00000000">
            <w:pPr>
              <w:spacing w:after="40"/>
            </w:pPr>
            <w:r>
              <w:rPr>
                <w:b/>
                <w:bCs/>
              </w:rPr>
              <w:t>Post-universitaria isolata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E5DEA21" w14:textId="77777777" w:rsidR="007C4598" w:rsidRDefault="00000000">
            <w:pPr>
              <w:spacing w:after="40"/>
            </w:pPr>
            <w:r>
              <w:t>2–3</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3EBCDAD" w14:textId="77777777" w:rsidR="007C4598" w:rsidRDefault="00000000">
            <w:pPr>
              <w:spacing w:after="40"/>
            </w:pPr>
            <w:r>
              <w:t>Aggiornamento rapido; trasferimento parziale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83E4FF2" w14:textId="77777777" w:rsidR="007C4598" w:rsidRDefault="00000000">
            <w:pPr>
              <w:spacing w:after="40"/>
            </w:pPr>
            <w:r>
              <w:t>Inferiore alla combinazione</w:t>
            </w:r>
          </w:p>
        </w:tc>
      </w:tr>
      <w:tr w:rsidR="007C4598" w14:paraId="18AD21F4"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1B94057" w14:textId="77777777" w:rsidR="007C4598" w:rsidRDefault="00000000">
            <w:pPr>
              <w:spacing w:after="40"/>
            </w:pPr>
            <w:r>
              <w:rPr>
                <w:b/>
                <w:bCs/>
              </w:rPr>
              <w:t>Lavorativa isolata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AE5F60B" w14:textId="77777777" w:rsidR="007C4598" w:rsidRDefault="00000000">
            <w:pPr>
              <w:spacing w:after="40"/>
            </w:pPr>
            <w:r>
              <w:t>3</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31CAC75" w14:textId="77777777" w:rsidR="007C4598" w:rsidRDefault="00000000">
            <w:pPr>
              <w:spacing w:after="40"/>
            </w:pPr>
            <w:r>
              <w:t>Trasferimento, ma lento e con rischio di errore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E10E1A3" w14:textId="77777777" w:rsidR="007C4598" w:rsidRDefault="00000000">
            <w:pPr>
              <w:spacing w:after="40"/>
            </w:pPr>
            <w:r>
              <w:t>Inferiore alla combinazione</w:t>
            </w:r>
          </w:p>
        </w:tc>
      </w:tr>
      <w:tr w:rsidR="007C4598" w14:paraId="6B6945A2"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4FC4B28" w14:textId="77777777" w:rsidR="007C4598" w:rsidRDefault="00000000">
            <w:pPr>
              <w:spacing w:after="40"/>
            </w:pPr>
            <w:r>
              <w:rPr>
                <w:b/>
                <w:bCs/>
              </w:rPr>
              <w:t>Affiancamento isolato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DDC1C3E" w14:textId="77777777" w:rsidR="007C4598" w:rsidRDefault="00000000">
            <w:pPr>
              <w:spacing w:after="40"/>
            </w:pPr>
            <w:r>
              <w:t>3–4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03440C8" w14:textId="77777777" w:rsidR="007C4598" w:rsidRDefault="00000000">
            <w:pPr>
              <w:spacing w:after="40"/>
            </w:pPr>
            <w:r>
              <w:t>Accelerazione, ma costo esperto elevato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FA5EC5C" w14:textId="77777777" w:rsidR="007C4598" w:rsidRDefault="00000000">
            <w:pPr>
              <w:spacing w:after="40"/>
            </w:pPr>
            <w:r>
              <w:t>Inferiore alla combinazione</w:t>
            </w:r>
          </w:p>
        </w:tc>
      </w:tr>
      <w:tr w:rsidR="007C4598" w14:paraId="39CAF808"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0A14B3E" w14:textId="77777777" w:rsidR="007C4598" w:rsidRDefault="00000000">
            <w:pPr>
              <w:spacing w:after="40"/>
            </w:pPr>
            <w:r>
              <w:rPr>
                <w:b/>
                <w:bCs/>
              </w:rPr>
              <w:t>Percorso integrato (combinazione)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6D058E0" w14:textId="77777777" w:rsidR="007C4598" w:rsidRDefault="00000000">
            <w:pPr>
              <w:spacing w:after="40"/>
            </w:pPr>
            <w:r>
              <w:t>2–3–4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1EE4A91" w14:textId="77777777" w:rsidR="007C4598" w:rsidRDefault="00000000">
            <w:pPr>
              <w:spacing w:after="40"/>
            </w:pPr>
            <w:proofErr w:type="spellStart"/>
            <w:r>
              <w:t>Superadditivo</w:t>
            </w:r>
            <w:proofErr w:type="spellEnd"/>
            <w:r>
              <w:t>; copre tutti i livelli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DAF5134" w14:textId="77777777" w:rsidR="007C4598" w:rsidRDefault="00000000">
            <w:pPr>
              <w:spacing w:after="40"/>
            </w:pPr>
            <w:r>
              <w:t>7–8 a 1 (banda validata)</w:t>
            </w:r>
          </w:p>
        </w:tc>
      </w:tr>
    </w:tbl>
    <w:p w14:paraId="3A9A27F8" w14:textId="77777777" w:rsidR="007C4598" w:rsidRDefault="007C4598"/>
    <w:p w14:paraId="46FC1F7F" w14:textId="77777777" w:rsidR="007C4598" w:rsidRDefault="00000000">
      <w:pPr>
        <w:jc w:val="both"/>
      </w:pPr>
      <w:r>
        <w:t xml:space="preserve">La regola di non duplicazione impone, a chiusura della quantificazione, una distinzione che ha rilievo decisivo e che va enunciata senza ambiguità. Il rapporto beneficio-costo formativo, compreso tra sette e otto a uno, misura esclusivamente la produttività della spesa formativa, ossia il rendimento dei quattro milioni di euro l’anno investiti nella formazione; esso non è il rendimento complessivo della riforma, e non va confuso con esso. Il rendimento complessivo della riforma è vincolato all’ancora di </w:t>
      </w:r>
      <w:proofErr w:type="spellStart"/>
      <w:r>
        <w:t>Chisholm</w:t>
      </w:r>
      <w:proofErr w:type="spellEnd"/>
      <w:r>
        <w:t xml:space="preserve">, compreso tra 2,3 e 3,0 a 1 per i soli benefici economici e tra 3,3 e 5,7 a 1 con l’inclusione dei ritorni in salute, ed è oggetto della decima parte; esso misura l’insieme dei costi e dei risparmi del servizio, e non la sola spesa formativa. I due rapporti misurano grandezze diverse — l’uno la produttività della formazione, l’altro il rendimento dell’intera riforma — e non sono né sommabili né confondibili. Il costo della formazione, di quattro milioni di euro l’anno, è una componente dei costi diretti della riforma, che la settima parte dell’opera quantifica; e il rendimento della formazione si manifesta in parte come efficienza del servizio, ricaduta diretta, e in parte come beneficio sociale diffuso, ricaduta indiretta, tenute rigorosamente distinte e mai sommate. Il </w:t>
      </w:r>
      <w:proofErr w:type="spellStart"/>
      <w:r>
        <w:t>caveat</w:t>
      </w:r>
      <w:proofErr w:type="spellEnd"/>
      <w:r>
        <w:t xml:space="preserve"> dell’IMPACT trial è preservato: la riduzione diretta dei costi sanitari non raggiunge la significatività statistica, e il rendimento della formazione non è presentato come un risparmio fiscale diretto, ma come la produttività della spesa formativa, distinta sia dai risparmi diretti sia dai benefici indiretti.</w:t>
      </w:r>
    </w:p>
    <w:p w14:paraId="51513323" w14:textId="77777777" w:rsidR="007C4598" w:rsidRDefault="007C4598"/>
    <w:p w14:paraId="3323A40D" w14:textId="77777777" w:rsidR="007C4598" w:rsidRDefault="00000000">
      <w:pPr>
        <w:jc w:val="both"/>
      </w:pPr>
      <w:r>
        <w:t xml:space="preserve">La quantificazione conferma dunque la </w:t>
      </w:r>
      <w:proofErr w:type="spellStart"/>
      <w:r>
        <w:t>superadditività</w:t>
      </w:r>
      <w:proofErr w:type="spellEnd"/>
      <w:r>
        <w:t xml:space="preserve"> del percorso integrato: la combinazione raggiunge un rapporto beneficio-costo compreso tra sette e otto a uno, superiore a quello di qualsiasi modalità singola, e il costo del programma formativo, dell’ordine di quattro milioni di euro l’anno, produce un differenziale di valore dell’ordine di ventotto-trentadue milioni di euro l’anno nello scenario base, mantenuto distinto dal saldo economico complessivo della riforma e dal suo rendimento vincolato all’ancora di </w:t>
      </w:r>
      <w:proofErr w:type="spellStart"/>
      <w:r>
        <w:t>Chisholm</w:t>
      </w:r>
      <w:proofErr w:type="spellEnd"/>
      <w:r>
        <w:t>. Il meccanismo attraverso cui il rendimento della formazione si realizza — l’accelerazione dell’adozione delle competenze — è l’oggetto della voce seguente, che descrive le curve di adozione tecnologica e il rafforzamento delle competenze digitali dedicate all’Intelligenza Artificiale, e che chiude l’articolazione delle otto voci della parte.</w:t>
      </w:r>
    </w:p>
    <w:p w14:paraId="7959547F" w14:textId="77777777" w:rsidR="007C4598" w:rsidRDefault="007C4598"/>
    <w:p w14:paraId="730B7ACE" w14:textId="77777777" w:rsidR="007C4598" w:rsidRDefault="00000000">
      <w:pPr>
        <w:pStyle w:val="Titolo1"/>
        <w:pageBreakBefore/>
      </w:pPr>
      <w:r>
        <w:rPr>
          <w:sz w:val="22"/>
          <w:szCs w:val="22"/>
        </w:rPr>
        <w:t>5.8  Le curve di adozione tecnologica e il rafforzamento delle competenze digitali pro-Intelligenza Artificiale</w:t>
      </w:r>
    </w:p>
    <w:p w14:paraId="1A73159E" w14:textId="77777777" w:rsidR="007C4598" w:rsidRDefault="007C4598"/>
    <w:p w14:paraId="4C110DB6" w14:textId="77777777" w:rsidR="007C4598" w:rsidRDefault="00000000">
      <w:pPr>
        <w:jc w:val="both"/>
      </w:pPr>
      <w:r>
        <w:rPr>
          <w:i/>
          <w:iCs/>
        </w:rPr>
        <w:t>Questa voce descrive il modo in cui le competenze nuove, e in particolare quelle digitali e dedicate all’Intelligenza Artificiale, sono adottate nel tempo seguendo la curva di adozione tecnologica; spiega come le quattro modalità, e segnatamente l’affiancamento esperto, accelerino l’adozione nei primi dodici-diciotto mesi; distingue l’adozione della competenza dall’adozione dello strumento nella pratica; tratta l’accelerazione come previsione falsificabile entro bande prudenziali; e riconosce il rischio della mancata adozione e la sua dimensione di equità.</w:t>
      </w:r>
    </w:p>
    <w:p w14:paraId="4547EB9D" w14:textId="77777777" w:rsidR="007C4598" w:rsidRDefault="007C4598"/>
    <w:p w14:paraId="7326C079" w14:textId="77777777" w:rsidR="007C4598" w:rsidRDefault="00000000">
      <w:pPr>
        <w:jc w:val="both"/>
      </w:pPr>
      <w:r>
        <w:t xml:space="preserve">L’adozione delle competenze nuove, e in particolare di quelle digitali e dedicate all’Intelligenza Artificiale, non avviene istantaneamente, ma segue una curva nel tempo. La letteratura sulla diffusione delle innovazioni descrive questa curva come una curva </w:t>
      </w:r>
      <w:proofErr w:type="spellStart"/>
      <w:r>
        <w:t>sigmoide</w:t>
      </w:r>
      <w:proofErr w:type="spellEnd"/>
      <w:r>
        <w:t>, in cui l’adozione procede lentamente tra gli innovatori e i primi adottanti, accelera attraverso la maggioranza anticipatrice e la maggioranza ritardataria, e rallenta tra i ritardatari.</w:t>
      </w:r>
      <w:r>
        <w:rPr>
          <w:color w:val="555555"/>
          <w:sz w:val="16"/>
          <w:szCs w:val="16"/>
          <w:vertAlign w:val="superscript"/>
        </w:rPr>
        <w:t>[20]</w:t>
      </w:r>
      <w:r>
        <w:t xml:space="preserve"> L’adozione delle competenze dedicate all’Intelligenza Artificiale da parte del personale del Servizio di Psicologia di Base segue questa regolarità, e la sua forma e la sua velocità determinano il tempo in cui la leva digitale produce il suo effetto pieno. La curva di adozione non è perciò un dettaglio accessorio, ma la dimensione temporale attraverso cui si realizza il rendimento della formazione: una competenza costruita ma non adottata non produce effetto, e l’effetto della leva digitale si misura non al momento in cui la competenza è acquisita, ma al momento in cui essa è adottata nella pratica.</w:t>
      </w:r>
    </w:p>
    <w:p w14:paraId="30B2C503" w14:textId="77777777" w:rsidR="007C4598" w:rsidRDefault="007C4598"/>
    <w:p w14:paraId="553CE2E0" w14:textId="77777777" w:rsidR="007C4598" w:rsidRDefault="00000000">
      <w:pPr>
        <w:jc w:val="both"/>
      </w:pPr>
      <w:r>
        <w:t>I determinanti dell’adozione sono individuati dalla letteratura sull’accettazione della tecnologia nell’utilità percepita e nella facilità d’uso percepita dello strumento.</w:t>
      </w:r>
      <w:r>
        <w:rPr>
          <w:color w:val="555555"/>
          <w:sz w:val="16"/>
          <w:szCs w:val="16"/>
          <w:vertAlign w:val="superscript"/>
        </w:rPr>
        <w:t>[21]</w:t>
      </w:r>
      <w:r>
        <w:t xml:space="preserve"> Per gli strumenti di Intelligenza Artificiale della riforma, l’utilità percepita dipende dall’efficacia dimostrata, graduata secondo il sistema GRADE, e la facilità d’uso percepita dipende dalla competenza costruita dalla formazione. La formazione agisce perciò direttamente sui determinanti dell’adozione: essa costruisce la competenza che rende gli strumenti utilizzabili, agendo sulla facilità d’uso percepita, e, attraverso la dimostrazione dell’efficacia, sostiene la percezione dell’utilità. La curva di adozione non è dunque esogena, ma è plasmata dalla formazione, che ne determina in parte la velocità e l’ampiezza; e questa dipendenza della curva dalla formazione è ciò che consente alle modalità formative, e segnatamente all’affiancamento esperto, di accelerarla.</w:t>
      </w:r>
    </w:p>
    <w:p w14:paraId="1BD87C9A" w14:textId="77777777" w:rsidR="007C4598" w:rsidRDefault="007C4598"/>
    <w:p w14:paraId="5B30CF86" w14:textId="77777777" w:rsidR="007C4598" w:rsidRDefault="00000000">
      <w:pPr>
        <w:jc w:val="both"/>
      </w:pPr>
      <w:r>
        <w:t xml:space="preserve">Le quattro modalità accelerano la curva di adozione, e l’affiancamento esperto in misura più marcata. Come le schede </w:t>
      </w:r>
      <w:proofErr w:type="spellStart"/>
      <w:r>
        <w:t>infografiche</w:t>
      </w:r>
      <w:proofErr w:type="spellEnd"/>
      <w:r>
        <w:t xml:space="preserve"> delle voci precedenti hanno rappresentato, l’accompagnamento esperto comprime la curva di adozione, conducendo il personale all’adozione di regime nei primi dodici-diciotto mesi anziché in un arco più lungo. Questa accelerazione è il meccanismo attraverso cui si realizza il rendimento della formazione individuato nella voce precedente: la compressione della curva di adozione recupera il tempo che sarebbe altrimenti trascorso in adozione parziale, e lo converte in tempo di uso pieno della leva digitale. L’affiancamento esperto, e in particolare la figura competente nell’uso dell’Intelligenza Artificiale presente nello studio, opera precisamente su questo tratto della curva, accelerando l’adozione delle competenze più nuove ed esposte al rischio di un consolidamento scorretto, e correggendo nel contempo l’uso non corretto prima che si fissi. È in questa duplice funzione — accelerare l’adozione e correggerne la direzione — che l’affiancamento esperto produce il suo rendimento maggiore, segnatamente per le competenze pro-Intelligenza Artificiale.</w:t>
      </w:r>
    </w:p>
    <w:p w14:paraId="7A962EA1" w14:textId="77777777" w:rsidR="007C4598" w:rsidRDefault="007C4598"/>
    <w:p w14:paraId="6E87C65B" w14:textId="77777777" w:rsidR="007C4598" w:rsidRDefault="00000000">
      <w:pPr>
        <w:jc w:val="both"/>
      </w:pPr>
      <w:r>
        <w:t>Una distinzione va tracciata tra l’adozione della competenza e l’adozione dello strumento nella pratica, poiché le due adozioni sono correlate ma non identiche. L’adozione della competenza è l’acquisizione, da parte del professionista, della capacità di usare lo strumento; l’adozione dello strumento nella pratica è l’inserimento dello strumento nella pratica abituale. La formazione produce la prima; la seconda dipende anche dall’organizzazione del servizio e dall’utilità percepita nel contesto reale. Un professionista può possedere la competenza senza adottare lo strumento nella pratica, se l’organizzazione non lo sostiene o se l’utilità non è percepita, e l’effetto pieno della leva digitale richiede entrambe le adozioni. La formazione agisce sulla prima e sostiene la seconda, ma la seconda richiede anche le condizioni organizzative descritte nella quarta parte; e la distinzione tra le due adozioni è essenziale affinché la valutazione non attribuisca alla sola formazione un effetto che dipende anche dall’organizzazione, in coerenza con la separazione delle leve abilitanti che l’opera mantiene.</w:t>
      </w:r>
    </w:p>
    <w:p w14:paraId="69D1723D" w14:textId="77777777" w:rsidR="007C4598" w:rsidRDefault="007C4598"/>
    <w:p w14:paraId="23187EA1" w14:textId="77777777" w:rsidR="007C4598" w:rsidRDefault="00000000">
      <w:pPr>
        <w:jc w:val="both"/>
      </w:pPr>
      <w:r>
        <w:t>Il rafforzamento delle competenze digitali e pro-Intelligenza Artificiale nel tempo è l’effetto cumulativo del percorso combinato. Le certificazioni costruiscono la competenza a sé stante; l’uso sul posto di lavoro la consolida; l’affiancamento esperto la accelera e la corregge; e il percorso combinato la integra nel profilo professionale. Il rafforzamento non è perciò un evento singolo, ma un processo che si dispiega lungo la curva di adozione, e che la rapidità di evoluzione degli strumenti di Intelligenza Artificiale rende continuo: la competenza rafforzata oggi deve essere aggiornata domani, e la modalità post-universitaria, attraverso l’educazione continua e le certificazioni, è il canale di questo aggiornamento continuo. Il rafforzamento delle competenze pro-Intelligenza Artificiale è dunque un processo permanente e non un’acquisizione terminale, e questa permanenza è la ragione per cui le modalità dell’aggiornamento rapido — l’educazione continua e le certificazioni — conservano la loro necessità anche dopo che la competenza è stata acquisita e adottata, poiché l’adozione di oggi è esposta all’obsolescenza di domani.</w:t>
      </w:r>
    </w:p>
    <w:p w14:paraId="7DBEB29D" w14:textId="77777777" w:rsidR="007C4598" w:rsidRDefault="007C4598"/>
    <w:p w14:paraId="17D71FDB" w14:textId="77777777" w:rsidR="007C4598" w:rsidRDefault="00000000">
      <w:pPr>
        <w:jc w:val="both"/>
      </w:pPr>
      <w:r>
        <w:t>L’accelerazione della curva di adozione è una previsione falsificabile, e come tale va enunciata. La previsione afferma che l’accompagnamento esperto comprime la curva di adozione, conducendo il personale all’adozione di regime nei primi dodici-diciotto mesi; ed è falsificabile perché l’adozione può essere misurata — la quota del personale che ha adottato la competenza e lo strumento nel tempo — e la previsione è confutata se l’adozione non accelera come previsto. La previsione è contenuta entro le bande prudenziali del progetto, che impediscono all’accelerazione di essere sopravvalutata, e la graduazione GRADE si applica all’evidenza sull’efficacia degli strumenti di Intelligenza Artificiale di cui l’adozione è accelerata: l’accelerazione dell’adozione di uno strumento di efficacia incerta non produce un beneficio certo, e l’adozione è di valore solo nella misura in cui lo strumento è efficace. Questa subordinazione del valore dell’adozione all’efficacia dello strumento è coerente con il principio invariante dell’opera, secondo cui l’Intelligenza Artificiale è una leva abilitante il cui valore dipende dall’efficacia dimostrata e non dalla sola adozione.</w:t>
      </w:r>
    </w:p>
    <w:p w14:paraId="32EDE0E9" w14:textId="77777777" w:rsidR="007C4598" w:rsidRDefault="007C4598"/>
    <w:p w14:paraId="6ADA2801" w14:textId="77777777" w:rsidR="007C4598" w:rsidRDefault="00000000">
      <w:pPr>
        <w:jc w:val="both"/>
      </w:pPr>
      <w:r>
        <w:t>La curva di adozione comprende i ritardatari, ossia i professionisti che adottano lentamente o non adottano affatto, e il rischio della mancata adozione è reale e presenta due dimensioni. La prima è la dimensione di produttività: i professionisti che non adottano non realizzano il beneficio della leva digitale, e l’effetto pieno della leva richiede un’adozione elevata. La seconda è la dimensione di equità: se l’adozione si correla con caratteristiche dei professionisti — l’età, la competenza digitale pregressa, l’ambiente di lavoro — la mancata adozione può produrre un divario all’interno del personale, e questo divario può tradursi in un divario nel servizio offerto ai pazienti. La dimensione di equità dell’adozione, che la dodicesima parte riprenderà, richiede che la formazione sia progettata per raggiungere anche gli adottanti lenti, e che l’affiancamento esperto sia concentrato dove l’adozione è più lenta. Il rischio della mancata adozione è dunque non soltanto un rischio di produttività, ma un rischio di equità, e la formazione è lo strumento che mitiga entrambi, purché sia disegnata in modo da non lasciare indietro gli adottanti lenti. La tabella seguente riepiloga le fasi della curva di adozione, le loro caratteristiche e il ruolo delle modalità formative in ciascuna.</w:t>
      </w:r>
    </w:p>
    <w:p w14:paraId="4E3D94A4" w14:textId="77777777" w:rsidR="007C4598" w:rsidRDefault="007C4598"/>
    <w:p w14:paraId="2B7C2F2C" w14:textId="77777777" w:rsidR="007C4598" w:rsidRDefault="00000000">
      <w:pPr>
        <w:jc w:val="both"/>
      </w:pPr>
      <w:r>
        <w:rPr>
          <w:b/>
          <w:bCs/>
        </w:rPr>
        <w:t>Tabella 5.8.A — Le fasi della curva di adozione e il ruolo delle modalità formative</w:t>
      </w:r>
    </w:p>
    <w:p w14:paraId="562A6B6C"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5743470F"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467F02B" w14:textId="77777777" w:rsidR="007C4598" w:rsidRDefault="00000000">
            <w:pPr>
              <w:spacing w:after="40"/>
            </w:pPr>
            <w:r>
              <w:rPr>
                <w:b/>
                <w:bCs/>
                <w:color w:val="FFFFFF"/>
                <w:sz w:val="18"/>
                <w:szCs w:val="18"/>
              </w:rPr>
              <w:t>Fase di adozione</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275649C" w14:textId="77777777" w:rsidR="007C4598" w:rsidRDefault="00000000">
            <w:pPr>
              <w:spacing w:after="40"/>
            </w:pPr>
            <w:r>
              <w:rPr>
                <w:b/>
                <w:bCs/>
                <w:color w:val="FFFFFF"/>
                <w:sz w:val="18"/>
                <w:szCs w:val="18"/>
              </w:rPr>
              <w:t>Caratteristica</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CA176FC" w14:textId="77777777" w:rsidR="007C4598" w:rsidRDefault="00000000">
            <w:pPr>
              <w:spacing w:after="40"/>
            </w:pPr>
            <w:r>
              <w:rPr>
                <w:b/>
                <w:bCs/>
                <w:color w:val="FFFFFF"/>
                <w:sz w:val="18"/>
                <w:szCs w:val="18"/>
              </w:rPr>
              <w:t>Modalità prevalente</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95E71DF" w14:textId="77777777" w:rsidR="007C4598" w:rsidRDefault="00000000">
            <w:pPr>
              <w:spacing w:after="40"/>
            </w:pPr>
            <w:r>
              <w:rPr>
                <w:b/>
                <w:bCs/>
                <w:color w:val="FFFFFF"/>
                <w:sz w:val="18"/>
                <w:szCs w:val="18"/>
              </w:rPr>
              <w:t>Effetto atteso</w:t>
            </w:r>
          </w:p>
        </w:tc>
      </w:tr>
      <w:tr w:rsidR="007C4598" w14:paraId="5971315F"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B09FC7D" w14:textId="77777777" w:rsidR="007C4598" w:rsidRDefault="00000000">
            <w:pPr>
              <w:spacing w:after="40"/>
            </w:pPr>
            <w:r>
              <w:rPr>
                <w:b/>
                <w:bCs/>
              </w:rPr>
              <w:t>Innovatori e primi adottanti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92832C8" w14:textId="77777777" w:rsidR="007C4598" w:rsidRDefault="00000000">
            <w:pPr>
              <w:spacing w:after="40"/>
            </w:pPr>
            <w:r>
              <w:t>Adozione precoce, competenza pregressa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63107A8" w14:textId="77777777" w:rsidR="007C4598" w:rsidRDefault="00000000">
            <w:pPr>
              <w:spacing w:after="40"/>
            </w:pPr>
            <w:r>
              <w:t>Certificazioni, autoaggiornamento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1FFB28A" w14:textId="77777777" w:rsidR="007C4598" w:rsidRDefault="00000000">
            <w:pPr>
              <w:spacing w:after="40"/>
            </w:pPr>
            <w:r>
              <w:t>Avvio dell’adozione</w:t>
            </w:r>
          </w:p>
        </w:tc>
      </w:tr>
      <w:tr w:rsidR="007C4598" w14:paraId="38E5FD46"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67FF029" w14:textId="77777777" w:rsidR="007C4598" w:rsidRDefault="00000000">
            <w:pPr>
              <w:spacing w:after="40"/>
            </w:pPr>
            <w:r>
              <w:rPr>
                <w:b/>
                <w:bCs/>
              </w:rPr>
              <w:t>Maggioranza anticipatrice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52D4F40" w14:textId="77777777" w:rsidR="007C4598" w:rsidRDefault="00000000">
            <w:pPr>
              <w:spacing w:after="40"/>
            </w:pPr>
            <w:r>
              <w:t>Adozione su evidenza di utilità</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6463BD7" w14:textId="77777777" w:rsidR="007C4598" w:rsidRDefault="00000000">
            <w:pPr>
              <w:spacing w:after="40"/>
            </w:pPr>
            <w:r>
              <w:t>Affiancamento esperto, formazione lavorativa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F728F09" w14:textId="77777777" w:rsidR="007C4598" w:rsidRDefault="00000000">
            <w:pPr>
              <w:spacing w:after="40"/>
            </w:pPr>
            <w:r>
              <w:t>Accelerazione (12–18 mesi)</w:t>
            </w:r>
          </w:p>
        </w:tc>
      </w:tr>
      <w:tr w:rsidR="007C4598" w14:paraId="6FBD5CEA"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A323853" w14:textId="77777777" w:rsidR="007C4598" w:rsidRDefault="00000000">
            <w:pPr>
              <w:spacing w:after="40"/>
            </w:pPr>
            <w:r>
              <w:rPr>
                <w:b/>
                <w:bCs/>
              </w:rPr>
              <w:t>Maggioranza ritardataria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3A7B673" w14:textId="77777777" w:rsidR="007C4598" w:rsidRDefault="00000000">
            <w:pPr>
              <w:spacing w:after="40"/>
            </w:pPr>
            <w:r>
              <w:t>Adozione su consolidamento dell’uso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40F1BA3" w14:textId="77777777" w:rsidR="007C4598" w:rsidRDefault="00000000">
            <w:pPr>
              <w:spacing w:after="40"/>
            </w:pPr>
            <w:r>
              <w:t>Affiancamento mirato, comunità di pratica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2A42F75" w14:textId="77777777" w:rsidR="007C4598" w:rsidRDefault="00000000">
            <w:pPr>
              <w:spacing w:after="40"/>
            </w:pPr>
            <w:r>
              <w:t>Estensione dell’adozione</w:t>
            </w:r>
          </w:p>
        </w:tc>
      </w:tr>
      <w:tr w:rsidR="007C4598" w14:paraId="4ABCE205"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EA26CCD" w14:textId="77777777" w:rsidR="007C4598" w:rsidRDefault="00000000">
            <w:pPr>
              <w:spacing w:after="40"/>
            </w:pPr>
            <w:r>
              <w:rPr>
                <w:b/>
                <w:bCs/>
              </w:rPr>
              <w:t>Ritardatari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834E58A" w14:textId="77777777" w:rsidR="007C4598" w:rsidRDefault="00000000">
            <w:pPr>
              <w:spacing w:after="40"/>
            </w:pPr>
            <w:r>
              <w:t>Adozione lenta o assente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056BCA5" w14:textId="77777777" w:rsidR="007C4598" w:rsidRDefault="00000000">
            <w:pPr>
              <w:spacing w:after="40"/>
            </w:pPr>
            <w:r>
              <w:t>Affiancamento concentrato, sostegno dedicato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A8FD3CC" w14:textId="77777777" w:rsidR="007C4598" w:rsidRDefault="00000000">
            <w:pPr>
              <w:spacing w:after="40"/>
            </w:pPr>
            <w:r>
              <w:t>Mitigazione del divario (equità)</w:t>
            </w:r>
          </w:p>
        </w:tc>
      </w:tr>
    </w:tbl>
    <w:p w14:paraId="4B37BA66" w14:textId="77777777" w:rsidR="007C4598" w:rsidRDefault="007C4598"/>
    <w:p w14:paraId="33F6BA11" w14:textId="77777777" w:rsidR="007C4598" w:rsidRDefault="00000000">
      <w:pPr>
        <w:jc w:val="both"/>
      </w:pPr>
      <w:r>
        <w:t xml:space="preserve">La dinamica dell’adozione e l’effetto dell’affiancamento esperto su di essa possono essere rappresentati nella loro forma essenziale, che la scheda </w:t>
      </w:r>
      <w:proofErr w:type="spellStart"/>
      <w:r>
        <w:t>infografica</w:t>
      </w:r>
      <w:proofErr w:type="spellEnd"/>
      <w:r>
        <w:t xml:space="preserve"> seguente sintetizza. Essa mostra la curva di adozione delle competenze digitali nel tempo, distingue la curva con affiancamento da quella senza, e colloca le categorie di adottanti lungo la curva, evidenziando il tratto in cui l’affiancamento esperto comprime l’adozione nei primi dodici-diciotto mesi; ed è la rappresentazione del meccanismo temporale attraverso cui il rendimento della formazione, quantificato nella voce precedente, si realizza.</w:t>
      </w:r>
    </w:p>
    <w:p w14:paraId="1B4CDDF1"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41D2816D"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EEB3021" w14:textId="77777777" w:rsidR="007C4598" w:rsidRDefault="00000000">
            <w:pPr>
              <w:spacing w:after="40"/>
            </w:pPr>
            <w:r>
              <w:rPr>
                <w:b/>
                <w:bCs/>
                <w:color w:val="FFFFFF"/>
                <w:sz w:val="18"/>
                <w:szCs w:val="18"/>
              </w:rPr>
              <w:t xml:space="preserve">◆  SEGNALIBRO — INFOGRAFICA 5.8 · DA INSERIRE A POSTERIORI Titolo previsto: La curva di adozione delle competenze digitali e l’accelerazione dell’affiancamento esperto Contenuto da rappresentare: Curva </w:t>
            </w:r>
            <w:proofErr w:type="spellStart"/>
            <w:r>
              <w:rPr>
                <w:b/>
                <w:bCs/>
                <w:color w:val="FFFFFF"/>
                <w:sz w:val="18"/>
                <w:szCs w:val="18"/>
              </w:rPr>
              <w:t>sigmoide</w:t>
            </w:r>
            <w:proofErr w:type="spellEnd"/>
            <w:r>
              <w:rPr>
                <w:b/>
                <w:bCs/>
                <w:color w:val="FFFFFF"/>
                <w:sz w:val="18"/>
                <w:szCs w:val="18"/>
              </w:rPr>
              <w:t xml:space="preserve"> dell’adozione cumulata delle competenze digitali nel tempo, con due curve a confronto — una senza affiancamento, più lenta, e una con affiancamento esperto, più rapida — e le categorie di adottanti collocate lungo la curva; l’area compresa tra le due curve rappresenta l’adozione anticipata prodotta dall’affiancamento. Obiettivo: mostrare che l’affiancamento esperto comprime la curva di adozione nei primi dodici-diciotto mesi, convertendo il tempo di adozione parziale in tempo di uso pieno della leva digitale. Codice </w:t>
            </w:r>
            <w:proofErr w:type="spellStart"/>
            <w:r>
              <w:rPr>
                <w:b/>
                <w:bCs/>
                <w:color w:val="FFFFFF"/>
                <w:sz w:val="18"/>
                <w:szCs w:val="18"/>
              </w:rPr>
              <w:t>Canva-Friendly</w:t>
            </w:r>
            <w:proofErr w:type="spellEnd"/>
            <w:r>
              <w:rPr>
                <w:b/>
                <w:bCs/>
                <w:color w:val="FFFFFF"/>
                <w:sz w:val="18"/>
                <w:szCs w:val="18"/>
              </w:rPr>
              <w:t xml:space="preserve"> (scheda di generazione) TIPO: grafico a curva </w:t>
            </w:r>
            <w:proofErr w:type="spellStart"/>
            <w:r>
              <w:rPr>
                <w:b/>
                <w:bCs/>
                <w:color w:val="FFFFFF"/>
                <w:sz w:val="18"/>
                <w:szCs w:val="18"/>
              </w:rPr>
              <w:t>sigmoide</w:t>
            </w:r>
            <w:proofErr w:type="spellEnd"/>
            <w:r>
              <w:rPr>
                <w:b/>
                <w:bCs/>
                <w:color w:val="FFFFFF"/>
                <w:sz w:val="18"/>
                <w:szCs w:val="18"/>
              </w:rPr>
              <w:t xml:space="preserve"> — due curve di adozione cumulata (con/senza affiancamento) + categorie di adottanti FORMATO: 1280 × 900 </w:t>
            </w:r>
            <w:proofErr w:type="spellStart"/>
            <w:r>
              <w:rPr>
                <w:b/>
                <w:bCs/>
                <w:color w:val="FFFFFF"/>
                <w:sz w:val="18"/>
                <w:szCs w:val="18"/>
              </w:rPr>
              <w:t>px</w:t>
            </w:r>
            <w:proofErr w:type="spellEnd"/>
            <w:r>
              <w:rPr>
                <w:b/>
                <w:bCs/>
                <w:color w:val="FFFFFF"/>
                <w:sz w:val="18"/>
                <w:szCs w:val="18"/>
              </w:rPr>
              <w:t xml:space="preserve">; adatta a slide e ad A4 SFONDO: gradiente verticale bianco #FFFFFF 85% → crema #F3EAD6 15% PALETTE: curva senza affiancamento #244272; curva con affiancamento #2E5AA0; area di adozione anticipata oro #C49A48 a bassa opacità; soglia di regime #101F3C (tratteggio)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valori </w:t>
            </w:r>
            <w:proofErr w:type="spellStart"/>
            <w:r>
              <w:rPr>
                <w:b/>
                <w:bCs/>
                <w:color w:val="FFFFFF"/>
                <w:sz w:val="18"/>
                <w:szCs w:val="18"/>
              </w:rPr>
              <w:t>Bold</w:t>
            </w:r>
            <w:proofErr w:type="spellEnd"/>
            <w:r>
              <w:rPr>
                <w:b/>
                <w:bCs/>
                <w:color w:val="FFFFFF"/>
                <w:sz w:val="18"/>
                <w:szCs w:val="18"/>
              </w:rPr>
              <w:t xml:space="preserve">, etichette Regular TITOLO: «La curva di adozione delle competenze digitali e l’accelerazione dell’affiancamento esperto» ASSE X: mesi dall’avvio (0 → 24) ASSE Y: quota del personale che ha adottato (% cumulata) SOGLIA DI REGIME: adozione di regime (linea tratteggia orizzontale, </w:t>
            </w:r>
            <w:proofErr w:type="spellStart"/>
            <w:r>
              <w:rPr>
                <w:b/>
                <w:bCs/>
                <w:color w:val="FFFFFF"/>
                <w:sz w:val="18"/>
                <w:szCs w:val="18"/>
              </w:rPr>
              <w:t>navy</w:t>
            </w:r>
            <w:proofErr w:type="spellEnd"/>
            <w:r>
              <w:rPr>
                <w:b/>
                <w:bCs/>
                <w:color w:val="FFFFFF"/>
                <w:sz w:val="18"/>
                <w:szCs w:val="18"/>
              </w:rPr>
              <w:t xml:space="preserve">) CURVA SENZA AFFIANCAMENTO: </w:t>
            </w:r>
            <w:proofErr w:type="spellStart"/>
            <w:r>
              <w:rPr>
                <w:b/>
                <w:bCs/>
                <w:color w:val="FFFFFF"/>
                <w:sz w:val="18"/>
                <w:szCs w:val="18"/>
              </w:rPr>
              <w:t>sigmoide</w:t>
            </w:r>
            <w:proofErr w:type="spellEnd"/>
            <w:r>
              <w:rPr>
                <w:b/>
                <w:bCs/>
                <w:color w:val="FFFFFF"/>
                <w:sz w:val="18"/>
                <w:szCs w:val="18"/>
              </w:rPr>
              <w:t xml:space="preserve"> più distesa, regime raggiunto più tardi CURVA CON AFFIANCAMENTO: </w:t>
            </w:r>
            <w:proofErr w:type="spellStart"/>
            <w:r>
              <w:rPr>
                <w:b/>
                <w:bCs/>
                <w:color w:val="FFFFFF"/>
                <w:sz w:val="18"/>
                <w:szCs w:val="18"/>
              </w:rPr>
              <w:t>sigmoide</w:t>
            </w:r>
            <w:proofErr w:type="spellEnd"/>
            <w:r>
              <w:rPr>
                <w:b/>
                <w:bCs/>
                <w:color w:val="FFFFFF"/>
                <w:sz w:val="18"/>
                <w:szCs w:val="18"/>
              </w:rPr>
              <w:t xml:space="preserve"> più ripida, regime nei primi 12–18 mesi CATEGORIE: innovatori · primi adottanti · maggioranza anticipatrice · maggioranza ritardataria · ritardatari AREA EVIDENZIATA: adozione anticipata = tempo di uso pieno recuperato dall’affiancamento DIDASCALIA: «L’affiancamento esperto comprime la curva di adozione: l’adozione di regime è raggiunta nei primi 12–18 mesi» VARIANTE 3D (consigliata): le due </w:t>
            </w:r>
            <w:proofErr w:type="spellStart"/>
            <w:r>
              <w:rPr>
                <w:b/>
                <w:bCs/>
                <w:color w:val="FFFFFF"/>
                <w:sz w:val="18"/>
                <w:szCs w:val="18"/>
              </w:rPr>
              <w:t>sigmoidi</w:t>
            </w:r>
            <w:proofErr w:type="spellEnd"/>
            <w:r>
              <w:rPr>
                <w:b/>
                <w:bCs/>
                <w:color w:val="FFFFFF"/>
                <w:sz w:val="18"/>
                <w:szCs w:val="18"/>
              </w:rPr>
              <w:t xml:space="preserve"> in prospettiva isometrica leggera, con l’area di adozione anticipata come superficie ombreggiata tra le due curve; categorie di adottanti come fasce in piano lungo l’asse del tempo FONTE (piè di figura): elaborazione dello studio su modello della diffusione delle innovazioni (</w:t>
            </w:r>
            <w:proofErr w:type="spellStart"/>
            <w:r>
              <w:rPr>
                <w:b/>
                <w:bCs/>
                <w:color w:val="FFFFFF"/>
                <w:sz w:val="18"/>
                <w:szCs w:val="18"/>
              </w:rPr>
              <w:t>Rogers</w:t>
            </w:r>
            <w:proofErr w:type="spellEnd"/>
            <w:r>
              <w:rPr>
                <w:b/>
                <w:bCs/>
                <w:color w:val="FFFFFF"/>
                <w:sz w:val="18"/>
                <w:szCs w:val="18"/>
              </w:rPr>
              <w:t>) e modello di accettazione della tecnologia (Davis)</w:t>
            </w:r>
          </w:p>
          <w:p w14:paraId="4FA24A10" w14:textId="77777777" w:rsidR="007C4598" w:rsidRDefault="00000000">
            <w:pPr>
              <w:spacing w:before="120" w:after="60"/>
              <w:jc w:val="center"/>
            </w:pPr>
            <w:r>
              <w:rPr>
                <w:noProof/>
              </w:rPr>
              <w:drawing>
                <wp:inline distT="0" distB="0" distL="0" distR="0" wp14:anchorId="6FBFF973" wp14:editId="32D19ABA">
                  <wp:extent cx="8229600" cy="4629150"/>
                  <wp:effectExtent l="0" t="0" r="0" b="0"/>
                  <wp:docPr id="125" name="Infografica25" descr="La curva di adozione delle competenze digitali e pro-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Infografica25"/>
                          <pic:cNvPicPr>
                            <a:picLocks noChangeAspect="1" noChangeArrowheads="1"/>
                          </pic:cNvPicPr>
                        </pic:nvPicPr>
                        <pic:blipFill>
                          <a:blip r:embed="rId39">
                            <a:extLst>
                              <a:ext uri="{96DAC541-7B7A-43D3-8B79-37D633B846F1}">
                                <asvg:svgBlip xmlns:asvg="http://schemas.microsoft.com/office/drawing/2016/SVG/main" r:embed="rId40"/>
                              </a:ext>
                            </a:extLst>
                          </a:blip>
                          <a:stretch>
                            <a:fillRect/>
                          </a:stretch>
                        </pic:blipFill>
                        <pic:spPr bwMode="auto">
                          <a:xfrm>
                            <a:off x="0" y="0"/>
                            <a:ext cx="8229600" cy="4629150"/>
                          </a:xfrm>
                          <a:prstGeom prst="rect">
                            <a:avLst/>
                          </a:prstGeom>
                          <a:noFill/>
                          <a:ln>
                            <a:noFill/>
                          </a:ln>
                        </pic:spPr>
                      </pic:pic>
                    </a:graphicData>
                  </a:graphic>
                </wp:inline>
              </w:drawing>
            </w:r>
          </w:p>
          <w:p w14:paraId="20002D31" w14:textId="77777777" w:rsidR="007C4598" w:rsidRDefault="00000000">
            <w:pPr>
              <w:spacing w:before="40" w:after="200"/>
              <w:jc w:val="center"/>
            </w:pPr>
            <w:r>
              <w:rPr>
                <w:i/>
                <w:color w:val="2E5A8F"/>
                <w:sz w:val="16"/>
                <w:szCs w:val="16"/>
              </w:rPr>
              <w:t>Fig. 5.8 — La curva di adozione delle competenze digitali e pro-IA. Elaborazione dello studio · Luigi De Michele · Giugno 2026.</w:t>
            </w:r>
          </w:p>
        </w:tc>
      </w:tr>
    </w:tbl>
    <w:p w14:paraId="43BBF728" w14:textId="77777777" w:rsidR="007C4598" w:rsidRDefault="007C4598"/>
    <w:p w14:paraId="1D059B17" w14:textId="77777777" w:rsidR="007C4598" w:rsidRDefault="00000000">
      <w:pPr>
        <w:jc w:val="both"/>
      </w:pPr>
      <w:r>
        <w:t>Con la descrizione delle curve di adozione e del rafforzamento delle competenze digitali pro-Intelligenza Artificiale si chiude l’articolazione delle otto voci della parte. Esse hanno determinato il fabbisogno formativo integrale, esaminato le quattro modalità a sé stanti, considerato la loro combinazione, misurato il costo e il rendimento del percorso, e descritto la dinamica temporale dell’adozione delle competenze; e hanno così risposto al duplice mandato, considerando la formazione nella sua estensione integrale, valutando le modalità sia singolarmente sia in combinazione, trattando le competenze pro-Intelligenza Artificiale al contempo a sé stanti e congiunte, e collocando l’Intelligenza Artificiale nella posizione subordinata di leva abilitante. Resta da comporre, nel quadro conclusivo, la sintesi economico-sociale e multidisciplinare integrale della parte, che ne ricapitola i risultati e ne dichiara le connessioni con la cascata delle figure e con il perimetro dei domini.</w:t>
      </w:r>
    </w:p>
    <w:p w14:paraId="7B1B87DC" w14:textId="77777777" w:rsidR="007C4598" w:rsidRDefault="007C4598"/>
    <w:p w14:paraId="6A380033" w14:textId="77777777" w:rsidR="007C4598" w:rsidRDefault="00000000">
      <w:pPr>
        <w:pStyle w:val="Titolo1"/>
        <w:pageBreakBefore/>
      </w:pPr>
      <w:r>
        <w:rPr>
          <w:sz w:val="22"/>
          <w:szCs w:val="22"/>
        </w:rPr>
        <w:t>Quadro Conclusivo economico-sociale e multidisciplinare integrale</w:t>
      </w:r>
    </w:p>
    <w:p w14:paraId="016C9958" w14:textId="77777777" w:rsidR="007C4598" w:rsidRDefault="007C4598"/>
    <w:p w14:paraId="3E437F43" w14:textId="77777777" w:rsidR="007C4598" w:rsidRDefault="00000000">
      <w:pPr>
        <w:jc w:val="both"/>
      </w:pPr>
      <w:r>
        <w:rPr>
          <w:i/>
          <w:iCs/>
        </w:rPr>
        <w:t xml:space="preserve">Questo quadro compone la sintesi economico-sociale e multidisciplinare integrale della quinta parte. Esso ricapitola il costo e il rendimento della formazione mantenendoli distinti dal saldo complessivo della riforma, ricostruisce la connessione della formazione con la cascata delle figure e con il perimetro dei domini, distingue le ricadute dirette da quelle indirette secondo la regola di non duplicazione, e preserva i vincoli invarianti dell’opera — l’ancora di </w:t>
      </w:r>
      <w:proofErr w:type="spellStart"/>
      <w:r>
        <w:rPr>
          <w:i/>
          <w:iCs/>
        </w:rPr>
        <w:t>Chisholm</w:t>
      </w:r>
      <w:proofErr w:type="spellEnd"/>
      <w:r>
        <w:rPr>
          <w:i/>
          <w:iCs/>
        </w:rPr>
        <w:t xml:space="preserve">, il </w:t>
      </w:r>
      <w:proofErr w:type="spellStart"/>
      <w:r>
        <w:rPr>
          <w:i/>
          <w:iCs/>
        </w:rPr>
        <w:t>caveat</w:t>
      </w:r>
      <w:proofErr w:type="spellEnd"/>
      <w:r>
        <w:rPr>
          <w:i/>
          <w:iCs/>
        </w:rPr>
        <w:t xml:space="preserve"> dell’IMPACT trial, le bande prudenziali e la falsificabilità delle previsioni.</w:t>
      </w:r>
    </w:p>
    <w:p w14:paraId="3E761352" w14:textId="77777777" w:rsidR="007C4598" w:rsidRDefault="007C4598"/>
    <w:p w14:paraId="52CFF7E5" w14:textId="77777777" w:rsidR="007C4598" w:rsidRDefault="00000000">
      <w:pPr>
        <w:jc w:val="both"/>
      </w:pPr>
      <w:r>
        <w:t>La sintesi economica della quinta parte si fonda su una distinzione che ne governa l’intera trattazione e che il quadro conclusivo ribadisce. Il costo della formazione, dell’ordine di quattro milioni di euro l’anno nello scenario base, è il costo della componente incrementale interna al perimetro della riforma, distinto dai costi esterni — la laurea, l’obbligo generale dell’educazione continua — che gravano sul sistema dell’istruzione e sul professionista e che la riforma non genera. Tale costo è una componente dei costi diretti della riforma, che la settima parte dell’opera quantifica nel loro insieme, e non un saldo a sé stante; esso entra nel computo dei costi diretti accanto al costo del personale, ai costi di struttura e al costo incrementale della leva digitale, e va sommato a essi, non confuso con essi. La formazione, in questo senso, ha un costo che la riforma sostiene, e la sua collocazione tra i costi diretti è il primo elemento della sintesi economica.</w:t>
      </w:r>
    </w:p>
    <w:p w14:paraId="0F65F47F" w14:textId="77777777" w:rsidR="007C4598" w:rsidRDefault="007C4598"/>
    <w:p w14:paraId="5561599E" w14:textId="77777777" w:rsidR="007C4598" w:rsidRDefault="00000000">
      <w:pPr>
        <w:jc w:val="both"/>
      </w:pPr>
      <w:r>
        <w:t xml:space="preserve">Il rendimento della formazione è il secondo elemento della sintesi economica, ed è espresso da un rapporto che va tenuto rigorosamente distinto dal rendimento complessivo della riforma. Il rapporto beneficio-costo formativo, compreso tra sette e otto a uno, misura la produttività della spesa formativa, ossia il rendimento dei quattro milioni di euro investiti nella formazione, e corrisponde a un differenziale di valore dell’ordine di ventotto-trentadue milioni di euro l’anno nello scenario base. Questo rapporto non è il rendimento della riforma, che è vincolato all’ancora di </w:t>
      </w:r>
      <w:proofErr w:type="spellStart"/>
      <w:r>
        <w:t>Chisholm</w:t>
      </w:r>
      <w:proofErr w:type="spellEnd"/>
      <w:r>
        <w:t xml:space="preserve"> — compreso tra 2,3 e 3,0 a uno per i soli benefici economici e tra 3,3 e 5,7 a uno con l’inclusione dei ritorni in salute — e che la decima parte determina. I due rapporti misurano grandezze diverse, e la loro distinzione è condizione della correttezza della sintesi: il rapporto formativo dice quanto rende la spesa formativa, il rapporto della riforma dice quanto rende l’intera riforma, e confonderli o sommarli produrrebbe una duplicazione che la regola invariante vieta. Il </w:t>
      </w:r>
      <w:proofErr w:type="spellStart"/>
      <w:r>
        <w:t>caveat</w:t>
      </w:r>
      <w:proofErr w:type="spellEnd"/>
      <w:r>
        <w:t xml:space="preserve"> dell’IMPACT trial è qui preservato: il rendimento della formazione non è un risparmio fiscale diretto, poiché la riduzione diretta dei costi sanitari non raggiunge la significatività statistica, ma la produttività di una spesa, che si manifesta in parte come efficienza del servizio e in parte come beneficio sociale diffuso.</w:t>
      </w:r>
    </w:p>
    <w:p w14:paraId="12B7E60E" w14:textId="77777777" w:rsidR="007C4598" w:rsidRDefault="007C4598"/>
    <w:p w14:paraId="340170E4" w14:textId="77777777" w:rsidR="007C4598" w:rsidRDefault="00000000">
      <w:pPr>
        <w:jc w:val="both"/>
      </w:pPr>
      <w:r>
        <w:t xml:space="preserve">La sintesi sociale e multidisciplinare della quinta parte muove dal riconoscimento della funzione della formazione come infrastruttura immateriale della riforma. La formazione non produce direttamente i benefici </w:t>
      </w:r>
      <w:proofErr w:type="spellStart"/>
      <w:r>
        <w:t>multidominio</w:t>
      </w:r>
      <w:proofErr w:type="spellEnd"/>
      <w:r>
        <w:t xml:space="preserve"> che la riforma genera, ma costruisce la competenza che consente allo Psicologo di Base di produrli: è la competenza formata che intercetta precocemente il disagio, che opera nella coppia clinica, che usa correttamente la leva digitale, e che attraverso queste azioni propaga i propri effetti lungo la cascata delle figure e il perimetro dei domini. La formazione è perciò connessa al perimetro multidisciplinare integrale in un duplice modo: direttamente, in quanto incide su alcuni domini in via immediata; e indirettamente, in quanto abilita i benefici in tutti gli altri domini attraverso la competenza che costruisce. Questa duplice connessione è il contenuto proprio della sintesi multidisciplinare della parte, e va ricostruita distinguendo i domini su cui la formazione incide direttamente da quelli che essa abilita indirettamente.</w:t>
      </w:r>
    </w:p>
    <w:p w14:paraId="3654B172" w14:textId="77777777" w:rsidR="007C4598" w:rsidRDefault="007C4598"/>
    <w:p w14:paraId="6A283B5A" w14:textId="77777777" w:rsidR="007C4598" w:rsidRDefault="00000000">
      <w:pPr>
        <w:jc w:val="both"/>
      </w:pPr>
      <w:r>
        <w:t>I domini su cui la formazione incide direttamente sono quattro. Il dominio formativo è il dominio proprio della formazione, che la riforma alimenta attraverso la domanda di percorsi formativi nuovi — i master dedicati, l’educazione continua mirata, le certificazioni — e che ne riceve un impulso alla qualificazione dell’offerta. Il dominio accademico è inciso dalla formazione attraverso l’adeguamento dei curricula universitari e l’istituzione di master, che orientano l’università verso le competenze delle cure primarie e della salute digitale, con una ricaduta sulla ricerca e sull’innovazione. Il dominio lavorativo è inciso dalla formazione attraverso la qualificazione del personale, che accresce la capacità professionale della forza lavoro sanitaria e ne migliora la collocazione e la produttività. Il dominio culturale è inciso dalla formazione attraverso l’alfabetizzazione psicologica e digitale che essa diffonde, sia tra i professionisti sia, indirettamente, tra i pazienti che ne ricevono il servizio. Su questi quattro domini la formazione produce un effetto diretto, che si aggiunge ai benefici prodotti dal servizio e non si confonde con essi.</w:t>
      </w:r>
    </w:p>
    <w:p w14:paraId="2479DCD7" w14:textId="77777777" w:rsidR="007C4598" w:rsidRDefault="007C4598"/>
    <w:p w14:paraId="7219E238" w14:textId="77777777" w:rsidR="007C4598" w:rsidRDefault="00000000">
      <w:pPr>
        <w:jc w:val="both"/>
      </w:pPr>
      <w:r>
        <w:t xml:space="preserve">I domini che la formazione abilita indirettamente sono tutti gli altri del perimetro multidisciplinare integrale, e la connessione è mediata dalla competenza che la formazione costruisce. Il dominio sanitario, il dominio lavorativo nella sua dimensione di assenteismo e </w:t>
      </w:r>
      <w:proofErr w:type="spellStart"/>
      <w:r>
        <w:t>presenteismo</w:t>
      </w:r>
      <w:proofErr w:type="spellEnd"/>
      <w:r>
        <w:t xml:space="preserve">, il dominio pensionistico, il dominio produttivistico, il dominio assistenzialistico, il dominio </w:t>
      </w:r>
      <w:proofErr w:type="spellStart"/>
      <w:r>
        <w:t>welfaristico</w:t>
      </w:r>
      <w:proofErr w:type="spellEnd"/>
      <w:r>
        <w:t xml:space="preserve">, il dominio </w:t>
      </w:r>
      <w:proofErr w:type="spellStart"/>
      <w:r>
        <w:t>prevenzionalistico</w:t>
      </w:r>
      <w:proofErr w:type="spellEnd"/>
      <w:r>
        <w:t xml:space="preserve">, il dominio criminologico, il dominio burocratico, il dominio pedagogico e scolastico, il dominio sociale e il dominio finanziario sono tutti raggiunti dalla riforma attraverso l’azione dello Psicologo di Base potenziato dalle leve abilitanti, e quell’azione presuppone la competenza che la formazione costruisce. La formazione è perciò la condizione abilitante dei benefici </w:t>
      </w:r>
      <w:proofErr w:type="spellStart"/>
      <w:r>
        <w:t>multidominio</w:t>
      </w:r>
      <w:proofErr w:type="spellEnd"/>
      <w:r>
        <w:t>: essa non li produce direttamente, ma li rende possibili, poiché senza la competenza formata l’azione che li produce non avrebbe luogo. Questa connessione indiretta della formazione con l’intero perimetro dei domini è la ragione per cui la formazione è trattata come pilastro trasversale dell’opera, e non come una sua parte settoriale: essa attraversa l’intero perimetro, direttamente per quattro domini e indirettamente per tutti gli altri, e la sua omissione comprometterebbe l’intera architettura dei benefici.</w:t>
      </w:r>
    </w:p>
    <w:p w14:paraId="66086E6F" w14:textId="77777777" w:rsidR="007C4598" w:rsidRDefault="007C4598"/>
    <w:p w14:paraId="6C818E55" w14:textId="77777777" w:rsidR="007C4598" w:rsidRDefault="00000000">
      <w:pPr>
        <w:jc w:val="both"/>
      </w:pPr>
      <w:r>
        <w:t xml:space="preserve">La regola di non duplicazione governa anche questa sintesi multidisciplinare, e va applicata con il consueto rigore. I benefici che la formazione abilita indirettamente — i benefici </w:t>
      </w:r>
      <w:proofErr w:type="spellStart"/>
      <w:r>
        <w:t>multidominio</w:t>
      </w:r>
      <w:proofErr w:type="spellEnd"/>
      <w:r>
        <w:t xml:space="preserve"> prodotti dallo Psicologo di Base — non sono attribuiti alla formazione, ma all’azione del servizio che la formazione abilita, e sono quantificati nella nona parte, dedicata ai costi e ai benefici indiretti; attribuirli anche alla formazione costituirebbe una duplicazione, poiché lo stesso beneficio sarebbe contato due volte, una come effetto del servizio e una come effetto della formazione. La formazione è perciò la condizione abilitante dei benefici </w:t>
      </w:r>
      <w:proofErr w:type="spellStart"/>
      <w:r>
        <w:t>multidominio</w:t>
      </w:r>
      <w:proofErr w:type="spellEnd"/>
      <w:r>
        <w:t xml:space="preserve">, ma non la loro causa diretta, e il suo rendimento proprio — il rapporto beneficio-costo formativo — misura la produttività della spesa formativa, non i benefici </w:t>
      </w:r>
      <w:proofErr w:type="spellStart"/>
      <w:r>
        <w:t>multidominio</w:t>
      </w:r>
      <w:proofErr w:type="spellEnd"/>
      <w:r>
        <w:t>, che sono attribuiti al servizio. Questa distinzione tra la formazione come condizione abilitante e il servizio come causa diretta dei benefici è ciò che consente di tenere distinte le grandezze e di evitare la duplicazione, e va conservata nella valutazione economica integrata della decima parte, dove il rendimento della formazione e i benefici del servizio sono composti senza essere confusi.</w:t>
      </w:r>
    </w:p>
    <w:p w14:paraId="413E564E" w14:textId="77777777" w:rsidR="007C4598" w:rsidRDefault="007C4598"/>
    <w:p w14:paraId="0F81B8BE" w14:textId="77777777" w:rsidR="007C4598" w:rsidRDefault="00000000">
      <w:pPr>
        <w:jc w:val="both"/>
      </w:pPr>
      <w:r>
        <w:t>Le previsioni falsificabili della quinta parte, infine, sono due, ed entrambe sono contenute entro le bande prudenziali dell’opera. La prima previsione riguarda il rendimento della formazione: il rapporto beneficio-costo formativo è previsto entro la banda compresa tra sette e otto a uno, ed è falsificabile perché il differenziale di valore prodotto dalla formazione può essere misurato, e la previsione è confutata se il rapporto cade fuori della banda. La seconda previsione riguarda la curva di adozione: l’affiancamento esperto è previsto comprimere la curva di adozione delle competenze digitali nei primi dodici-diciotto mesi, ed è falsificabile perché l’adozione può essere misurata, e la previsione è confutata se l’adozione non accelera come previsto. Entrambe le previsioni sono subordinate, per la parte relativa all’Intelligenza Artificiale, alla graduazione GRADE dell’efficacia degli strumenti, poiché il valore dell’adozione di uno strumento dipende dalla sua efficacia dimostrata. La tabella seguente compone la sintesi economico-multidisciplinare della parte, distinguendo le grandezze dirette da quelle indirette e ricapitolando le previsioni.</w:t>
      </w:r>
    </w:p>
    <w:p w14:paraId="7E9912A8" w14:textId="77777777" w:rsidR="007C4598" w:rsidRDefault="007C4598"/>
    <w:p w14:paraId="516DBBBB" w14:textId="77777777" w:rsidR="007C4598" w:rsidRDefault="00000000">
      <w:pPr>
        <w:jc w:val="both"/>
      </w:pPr>
      <w:r>
        <w:rPr>
          <w:b/>
          <w:bCs/>
        </w:rPr>
        <w:t>Tabella riepilogativa — Sintesi economico-sociale e multidisciplinare integrale della Parte V</w:t>
      </w:r>
    </w:p>
    <w:p w14:paraId="79C7C2C8"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5620632B"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F88684A" w14:textId="77777777" w:rsidR="007C4598" w:rsidRDefault="00000000">
            <w:pPr>
              <w:spacing w:after="40"/>
            </w:pPr>
            <w:r>
              <w:rPr>
                <w:b/>
                <w:bCs/>
                <w:color w:val="FFFFFF"/>
                <w:sz w:val="18"/>
                <w:szCs w:val="18"/>
              </w:rPr>
              <w:t>Dimensione</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F15E5D4" w14:textId="77777777" w:rsidR="007C4598" w:rsidRDefault="00000000">
            <w:pPr>
              <w:spacing w:after="40"/>
            </w:pPr>
            <w:r>
              <w:rPr>
                <w:b/>
                <w:bCs/>
                <w:color w:val="FFFFFF"/>
                <w:sz w:val="18"/>
                <w:szCs w:val="18"/>
              </w:rPr>
              <w:t>Grandezza</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61ED519" w14:textId="77777777" w:rsidR="007C4598" w:rsidRDefault="00000000">
            <w:pPr>
              <w:spacing w:after="40"/>
            </w:pPr>
            <w:r>
              <w:rPr>
                <w:b/>
                <w:bCs/>
                <w:color w:val="FFFFFF"/>
                <w:sz w:val="18"/>
                <w:szCs w:val="18"/>
              </w:rPr>
              <w:t>Natura</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7E20D2E" w14:textId="77777777" w:rsidR="007C4598" w:rsidRDefault="00000000">
            <w:pPr>
              <w:spacing w:after="40"/>
            </w:pPr>
            <w:r>
              <w:rPr>
                <w:b/>
                <w:bCs/>
                <w:color w:val="FFFFFF"/>
                <w:sz w:val="18"/>
                <w:szCs w:val="18"/>
              </w:rPr>
              <w:t>Vincolo invariante</w:t>
            </w:r>
          </w:p>
        </w:tc>
      </w:tr>
      <w:tr w:rsidR="007C4598" w14:paraId="136517FE"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3895112" w14:textId="77777777" w:rsidR="007C4598" w:rsidRDefault="00000000">
            <w:pPr>
              <w:spacing w:after="40"/>
            </w:pPr>
            <w:r>
              <w:rPr>
                <w:b/>
                <w:bCs/>
              </w:rPr>
              <w:t>Costo della formazione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5F80152" w14:textId="77777777" w:rsidR="007C4598" w:rsidRDefault="00000000">
            <w:pPr>
              <w:spacing w:after="40"/>
            </w:pPr>
            <w:r>
              <w:t>~4,0 mln €/anno (incrementale, scenario base)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6578235" w14:textId="77777777" w:rsidR="007C4598" w:rsidRDefault="00000000">
            <w:pPr>
              <w:spacing w:after="40"/>
            </w:pPr>
            <w:r>
              <w:t>Diretta (componente dei costi diretti, Parte VII)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62ACF71" w14:textId="77777777" w:rsidR="007C4598" w:rsidRDefault="00000000">
            <w:pPr>
              <w:spacing w:after="40"/>
            </w:pPr>
            <w:r>
              <w:t>Distinto dai costi esterni; sommato agli altri costi diretti</w:t>
            </w:r>
          </w:p>
        </w:tc>
      </w:tr>
      <w:tr w:rsidR="007C4598" w14:paraId="21989900"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8561B01" w14:textId="77777777" w:rsidR="007C4598" w:rsidRDefault="00000000">
            <w:pPr>
              <w:spacing w:after="40"/>
            </w:pPr>
            <w:r>
              <w:rPr>
                <w:b/>
                <w:bCs/>
              </w:rPr>
              <w:t>Rendimento della formazione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A56C3E4" w14:textId="77777777" w:rsidR="007C4598" w:rsidRDefault="00000000">
            <w:pPr>
              <w:spacing w:after="40"/>
            </w:pPr>
            <w:r>
              <w:t>Rapporto beneficio-costo 7–8:1; differenziale ~28–32 mln €/anno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DA5C317" w14:textId="77777777" w:rsidR="007C4598" w:rsidRDefault="00000000">
            <w:pPr>
              <w:spacing w:after="40"/>
            </w:pPr>
            <w:r>
              <w:t>Produttività della spesa formativa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B3A2B37" w14:textId="77777777" w:rsidR="007C4598" w:rsidRDefault="00000000">
            <w:pPr>
              <w:spacing w:after="40"/>
            </w:pPr>
            <w:r>
              <w:t>Distinto dal rendimento della riforma (</w:t>
            </w:r>
            <w:proofErr w:type="spellStart"/>
            <w:r>
              <w:t>Chisholm</w:t>
            </w:r>
            <w:proofErr w:type="spellEnd"/>
            <w:r>
              <w:t>)</w:t>
            </w:r>
          </w:p>
        </w:tc>
      </w:tr>
      <w:tr w:rsidR="007C4598" w14:paraId="1205D28D"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6325B6E" w14:textId="77777777" w:rsidR="007C4598" w:rsidRDefault="00000000">
            <w:pPr>
              <w:spacing w:after="40"/>
            </w:pPr>
            <w:r>
              <w:rPr>
                <w:b/>
                <w:bCs/>
              </w:rPr>
              <w:t>Domini incisi direttamente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4EA8147" w14:textId="77777777" w:rsidR="007C4598" w:rsidRDefault="00000000">
            <w:pPr>
              <w:spacing w:after="40"/>
            </w:pPr>
            <w:r>
              <w:t>Formativo, accademico, lavorativo, culturale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36E2D14" w14:textId="77777777" w:rsidR="007C4598" w:rsidRDefault="00000000">
            <w:pPr>
              <w:spacing w:after="40"/>
            </w:pPr>
            <w:r>
              <w:t>Diretta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4C41928" w14:textId="77777777" w:rsidR="007C4598" w:rsidRDefault="00000000">
            <w:pPr>
              <w:spacing w:after="40"/>
            </w:pPr>
            <w:r>
              <w:t>Non duplicata con i benefici del servizio</w:t>
            </w:r>
          </w:p>
        </w:tc>
      </w:tr>
      <w:tr w:rsidR="007C4598" w14:paraId="1DBAE973"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46B157C" w14:textId="77777777" w:rsidR="007C4598" w:rsidRDefault="00000000">
            <w:pPr>
              <w:spacing w:after="40"/>
            </w:pPr>
            <w:r>
              <w:rPr>
                <w:b/>
                <w:bCs/>
              </w:rPr>
              <w:t>Domini abilitati indirettamente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B23FA9C" w14:textId="77777777" w:rsidR="007C4598" w:rsidRDefault="00000000">
            <w:pPr>
              <w:spacing w:after="40"/>
            </w:pPr>
            <w:r>
              <w:t>Tutti gli altri domini del perimetro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E51EDDD" w14:textId="77777777" w:rsidR="007C4598" w:rsidRDefault="00000000">
            <w:pPr>
              <w:spacing w:after="40"/>
            </w:pPr>
            <w:r>
              <w:t>Indiretta (condizione abilitante)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81F2428" w14:textId="77777777" w:rsidR="007C4598" w:rsidRDefault="00000000">
            <w:pPr>
              <w:spacing w:after="40"/>
            </w:pPr>
            <w:r>
              <w:t>Attribuiti al servizio, non alla formazione (non duplicazione)</w:t>
            </w:r>
          </w:p>
        </w:tc>
      </w:tr>
      <w:tr w:rsidR="007C4598" w14:paraId="68FC5B9A"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69AAF3B" w14:textId="77777777" w:rsidR="007C4598" w:rsidRDefault="00000000">
            <w:pPr>
              <w:spacing w:after="40"/>
            </w:pPr>
            <w:r>
              <w:rPr>
                <w:b/>
                <w:bCs/>
              </w:rPr>
              <w:t>Previsioni falsificabili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74124BB" w14:textId="77777777" w:rsidR="007C4598" w:rsidRDefault="00000000">
            <w:pPr>
              <w:spacing w:after="40"/>
            </w:pPr>
            <w:r>
              <w:t>Banda del rapporto formativo; compressione della curva (12–18 mesi)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92AD98C" w14:textId="77777777" w:rsidR="007C4598" w:rsidRDefault="00000000">
            <w:pPr>
              <w:spacing w:after="40"/>
            </w:pPr>
            <w:r>
              <w:t>Predittiva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BE8B1DE" w14:textId="77777777" w:rsidR="007C4598" w:rsidRDefault="00000000">
            <w:pPr>
              <w:spacing w:after="40"/>
            </w:pPr>
            <w:r>
              <w:t>Bande prudenziali; GRADE sull’efficacia degli strumenti</w:t>
            </w:r>
          </w:p>
        </w:tc>
      </w:tr>
    </w:tbl>
    <w:p w14:paraId="34530780" w14:textId="77777777" w:rsidR="007C4598" w:rsidRDefault="007C4598"/>
    <w:p w14:paraId="70538A32" w14:textId="77777777" w:rsidR="007C4598" w:rsidRDefault="00000000">
      <w:pPr>
        <w:pStyle w:val="Titolo1"/>
        <w:pageBreakBefore/>
      </w:pPr>
      <w:r>
        <w:rPr>
          <w:sz w:val="22"/>
          <w:szCs w:val="22"/>
        </w:rPr>
        <w:t>Conclusione</w:t>
      </w:r>
    </w:p>
    <w:p w14:paraId="4FE9920E" w14:textId="77777777" w:rsidR="007C4598" w:rsidRDefault="007C4598"/>
    <w:p w14:paraId="4E950085" w14:textId="77777777" w:rsidR="007C4598" w:rsidRDefault="00000000">
      <w:pPr>
        <w:jc w:val="both"/>
      </w:pPr>
      <w:r>
        <w:t>La quinta parte ha trattato la formazione del personale come pilastro trasversale della riforma del Servizio di Psicologia di Base in Puglia, e ha portato a compimento il duplice mandato che la governava. Essa ha considerato la formazione nella sua estensione integrale, comprensiva delle competenze cliniche, organizzative, relazionali e digitali, e tra queste ultime delle competenze dedicate all’uso dell’Intelligenza Artificiale; e ha valutato le quattro modalità attraverso cui la formazione si realizza — universitaria, post-universitaria, lavorativa e per affiancamento di figure esperte — sia singolarmente, ciascuna con i propri costi, tempi e rendimenti, sia congiuntamente, come percorso formativo integrato. Le competenze dedicate all’Intelligenza Artificiale sono state trattate, in aderenza al mandato, al contempo a sé stanti, come oggetto formativo proprio delle certificazioni, e congiunte alle altre, come componente del profilo integrato dello Psicologo di Base; e l’Intelligenza Artificiale è stata collocata, in tutta la parte, nella posizione subordinata di leva abilitante, mai come oggetto centrale, sempre come strumento subordinato alla competenza clinica e alla supervisione umana.</w:t>
      </w:r>
    </w:p>
    <w:p w14:paraId="4541DB90" w14:textId="77777777" w:rsidR="007C4598" w:rsidRDefault="007C4598"/>
    <w:p w14:paraId="0A90F6B6" w14:textId="77777777" w:rsidR="007C4598" w:rsidRDefault="00000000">
      <w:pPr>
        <w:jc w:val="both"/>
      </w:pPr>
      <w:r>
        <w:t xml:space="preserve">La parte ha mostrato che le quattro modalità non sono alternative tra cui scegliere, ma componenti complementari di un percorso integrato, in cui il limite di ciascuna è compensato dalla funzione di un’altra: la formazione universitaria costruisce il fondamento durevole, la formazione post-universitaria lo aggiorna rapidamente, la formazione lavorativa lo traduce in pratica e l’affiancamento esperto ne accelera l’adozione e ne corregge gli errori. Da questa complementarità discende la </w:t>
      </w:r>
      <w:proofErr w:type="spellStart"/>
      <w:r>
        <w:t>superadditività</w:t>
      </w:r>
      <w:proofErr w:type="spellEnd"/>
      <w:r>
        <w:t xml:space="preserve"> del percorso integrato, che rende più della somma delle modalità isolate perché copre tutti e quattro i livelli del modello di </w:t>
      </w:r>
      <w:proofErr w:type="spellStart"/>
      <w:r>
        <w:t>Kirkpatrick</w:t>
      </w:r>
      <w:proofErr w:type="spellEnd"/>
      <w:r>
        <w:t xml:space="preserve">, dove ciascuna modalità isolata ne copre solo alcuni. La quantificazione, condotta con i modelli di </w:t>
      </w:r>
      <w:proofErr w:type="spellStart"/>
      <w:r>
        <w:t>Kirkpatrick</w:t>
      </w:r>
      <w:proofErr w:type="spellEnd"/>
      <w:r>
        <w:t xml:space="preserve"> e Phillips, ha confermato la </w:t>
      </w:r>
      <w:proofErr w:type="spellStart"/>
      <w:r>
        <w:t>superadditività</w:t>
      </w:r>
      <w:proofErr w:type="spellEnd"/>
      <w:r>
        <w:t>: il percorso integrato raggiunge un rapporto beneficio-costo formativo compreso tra sette e otto a uno, superiore a quello di qualsiasi modalità singola, a fronte di un costo del programma formativo dell’ordine di quattro milioni di euro l’anno nello scenario base.</w:t>
      </w:r>
    </w:p>
    <w:p w14:paraId="76555DF5" w14:textId="77777777" w:rsidR="007C4598" w:rsidRDefault="007C4598"/>
    <w:p w14:paraId="440288E6" w14:textId="77777777" w:rsidR="007C4598" w:rsidRDefault="00000000">
      <w:pPr>
        <w:jc w:val="both"/>
      </w:pPr>
      <w:r>
        <w:t xml:space="preserve">La parte ha tenuto rigorosamente distinte le grandezze, in ossequio alla regola di non duplicazione che governa l’opera. Il costo della formazione è stato distinto dai costi esterni che la riforma non genera ed è stato collocato tra i costi diretti della riforma; il rendimento della formazione è stato distinto dal rendimento complessivo della riforma, vincolato all’ancora di </w:t>
      </w:r>
      <w:proofErr w:type="spellStart"/>
      <w:r>
        <w:t>Chisholm</w:t>
      </w:r>
      <w:proofErr w:type="spellEnd"/>
      <w:r>
        <w:t xml:space="preserve">, e i due rapporti non sono stati né confusi né sommati; i benefici </w:t>
      </w:r>
      <w:proofErr w:type="spellStart"/>
      <w:r>
        <w:t>multidominio</w:t>
      </w:r>
      <w:proofErr w:type="spellEnd"/>
      <w:r>
        <w:t xml:space="preserve"> che la formazione abilita sono stati attribuiti al servizio che la formazione rende possibile, e non alla formazione stessa, per evitare la duplicazione. Il </w:t>
      </w:r>
      <w:proofErr w:type="spellStart"/>
      <w:r>
        <w:t>caveat</w:t>
      </w:r>
      <w:proofErr w:type="spellEnd"/>
      <w:r>
        <w:t xml:space="preserve"> dell’IMPACT trial è stato preservato, le bande prudenziali sono state applicate a ogni stima, e le due previsioni della parte — la banda del rapporto formativo e la compressione della curva di adozione nei primi dodici-diciotto mesi — sono state formulate in forma falsificabile, subordinando il valore dell’adozione degli strumenti di Intelligenza Artificiale alla loro efficacia dimostrata, graduata secondo il sistema GRADE.</w:t>
      </w:r>
    </w:p>
    <w:p w14:paraId="304AB400" w14:textId="77777777" w:rsidR="007C4598" w:rsidRDefault="007C4598"/>
    <w:p w14:paraId="3CE832AD" w14:textId="77777777" w:rsidR="007C4598" w:rsidRDefault="00000000">
      <w:pPr>
        <w:jc w:val="both"/>
      </w:pPr>
      <w:r>
        <w:t xml:space="preserve">La formazione, infine, è stata riconosciuta come l’infrastruttura immateriale della riforma, condizione abilitante dei benefici </w:t>
      </w:r>
      <w:proofErr w:type="spellStart"/>
      <w:r>
        <w:t>multidominio</w:t>
      </w:r>
      <w:proofErr w:type="spellEnd"/>
      <w:r>
        <w:t xml:space="preserve"> che la riforma genera. Essa non produce direttamente quei benefici, ma costruisce la competenza che consente allo Psicologo di Base di produrli, e in questa funzione attraversa l’intero perimetro multidisciplinare integrale, direttamente per i domini formativo, accademico, lavorativo e culturale, e indirettamente per tutti gli altri. È questa funzione di condizione abilitante a giustificare la collocazione della formazione tra la descrizione del modello e la sua valutazione economica, e a fondarne la natura di pilastro trasversale. Con la quinta parte, l’opera dispone dunque della trattazione completa della formazione, e può procedere alla parte successiva, che raccoglie e gradua le evidenze di efficacia del modello: le evidenze, cioè, dell’efficacia di quella pratica clinica, collaborativa e digitalmente potenziata che la competenza formata, oggetto di questa parte, rende possibile. La sesta parte muove da qui, dall’efficacia della pratica che la formazione costruisce, per documentarne il fondamento empirico e la trasferibilità al contesto pugliese.</w:t>
      </w:r>
    </w:p>
    <w:p w14:paraId="32ECE60C" w14:textId="77777777" w:rsidR="007C4598" w:rsidRDefault="007C4598"/>
    <w:p w14:paraId="454233F9" w14:textId="77777777" w:rsidR="007C4598" w:rsidRDefault="00000000">
      <w:pPr>
        <w:pStyle w:val="Titolo1"/>
        <w:pageBreakBefore/>
      </w:pPr>
      <w:r>
        <w:rPr>
          <w:sz w:val="22"/>
          <w:szCs w:val="22"/>
        </w:rPr>
        <w:t>Note Bibliografiche Integrali</w:t>
      </w:r>
    </w:p>
    <w:p w14:paraId="17D0BA97" w14:textId="77777777" w:rsidR="007C4598" w:rsidRDefault="007C4598"/>
    <w:p w14:paraId="3D92F23F" w14:textId="77777777" w:rsidR="007C4598" w:rsidRDefault="00000000">
      <w:pPr>
        <w:jc w:val="both"/>
      </w:pPr>
      <w:r>
        <w:rPr>
          <w:i/>
          <w:iCs/>
        </w:rPr>
        <w:t>Le note che seguono raccolgono in forma integrale i riferimenti richiamati a piè di pagina nella quinta parte. Ciascuna nota riporta l’autore e l’opera, il collegamento alla fonte e un mini-riassunto che ne dichiara la funzione nell’economia dell’opera, in coerenza con il doppio livello — nota a piè di pagina nel corpo e nota bibliografica integrale in calce — che lo studio adotta.</w:t>
      </w:r>
    </w:p>
    <w:p w14:paraId="496427FD" w14:textId="77777777" w:rsidR="007C4598" w:rsidRDefault="007C4598"/>
    <w:p w14:paraId="225EEB3B" w14:textId="77777777" w:rsidR="007C4598" w:rsidRDefault="00000000">
      <w:pPr>
        <w:jc w:val="both"/>
      </w:pPr>
      <w:r>
        <w:rPr>
          <w:b/>
          <w:bCs/>
        </w:rPr>
        <w:t xml:space="preserve">1.  </w:t>
      </w:r>
      <w:proofErr w:type="spellStart"/>
      <w:r>
        <w:rPr>
          <w:b/>
          <w:bCs/>
        </w:rPr>
        <w:t>Kirkpatrick</w:t>
      </w:r>
      <w:proofErr w:type="spellEnd"/>
      <w:r>
        <w:rPr>
          <w:b/>
          <w:bCs/>
        </w:rPr>
        <w:t xml:space="preserve"> D. L., </w:t>
      </w:r>
      <w:proofErr w:type="spellStart"/>
      <w:r>
        <w:rPr>
          <w:b/>
          <w:bCs/>
        </w:rPr>
        <w:t>Kirkpatrick</w:t>
      </w:r>
      <w:proofErr w:type="spellEnd"/>
      <w:r>
        <w:rPr>
          <w:b/>
          <w:bCs/>
        </w:rPr>
        <w:t xml:space="preserve"> J. D., </w:t>
      </w:r>
      <w:proofErr w:type="spellStart"/>
      <w:r>
        <w:rPr>
          <w:b/>
          <w:bCs/>
        </w:rPr>
        <w:t>Evaluating</w:t>
      </w:r>
      <w:proofErr w:type="spellEnd"/>
      <w:r>
        <w:rPr>
          <w:b/>
          <w:bCs/>
        </w:rPr>
        <w:t xml:space="preserve"> Training Programs: The </w:t>
      </w:r>
      <w:proofErr w:type="spellStart"/>
      <w:r>
        <w:rPr>
          <w:b/>
          <w:bCs/>
        </w:rPr>
        <w:t>Four</w:t>
      </w:r>
      <w:proofErr w:type="spellEnd"/>
      <w:r>
        <w:rPr>
          <w:b/>
          <w:bCs/>
        </w:rPr>
        <w:t xml:space="preserve"> </w:t>
      </w:r>
      <w:proofErr w:type="spellStart"/>
      <w:r>
        <w:rPr>
          <w:b/>
          <w:bCs/>
        </w:rPr>
        <w:t>Levels</w:t>
      </w:r>
      <w:proofErr w:type="spellEnd"/>
      <w:r>
        <w:rPr>
          <w:b/>
          <w:bCs/>
        </w:rPr>
        <w:t xml:space="preserve">, 2006  </w:t>
      </w:r>
      <w:r>
        <w:t xml:space="preserve">—  [https://www.kirkpatrickpartners.com/the-kirkpatrick-model/](https://www.kirkpatrickpartners.com/the-kirkpatrick-model/)  —  </w:t>
      </w:r>
      <w:r>
        <w:rPr>
          <w:i/>
          <w:iCs/>
        </w:rPr>
        <w:t>Modello classico di valutazione della formazione su quattro livelli — reazione, apprendimento, comportamento, risultati — che fornisce la cornice con cui l’opera misura il rendimento di ciascuna modalità formativa.</w:t>
      </w:r>
    </w:p>
    <w:p w14:paraId="2E72F380" w14:textId="77777777" w:rsidR="007C4598" w:rsidRDefault="007C4598"/>
    <w:p w14:paraId="0AF450C4" w14:textId="77777777" w:rsidR="007C4598" w:rsidRDefault="00000000">
      <w:pPr>
        <w:jc w:val="both"/>
      </w:pPr>
      <w:r>
        <w:rPr>
          <w:b/>
          <w:bCs/>
        </w:rPr>
        <w:t xml:space="preserve">2.  Phillips J. J., Return on </w:t>
      </w:r>
      <w:proofErr w:type="spellStart"/>
      <w:r>
        <w:rPr>
          <w:b/>
          <w:bCs/>
        </w:rPr>
        <w:t>Investment</w:t>
      </w:r>
      <w:proofErr w:type="spellEnd"/>
      <w:r>
        <w:rPr>
          <w:b/>
          <w:bCs/>
        </w:rPr>
        <w:t xml:space="preserve"> in Training and Performance </w:t>
      </w:r>
      <w:proofErr w:type="spellStart"/>
      <w:r>
        <w:rPr>
          <w:b/>
          <w:bCs/>
        </w:rPr>
        <w:t>Improvement</w:t>
      </w:r>
      <w:proofErr w:type="spellEnd"/>
      <w:r>
        <w:rPr>
          <w:b/>
          <w:bCs/>
        </w:rPr>
        <w:t xml:space="preserve"> Programs, 2003  </w:t>
      </w:r>
      <w:r>
        <w:t xml:space="preserve">—  [https://roiinstitute.net/](https://roiinstitute.net/)  —  </w:t>
      </w:r>
      <w:r>
        <w:rPr>
          <w:i/>
          <w:iCs/>
        </w:rPr>
        <w:t xml:space="preserve">Estende il modello di </w:t>
      </w:r>
      <w:proofErr w:type="spellStart"/>
      <w:r>
        <w:rPr>
          <w:i/>
          <w:iCs/>
        </w:rPr>
        <w:t>Kirkpatrick</w:t>
      </w:r>
      <w:proofErr w:type="spellEnd"/>
      <w:r>
        <w:rPr>
          <w:i/>
          <w:iCs/>
        </w:rPr>
        <w:t xml:space="preserve"> con un quinto livello che converte i risultati in rendimento monetario, consentendo il confronto costo-efficacia tra le modalità singole e la loro combinazione.</w:t>
      </w:r>
    </w:p>
    <w:p w14:paraId="59CB2BD2" w14:textId="77777777" w:rsidR="007C4598" w:rsidRDefault="007C4598"/>
    <w:p w14:paraId="625CEF1A" w14:textId="77777777" w:rsidR="007C4598" w:rsidRDefault="00000000">
      <w:pPr>
        <w:jc w:val="both"/>
      </w:pPr>
      <w:r>
        <w:rPr>
          <w:b/>
          <w:bCs/>
        </w:rPr>
        <w:t xml:space="preserve">3.  </w:t>
      </w:r>
      <w:proofErr w:type="spellStart"/>
      <w:r>
        <w:rPr>
          <w:b/>
          <w:bCs/>
        </w:rPr>
        <w:t>Chisholm</w:t>
      </w:r>
      <w:proofErr w:type="spellEnd"/>
      <w:r>
        <w:rPr>
          <w:b/>
          <w:bCs/>
        </w:rPr>
        <w:t xml:space="preserve"> D. et al., </w:t>
      </w:r>
      <w:proofErr w:type="spellStart"/>
      <w:r>
        <w:rPr>
          <w:b/>
          <w:bCs/>
        </w:rPr>
        <w:t>Scaling</w:t>
      </w:r>
      <w:proofErr w:type="spellEnd"/>
      <w:r>
        <w:rPr>
          <w:b/>
          <w:bCs/>
        </w:rPr>
        <w:t xml:space="preserve">-up treatment of </w:t>
      </w:r>
      <w:proofErr w:type="spellStart"/>
      <w:r>
        <w:rPr>
          <w:b/>
          <w:bCs/>
        </w:rPr>
        <w:t>depression</w:t>
      </w:r>
      <w:proofErr w:type="spellEnd"/>
      <w:r>
        <w:rPr>
          <w:b/>
          <w:bCs/>
        </w:rPr>
        <w:t xml:space="preserve"> and </w:t>
      </w:r>
      <w:proofErr w:type="spellStart"/>
      <w:r>
        <w:rPr>
          <w:b/>
          <w:bCs/>
        </w:rPr>
        <w:t>anxiety</w:t>
      </w:r>
      <w:proofErr w:type="spellEnd"/>
      <w:r>
        <w:rPr>
          <w:b/>
          <w:bCs/>
        </w:rPr>
        <w:t xml:space="preserve">: a global </w:t>
      </w:r>
      <w:proofErr w:type="spellStart"/>
      <w:r>
        <w:rPr>
          <w:b/>
          <w:bCs/>
        </w:rPr>
        <w:t>return</w:t>
      </w:r>
      <w:proofErr w:type="spellEnd"/>
      <w:r>
        <w:rPr>
          <w:b/>
          <w:bCs/>
        </w:rPr>
        <w:t xml:space="preserve"> on </w:t>
      </w:r>
      <w:proofErr w:type="spellStart"/>
      <w:r>
        <w:rPr>
          <w:b/>
          <w:bCs/>
        </w:rPr>
        <w:t>investment</w:t>
      </w:r>
      <w:proofErr w:type="spellEnd"/>
      <w:r>
        <w:rPr>
          <w:b/>
          <w:bCs/>
        </w:rPr>
        <w:t xml:space="preserve"> </w:t>
      </w:r>
      <w:proofErr w:type="spellStart"/>
      <w:r>
        <w:rPr>
          <w:b/>
          <w:bCs/>
        </w:rPr>
        <w:t>analysis</w:t>
      </w:r>
      <w:proofErr w:type="spellEnd"/>
      <w:r>
        <w:rPr>
          <w:b/>
          <w:bCs/>
        </w:rPr>
        <w:t xml:space="preserve">, The Lancet </w:t>
      </w:r>
      <w:proofErr w:type="spellStart"/>
      <w:r>
        <w:rPr>
          <w:b/>
          <w:bCs/>
        </w:rPr>
        <w:t>Psychiatry</w:t>
      </w:r>
      <w:proofErr w:type="spellEnd"/>
      <w:r>
        <w:rPr>
          <w:b/>
          <w:bCs/>
        </w:rPr>
        <w:t xml:space="preserve">, 2016  </w:t>
      </w:r>
      <w:r>
        <w:t xml:space="preserve">—  [https://doi.org/10.1016/S2215-0366(16)30024-4](https://doi.org/10.1016/S2215-0366(16)30024-4)  —  </w:t>
      </w:r>
      <w:r>
        <w:rPr>
          <w:i/>
          <w:iCs/>
        </w:rPr>
        <w:t>Ancora invariante dell’opera: il ritorno degli investimenti in salute mentale è contenuto tra 2,3 e 3,0 a 1 per i soli benefici economici e tra 3,3 e 5,7 a 1 con i ritorni in salute.</w:t>
      </w:r>
    </w:p>
    <w:p w14:paraId="224DB427" w14:textId="77777777" w:rsidR="007C4598" w:rsidRDefault="007C4598"/>
    <w:p w14:paraId="1A0511BD" w14:textId="77777777" w:rsidR="007C4598" w:rsidRDefault="00000000">
      <w:pPr>
        <w:jc w:val="both"/>
      </w:pPr>
      <w:r>
        <w:rPr>
          <w:b/>
          <w:bCs/>
        </w:rPr>
        <w:t xml:space="preserve">4.  </w:t>
      </w:r>
      <w:proofErr w:type="spellStart"/>
      <w:r>
        <w:rPr>
          <w:b/>
          <w:bCs/>
        </w:rPr>
        <w:t>Unützer</w:t>
      </w:r>
      <w:proofErr w:type="spellEnd"/>
      <w:r>
        <w:rPr>
          <w:b/>
          <w:bCs/>
        </w:rPr>
        <w:t xml:space="preserve"> J. et al., Collaborative care management of late-life </w:t>
      </w:r>
      <w:proofErr w:type="spellStart"/>
      <w:r>
        <w:rPr>
          <w:b/>
          <w:bCs/>
        </w:rPr>
        <w:t>depression</w:t>
      </w:r>
      <w:proofErr w:type="spellEnd"/>
      <w:r>
        <w:rPr>
          <w:b/>
          <w:bCs/>
        </w:rPr>
        <w:t xml:space="preserve"> (IMPACT), JAMA, 2002  </w:t>
      </w:r>
      <w:r>
        <w:t xml:space="preserve">—  [https://doi.org/10.1001/jama.288.22.2836](https://doi.org/10.1001/jama.288.22.2836)  —  </w:t>
      </w:r>
      <w:r>
        <w:rPr>
          <w:i/>
          <w:iCs/>
        </w:rPr>
        <w:t xml:space="preserve">Da cui discende il </w:t>
      </w:r>
      <w:proofErr w:type="spellStart"/>
      <w:r>
        <w:rPr>
          <w:i/>
          <w:iCs/>
        </w:rPr>
        <w:t>caveat</w:t>
      </w:r>
      <w:proofErr w:type="spellEnd"/>
      <w:r>
        <w:rPr>
          <w:i/>
          <w:iCs/>
        </w:rPr>
        <w:t xml:space="preserve"> preservato dall’opera: la riduzione diretta dei costi sanitari non raggiunge la significatività statistica, e il risparmio fiscale resta distinto dal beneficio sociale.</w:t>
      </w:r>
    </w:p>
    <w:p w14:paraId="4F8643C5" w14:textId="77777777" w:rsidR="007C4598" w:rsidRDefault="007C4598"/>
    <w:p w14:paraId="6CE2BAAD" w14:textId="77777777" w:rsidR="007C4598" w:rsidRDefault="00000000">
      <w:pPr>
        <w:jc w:val="both"/>
      </w:pPr>
      <w:r>
        <w:rPr>
          <w:b/>
          <w:bCs/>
        </w:rPr>
        <w:t xml:space="preserve">5.  </w:t>
      </w:r>
      <w:proofErr w:type="spellStart"/>
      <w:r>
        <w:rPr>
          <w:b/>
          <w:bCs/>
        </w:rPr>
        <w:t>Guyatt</w:t>
      </w:r>
      <w:proofErr w:type="spellEnd"/>
      <w:r>
        <w:rPr>
          <w:b/>
          <w:bCs/>
        </w:rPr>
        <w:t xml:space="preserve"> G. H. et al., GRADE: rating </w:t>
      </w:r>
      <w:proofErr w:type="spellStart"/>
      <w:r>
        <w:rPr>
          <w:b/>
          <w:bCs/>
        </w:rPr>
        <w:t>quality</w:t>
      </w:r>
      <w:proofErr w:type="spellEnd"/>
      <w:r>
        <w:rPr>
          <w:b/>
          <w:bCs/>
        </w:rPr>
        <w:t xml:space="preserve"> of </w:t>
      </w:r>
      <w:proofErr w:type="spellStart"/>
      <w:r>
        <w:rPr>
          <w:b/>
          <w:bCs/>
        </w:rPr>
        <w:t>evidence</w:t>
      </w:r>
      <w:proofErr w:type="spellEnd"/>
      <w:r>
        <w:rPr>
          <w:b/>
          <w:bCs/>
        </w:rPr>
        <w:t xml:space="preserve"> and </w:t>
      </w:r>
      <w:proofErr w:type="spellStart"/>
      <w:r>
        <w:rPr>
          <w:b/>
          <w:bCs/>
        </w:rPr>
        <w:t>strength</w:t>
      </w:r>
      <w:proofErr w:type="spellEnd"/>
      <w:r>
        <w:rPr>
          <w:b/>
          <w:bCs/>
        </w:rPr>
        <w:t xml:space="preserve"> of </w:t>
      </w:r>
      <w:proofErr w:type="spellStart"/>
      <w:r>
        <w:rPr>
          <w:b/>
          <w:bCs/>
        </w:rPr>
        <w:t>recommendations</w:t>
      </w:r>
      <w:proofErr w:type="spellEnd"/>
      <w:r>
        <w:rPr>
          <w:b/>
          <w:bCs/>
        </w:rPr>
        <w:t xml:space="preserve">, BMJ, 2008  </w:t>
      </w:r>
      <w:r>
        <w:t xml:space="preserve">—  [https://doi.org/10.1136/bmj.39489.470347.AD](https://doi.org/10.1136/bmj.39489.470347.AD)  —  </w:t>
      </w:r>
      <w:r>
        <w:rPr>
          <w:i/>
          <w:iCs/>
        </w:rPr>
        <w:t>Sistema di graduazione della qualità delle prove applicato con il medesimo rigore alle affermazioni cliniche e a quelle relative all’Intelligenza Artificiale, incluse le competenze formative dedicate al suo uso.</w:t>
      </w:r>
    </w:p>
    <w:p w14:paraId="51205E15" w14:textId="77777777" w:rsidR="007C4598" w:rsidRDefault="007C4598"/>
    <w:p w14:paraId="61C6205F" w14:textId="77777777" w:rsidR="007C4598" w:rsidRDefault="00000000">
      <w:pPr>
        <w:jc w:val="both"/>
      </w:pPr>
      <w:r>
        <w:rPr>
          <w:b/>
          <w:bCs/>
        </w:rPr>
        <w:t xml:space="preserve">6.  Organizzazione Mondiale della Sanità, </w:t>
      </w:r>
      <w:proofErr w:type="spellStart"/>
      <w:r>
        <w:rPr>
          <w:b/>
          <w:bCs/>
        </w:rPr>
        <w:t>mhGAP</w:t>
      </w:r>
      <w:proofErr w:type="spellEnd"/>
      <w:r>
        <w:rPr>
          <w:b/>
          <w:bCs/>
        </w:rPr>
        <w:t xml:space="preserve"> </w:t>
      </w:r>
      <w:proofErr w:type="spellStart"/>
      <w:r>
        <w:rPr>
          <w:b/>
          <w:bCs/>
        </w:rPr>
        <w:t>Intervention</w:t>
      </w:r>
      <w:proofErr w:type="spellEnd"/>
      <w:r>
        <w:rPr>
          <w:b/>
          <w:bCs/>
        </w:rPr>
        <w:t xml:space="preserve"> Guide, v. 2.0, 2016  </w:t>
      </w:r>
      <w:r>
        <w:t xml:space="preserve">—  [https://www.who.int/publications/i/item/9789241549790](https://www.who.int/publications/i/item/9789241549790)  —  </w:t>
      </w:r>
      <w:r>
        <w:rPr>
          <w:i/>
          <w:iCs/>
        </w:rPr>
        <w:t>Riferimento internazionale per le competenze di intercettazione, valutazione e intervento a bassa intensità nelle cure primarie, assunto come base del fabbisogno clinico.</w:t>
      </w:r>
    </w:p>
    <w:p w14:paraId="08D4C710" w14:textId="77777777" w:rsidR="007C4598" w:rsidRDefault="007C4598"/>
    <w:p w14:paraId="65E56F87" w14:textId="77777777" w:rsidR="007C4598" w:rsidRDefault="00000000">
      <w:pPr>
        <w:jc w:val="both"/>
      </w:pPr>
      <w:r>
        <w:rPr>
          <w:b/>
          <w:bCs/>
        </w:rPr>
        <w:t xml:space="preserve">7.  </w:t>
      </w:r>
      <w:proofErr w:type="spellStart"/>
      <w:r>
        <w:rPr>
          <w:b/>
          <w:bCs/>
        </w:rPr>
        <w:t>Health</w:t>
      </w:r>
      <w:proofErr w:type="spellEnd"/>
      <w:r>
        <w:rPr>
          <w:b/>
          <w:bCs/>
        </w:rPr>
        <w:t xml:space="preserve"> </w:t>
      </w:r>
      <w:proofErr w:type="spellStart"/>
      <w:r>
        <w:rPr>
          <w:b/>
          <w:bCs/>
        </w:rPr>
        <w:t>Education</w:t>
      </w:r>
      <w:proofErr w:type="spellEnd"/>
      <w:r>
        <w:rPr>
          <w:b/>
          <w:bCs/>
        </w:rPr>
        <w:t xml:space="preserve"> </w:t>
      </w:r>
      <w:proofErr w:type="spellStart"/>
      <w:r>
        <w:rPr>
          <w:b/>
          <w:bCs/>
        </w:rPr>
        <w:t>England</w:t>
      </w:r>
      <w:proofErr w:type="spellEnd"/>
      <w:r>
        <w:rPr>
          <w:b/>
          <w:bCs/>
        </w:rPr>
        <w:t xml:space="preserve">, The </w:t>
      </w:r>
      <w:proofErr w:type="spellStart"/>
      <w:r>
        <w:rPr>
          <w:b/>
          <w:bCs/>
        </w:rPr>
        <w:t>Topol</w:t>
      </w:r>
      <w:proofErr w:type="spellEnd"/>
      <w:r>
        <w:rPr>
          <w:b/>
          <w:bCs/>
        </w:rPr>
        <w:t xml:space="preserve"> </w:t>
      </w:r>
      <w:proofErr w:type="spellStart"/>
      <w:r>
        <w:rPr>
          <w:b/>
          <w:bCs/>
        </w:rPr>
        <w:t>Review</w:t>
      </w:r>
      <w:proofErr w:type="spellEnd"/>
      <w:r>
        <w:rPr>
          <w:b/>
          <w:bCs/>
        </w:rPr>
        <w:t xml:space="preserve">, 2019  </w:t>
      </w:r>
      <w:r>
        <w:t xml:space="preserve">—  [https://topol.hee.nhs.uk/](https://topol.hee.nhs.uk/)  —  </w:t>
      </w:r>
      <w:r>
        <w:rPr>
          <w:i/>
          <w:iCs/>
        </w:rPr>
        <w:t>Documento di riferimento sulle competenze digitali del personale sanitario — dati, telemedicina, intelligenza artificiale — e sulla loro integrazione nei percorsi formativi.</w:t>
      </w:r>
    </w:p>
    <w:p w14:paraId="2DF46928" w14:textId="77777777" w:rsidR="007C4598" w:rsidRDefault="007C4598"/>
    <w:p w14:paraId="1472F894" w14:textId="77777777" w:rsidR="007C4598" w:rsidRDefault="00000000">
      <w:pPr>
        <w:jc w:val="both"/>
      </w:pPr>
      <w:r>
        <w:rPr>
          <w:b/>
          <w:bCs/>
        </w:rPr>
        <w:t xml:space="preserve">8.  EFPA, </w:t>
      </w:r>
      <w:proofErr w:type="spellStart"/>
      <w:r>
        <w:rPr>
          <w:b/>
          <w:bCs/>
        </w:rPr>
        <w:t>EuroPsy</w:t>
      </w:r>
      <w:proofErr w:type="spellEnd"/>
      <w:r>
        <w:rPr>
          <w:b/>
          <w:bCs/>
        </w:rPr>
        <w:t xml:space="preserve">. </w:t>
      </w:r>
      <w:proofErr w:type="spellStart"/>
      <w:r>
        <w:rPr>
          <w:b/>
          <w:bCs/>
        </w:rPr>
        <w:t>European</w:t>
      </w:r>
      <w:proofErr w:type="spellEnd"/>
      <w:r>
        <w:rPr>
          <w:b/>
          <w:bCs/>
        </w:rPr>
        <w:t xml:space="preserve"> Certificate in </w:t>
      </w:r>
      <w:proofErr w:type="spellStart"/>
      <w:r>
        <w:rPr>
          <w:b/>
          <w:bCs/>
        </w:rPr>
        <w:t>Psychology</w:t>
      </w:r>
      <w:proofErr w:type="spellEnd"/>
      <w:r>
        <w:rPr>
          <w:b/>
          <w:bCs/>
        </w:rPr>
        <w:t xml:space="preserve">. </w:t>
      </w:r>
      <w:proofErr w:type="spellStart"/>
      <w:r>
        <w:rPr>
          <w:b/>
          <w:bCs/>
        </w:rPr>
        <w:t>Regulations</w:t>
      </w:r>
      <w:proofErr w:type="spellEnd"/>
      <w:r>
        <w:rPr>
          <w:b/>
          <w:bCs/>
        </w:rPr>
        <w:t xml:space="preserve"> and </w:t>
      </w:r>
      <w:proofErr w:type="spellStart"/>
      <w:r>
        <w:rPr>
          <w:b/>
          <w:bCs/>
        </w:rPr>
        <w:t>Standards</w:t>
      </w:r>
      <w:proofErr w:type="spellEnd"/>
      <w:r>
        <w:rPr>
          <w:b/>
          <w:bCs/>
        </w:rPr>
        <w:t xml:space="preserve">  </w:t>
      </w:r>
      <w:r>
        <w:t xml:space="preserve">—  [https://www.europsy.eu/](https://www.europsy.eu/)  —  </w:t>
      </w:r>
      <w:r>
        <w:rPr>
          <w:i/>
          <w:iCs/>
        </w:rPr>
        <w:t>Standard europeo che definisce i livelli minimi di competenza e la struttura del percorso accademico e professionale dello psicologo, assunto come cornice della formazione universitaria.</w:t>
      </w:r>
    </w:p>
    <w:p w14:paraId="19B6FF77" w14:textId="77777777" w:rsidR="007C4598" w:rsidRDefault="007C4598"/>
    <w:p w14:paraId="1C732677" w14:textId="77777777" w:rsidR="007C4598" w:rsidRDefault="00000000">
      <w:pPr>
        <w:jc w:val="both"/>
      </w:pPr>
      <w:r>
        <w:rPr>
          <w:b/>
          <w:bCs/>
        </w:rPr>
        <w:t xml:space="preserve">9.  Legge 8 novembre 2021, n. 163, sui titoli universitari abilitanti  </w:t>
      </w:r>
      <w:r>
        <w:t xml:space="preserve">—  [https://www.gazzettaufficiale.it/eli/id/2021/11/19/21G00175/sg](https://www.gazzettaufficiale.it/eli/id/2021/11/19/21G00175/sg)  —  </w:t>
      </w:r>
      <w:r>
        <w:rPr>
          <w:i/>
          <w:iCs/>
        </w:rPr>
        <w:t>Ha reso la laurea magistrale in Psicologia (LM-51) titolo abilitante, con tirocinio interno al corso e prova pratica valutativa contestuale al conseguimento del titolo.</w:t>
      </w:r>
    </w:p>
    <w:p w14:paraId="0897597B" w14:textId="77777777" w:rsidR="007C4598" w:rsidRDefault="007C4598"/>
    <w:p w14:paraId="31508AA4" w14:textId="77777777" w:rsidR="007C4598" w:rsidRDefault="00000000">
      <w:pPr>
        <w:jc w:val="both"/>
      </w:pPr>
      <w:r>
        <w:rPr>
          <w:b/>
          <w:bCs/>
        </w:rPr>
        <w:t xml:space="preserve">10.  Legge regionale Puglia 19 luglio 2023, n. 11, sul Servizio di Psicologia di Base  </w:t>
      </w:r>
      <w:r>
        <w:t xml:space="preserve">—  [https://www.consiglio.puglia.it/](https://www.consiglio.puglia.it/)  —  </w:t>
      </w:r>
      <w:r>
        <w:rPr>
          <w:i/>
          <w:iCs/>
        </w:rPr>
        <w:t>Base giuridica della riforma e riferimento per il dimensionamento del fabbisogno formativo del personale del Servizio di Psicologia di Base.</w:t>
      </w:r>
    </w:p>
    <w:p w14:paraId="79E38FF0" w14:textId="77777777" w:rsidR="007C4598" w:rsidRDefault="007C4598"/>
    <w:p w14:paraId="2A15ECA4" w14:textId="77777777" w:rsidR="007C4598" w:rsidRDefault="00000000">
      <w:pPr>
        <w:jc w:val="both"/>
      </w:pPr>
      <w:r>
        <w:rPr>
          <w:b/>
          <w:bCs/>
        </w:rPr>
        <w:t xml:space="preserve">11.  Programma nazionale per la formazione continua in medicina (ECM), </w:t>
      </w:r>
      <w:proofErr w:type="spellStart"/>
      <w:r>
        <w:rPr>
          <w:b/>
          <w:bCs/>
        </w:rPr>
        <w:t>Agenas</w:t>
      </w:r>
      <w:proofErr w:type="spellEnd"/>
      <w:r>
        <w:rPr>
          <w:b/>
          <w:bCs/>
        </w:rPr>
        <w:t xml:space="preserve"> — </w:t>
      </w:r>
      <w:proofErr w:type="spellStart"/>
      <w:r>
        <w:rPr>
          <w:b/>
          <w:bCs/>
        </w:rPr>
        <w:t>Co.Ge.A.P.S</w:t>
      </w:r>
      <w:proofErr w:type="spellEnd"/>
      <w:r>
        <w:rPr>
          <w:b/>
          <w:bCs/>
        </w:rPr>
        <w:t xml:space="preserve">.  </w:t>
      </w:r>
      <w:r>
        <w:t xml:space="preserve">—  [https://www.agenas.gov.it/aree-tematiche/ecm](https://www.agenas.gov.it/aree-tematiche/ecm)  —  </w:t>
      </w:r>
      <w:r>
        <w:rPr>
          <w:i/>
          <w:iCs/>
        </w:rPr>
        <w:t>Sistema che impone agli esercenti le professioni sanitarie un debito formativo triennale presso provider accreditati; principale canale dell’aggiornamento continuo delle competenze.</w:t>
      </w:r>
    </w:p>
    <w:p w14:paraId="26240C32" w14:textId="77777777" w:rsidR="007C4598" w:rsidRDefault="007C4598"/>
    <w:p w14:paraId="4FF4B1FB" w14:textId="77777777" w:rsidR="007C4598" w:rsidRDefault="00000000">
      <w:pPr>
        <w:jc w:val="both"/>
      </w:pPr>
      <w:r>
        <w:rPr>
          <w:b/>
          <w:bCs/>
        </w:rPr>
        <w:t xml:space="preserve">12.  Legge 18 febbraio 1989, n. 56, ordinamento della professione di psicologo  </w:t>
      </w:r>
      <w:r>
        <w:t xml:space="preserve">—  [https://www.normattiva.it/uri-res/N2Ls?urn:nir:stato:legge:1989-02-18;56](https://www.normattiva.it/uri-res/N2Ls?urn:nir:stato:legge:1989-02-18;56)  —  </w:t>
      </w:r>
      <w:r>
        <w:rPr>
          <w:i/>
          <w:iCs/>
        </w:rPr>
        <w:t>Disciplina, fra l’altro, l’attività psicoterapeutica subordinandola alla formazione presso scuole di specializzazione o di psicoterapia riconosciute; riferimento della specializzazione post-universitaria.</w:t>
      </w:r>
    </w:p>
    <w:p w14:paraId="795CBF86" w14:textId="77777777" w:rsidR="007C4598" w:rsidRDefault="007C4598"/>
    <w:p w14:paraId="762C739C" w14:textId="77777777" w:rsidR="007C4598" w:rsidRDefault="00000000">
      <w:pPr>
        <w:jc w:val="both"/>
      </w:pPr>
      <w:r>
        <w:rPr>
          <w:b/>
          <w:bCs/>
        </w:rPr>
        <w:t xml:space="preserve">13.  Lombardo M. M., </w:t>
      </w:r>
      <w:proofErr w:type="spellStart"/>
      <w:r>
        <w:rPr>
          <w:b/>
          <w:bCs/>
        </w:rPr>
        <w:t>Eichinger</w:t>
      </w:r>
      <w:proofErr w:type="spellEnd"/>
      <w:r>
        <w:rPr>
          <w:b/>
          <w:bCs/>
        </w:rPr>
        <w:t xml:space="preserve"> R. W., The Career Architect Development Planner, 1996  </w:t>
      </w:r>
      <w:r>
        <w:t xml:space="preserve">—  [https://www.ccl.org/](https://www.ccl.org/)  —  </w:t>
      </w:r>
      <w:r>
        <w:rPr>
          <w:i/>
          <w:iCs/>
        </w:rPr>
        <w:t>Origine del modello 70-20-10, secondo cui lo sviluppo delle competenze deriva in misura prevalente dall’esperienza sul posto di lavoro; proporzioni assunte come regolarità indicativa, non come legge universale.</w:t>
      </w:r>
    </w:p>
    <w:p w14:paraId="225C1226" w14:textId="77777777" w:rsidR="007C4598" w:rsidRDefault="007C4598"/>
    <w:p w14:paraId="4130F3A0" w14:textId="77777777" w:rsidR="007C4598" w:rsidRDefault="00000000">
      <w:pPr>
        <w:jc w:val="both"/>
      </w:pPr>
      <w:r>
        <w:rPr>
          <w:b/>
          <w:bCs/>
        </w:rPr>
        <w:t xml:space="preserve">14.  </w:t>
      </w:r>
      <w:proofErr w:type="spellStart"/>
      <w:r>
        <w:rPr>
          <w:b/>
          <w:bCs/>
        </w:rPr>
        <w:t>Ivers</w:t>
      </w:r>
      <w:proofErr w:type="spellEnd"/>
      <w:r>
        <w:rPr>
          <w:b/>
          <w:bCs/>
        </w:rPr>
        <w:t xml:space="preserve"> N. et al., Audit and feedback: </w:t>
      </w:r>
      <w:proofErr w:type="spellStart"/>
      <w:r>
        <w:rPr>
          <w:b/>
          <w:bCs/>
        </w:rPr>
        <w:t>effects</w:t>
      </w:r>
      <w:proofErr w:type="spellEnd"/>
      <w:r>
        <w:rPr>
          <w:b/>
          <w:bCs/>
        </w:rPr>
        <w:t xml:space="preserve"> on </w:t>
      </w:r>
      <w:proofErr w:type="spellStart"/>
      <w:r>
        <w:rPr>
          <w:b/>
          <w:bCs/>
        </w:rPr>
        <w:t>professional</w:t>
      </w:r>
      <w:proofErr w:type="spellEnd"/>
      <w:r>
        <w:rPr>
          <w:b/>
          <w:bCs/>
        </w:rPr>
        <w:t xml:space="preserve"> </w:t>
      </w:r>
      <w:proofErr w:type="spellStart"/>
      <w:r>
        <w:rPr>
          <w:b/>
          <w:bCs/>
        </w:rPr>
        <w:t>practice</w:t>
      </w:r>
      <w:proofErr w:type="spellEnd"/>
      <w:r>
        <w:rPr>
          <w:b/>
          <w:bCs/>
        </w:rPr>
        <w:t xml:space="preserve">, </w:t>
      </w:r>
      <w:proofErr w:type="spellStart"/>
      <w:r>
        <w:rPr>
          <w:b/>
          <w:bCs/>
        </w:rPr>
        <w:t>Cochrane</w:t>
      </w:r>
      <w:proofErr w:type="spellEnd"/>
      <w:r>
        <w:rPr>
          <w:b/>
          <w:bCs/>
        </w:rPr>
        <w:t xml:space="preserve">, 2012  </w:t>
      </w:r>
      <w:r>
        <w:t xml:space="preserve">—  [https://doi.org/10.1002/14651858.CD000259.pub3](https://doi.org/10.1002/14651858.CD000259.pub3)  —  </w:t>
      </w:r>
      <w:r>
        <w:rPr>
          <w:i/>
          <w:iCs/>
        </w:rPr>
        <w:t>Revisione sistematica che documenta l’effetto, modesto ma reale, della misurazione della pratica rispetto a uno standard e della restituzione del risultato al professionista, come meccanismo di apprendimento sul posto di lavoro.</w:t>
      </w:r>
    </w:p>
    <w:p w14:paraId="0DFF2755" w14:textId="77777777" w:rsidR="007C4598" w:rsidRDefault="007C4598"/>
    <w:p w14:paraId="10949211" w14:textId="77777777" w:rsidR="007C4598" w:rsidRDefault="00000000">
      <w:pPr>
        <w:jc w:val="both"/>
      </w:pPr>
      <w:r>
        <w:rPr>
          <w:b/>
          <w:bCs/>
        </w:rPr>
        <w:t xml:space="preserve">15.  </w:t>
      </w:r>
      <w:proofErr w:type="spellStart"/>
      <w:r>
        <w:rPr>
          <w:b/>
          <w:bCs/>
        </w:rPr>
        <w:t>Wenger</w:t>
      </w:r>
      <w:proofErr w:type="spellEnd"/>
      <w:r>
        <w:rPr>
          <w:b/>
          <w:bCs/>
        </w:rPr>
        <w:t xml:space="preserve"> E., </w:t>
      </w:r>
      <w:proofErr w:type="spellStart"/>
      <w:r>
        <w:rPr>
          <w:b/>
          <w:bCs/>
        </w:rPr>
        <w:t>Communities</w:t>
      </w:r>
      <w:proofErr w:type="spellEnd"/>
      <w:r>
        <w:rPr>
          <w:b/>
          <w:bCs/>
        </w:rPr>
        <w:t xml:space="preserve"> of </w:t>
      </w:r>
      <w:proofErr w:type="spellStart"/>
      <w:r>
        <w:rPr>
          <w:b/>
          <w:bCs/>
        </w:rPr>
        <w:t>Practice</w:t>
      </w:r>
      <w:proofErr w:type="spellEnd"/>
      <w:r>
        <w:rPr>
          <w:b/>
          <w:bCs/>
        </w:rPr>
        <w:t xml:space="preserve">: Learning, </w:t>
      </w:r>
      <w:proofErr w:type="spellStart"/>
      <w:r>
        <w:rPr>
          <w:b/>
          <w:bCs/>
        </w:rPr>
        <w:t>Meaning</w:t>
      </w:r>
      <w:proofErr w:type="spellEnd"/>
      <w:r>
        <w:rPr>
          <w:b/>
          <w:bCs/>
        </w:rPr>
        <w:t xml:space="preserve">, and Identity, 1998  </w:t>
      </w:r>
      <w:r>
        <w:t xml:space="preserve">—  [https://www.cambridge.org/9780521663632](https://www.cambridge.org/9780521663632)  —  </w:t>
      </w:r>
      <w:r>
        <w:rPr>
          <w:i/>
          <w:iCs/>
        </w:rPr>
        <w:t>Riferimento teorico delle comunità di pratica come gruppi che condividono conoscenza in un dominio e ne fanno il veicolo di un apprendimento situato; assunto fra le forme della formazione lavorativa.</w:t>
      </w:r>
    </w:p>
    <w:p w14:paraId="2EB453C5" w14:textId="77777777" w:rsidR="007C4598" w:rsidRDefault="007C4598"/>
    <w:p w14:paraId="56FE6BE1" w14:textId="77777777" w:rsidR="007C4598" w:rsidRDefault="00000000">
      <w:pPr>
        <w:jc w:val="both"/>
      </w:pPr>
      <w:r>
        <w:rPr>
          <w:b/>
          <w:bCs/>
        </w:rPr>
        <w:t xml:space="preserve">16.  </w:t>
      </w:r>
      <w:proofErr w:type="spellStart"/>
      <w:r>
        <w:rPr>
          <w:b/>
          <w:bCs/>
        </w:rPr>
        <w:t>Milne</w:t>
      </w:r>
      <w:proofErr w:type="spellEnd"/>
      <w:r>
        <w:rPr>
          <w:b/>
          <w:bCs/>
        </w:rPr>
        <w:t xml:space="preserve"> D., </w:t>
      </w:r>
      <w:proofErr w:type="spellStart"/>
      <w:r>
        <w:rPr>
          <w:b/>
          <w:bCs/>
        </w:rPr>
        <w:t>Evidence-Based</w:t>
      </w:r>
      <w:proofErr w:type="spellEnd"/>
      <w:r>
        <w:rPr>
          <w:b/>
          <w:bCs/>
        </w:rPr>
        <w:t xml:space="preserve"> </w:t>
      </w:r>
      <w:proofErr w:type="spellStart"/>
      <w:r>
        <w:rPr>
          <w:b/>
          <w:bCs/>
        </w:rPr>
        <w:t>Clinical</w:t>
      </w:r>
      <w:proofErr w:type="spellEnd"/>
      <w:r>
        <w:rPr>
          <w:b/>
          <w:bCs/>
        </w:rPr>
        <w:t xml:space="preserve"> </w:t>
      </w:r>
      <w:proofErr w:type="spellStart"/>
      <w:r>
        <w:rPr>
          <w:b/>
          <w:bCs/>
        </w:rPr>
        <w:t>Supervision</w:t>
      </w:r>
      <w:proofErr w:type="spellEnd"/>
      <w:r>
        <w:rPr>
          <w:b/>
          <w:bCs/>
        </w:rPr>
        <w:t xml:space="preserve">: </w:t>
      </w:r>
      <w:proofErr w:type="spellStart"/>
      <w:r>
        <w:rPr>
          <w:b/>
          <w:bCs/>
        </w:rPr>
        <w:t>Principles</w:t>
      </w:r>
      <w:proofErr w:type="spellEnd"/>
      <w:r>
        <w:rPr>
          <w:b/>
          <w:bCs/>
        </w:rPr>
        <w:t xml:space="preserve"> and </w:t>
      </w:r>
      <w:proofErr w:type="spellStart"/>
      <w:r>
        <w:rPr>
          <w:b/>
          <w:bCs/>
        </w:rPr>
        <w:t>Practice</w:t>
      </w:r>
      <w:proofErr w:type="spellEnd"/>
      <w:r>
        <w:rPr>
          <w:b/>
          <w:bCs/>
        </w:rPr>
        <w:t xml:space="preserve">, 2009  </w:t>
      </w:r>
      <w:r>
        <w:t xml:space="preserve">—  [https://www.wiley.com/en-us/9781405158497](https://www.wiley.com/en-us/9781405158497)  —  </w:t>
      </w:r>
      <w:r>
        <w:rPr>
          <w:i/>
          <w:iCs/>
        </w:rPr>
        <w:t>Testo di riferimento sulla supervisione clinica come componente dello sviluppo professionale, di cui documenta l’efficacia sul miglioramento delle competenze e sulla qualità della pratica.</w:t>
      </w:r>
    </w:p>
    <w:p w14:paraId="797D833B" w14:textId="77777777" w:rsidR="007C4598" w:rsidRDefault="007C4598"/>
    <w:p w14:paraId="5F206F3C" w14:textId="77777777" w:rsidR="007C4598" w:rsidRDefault="00000000">
      <w:pPr>
        <w:jc w:val="both"/>
      </w:pPr>
      <w:r>
        <w:rPr>
          <w:b/>
          <w:bCs/>
        </w:rPr>
        <w:t xml:space="preserve">17.  </w:t>
      </w:r>
      <w:proofErr w:type="spellStart"/>
      <w:r>
        <w:rPr>
          <w:b/>
          <w:bCs/>
        </w:rPr>
        <w:t>Eby</w:t>
      </w:r>
      <w:proofErr w:type="spellEnd"/>
      <w:r>
        <w:rPr>
          <w:b/>
          <w:bCs/>
        </w:rPr>
        <w:t xml:space="preserve"> L. T. et al., </w:t>
      </w:r>
      <w:proofErr w:type="spellStart"/>
      <w:r>
        <w:rPr>
          <w:b/>
          <w:bCs/>
        </w:rPr>
        <w:t>Does</w:t>
      </w:r>
      <w:proofErr w:type="spellEnd"/>
      <w:r>
        <w:rPr>
          <w:b/>
          <w:bCs/>
        </w:rPr>
        <w:t xml:space="preserve"> </w:t>
      </w:r>
      <w:proofErr w:type="spellStart"/>
      <w:r>
        <w:rPr>
          <w:b/>
          <w:bCs/>
        </w:rPr>
        <w:t>mentoring</w:t>
      </w:r>
      <w:proofErr w:type="spellEnd"/>
      <w:r>
        <w:rPr>
          <w:b/>
          <w:bCs/>
        </w:rPr>
        <w:t xml:space="preserve"> </w:t>
      </w:r>
      <w:proofErr w:type="spellStart"/>
      <w:r>
        <w:rPr>
          <w:b/>
          <w:bCs/>
        </w:rPr>
        <w:t>matter</w:t>
      </w:r>
      <w:proofErr w:type="spellEnd"/>
      <w:r>
        <w:rPr>
          <w:b/>
          <w:bCs/>
        </w:rPr>
        <w:t xml:space="preserve">? A </w:t>
      </w:r>
      <w:proofErr w:type="spellStart"/>
      <w:r>
        <w:rPr>
          <w:b/>
          <w:bCs/>
        </w:rPr>
        <w:t>multidisciplinary</w:t>
      </w:r>
      <w:proofErr w:type="spellEnd"/>
      <w:r>
        <w:rPr>
          <w:b/>
          <w:bCs/>
        </w:rPr>
        <w:t xml:space="preserve"> meta-</w:t>
      </w:r>
      <w:proofErr w:type="spellStart"/>
      <w:r>
        <w:rPr>
          <w:b/>
          <w:bCs/>
        </w:rPr>
        <w:t>analysis</w:t>
      </w:r>
      <w:proofErr w:type="spellEnd"/>
      <w:r>
        <w:rPr>
          <w:b/>
          <w:bCs/>
        </w:rPr>
        <w:t xml:space="preserve">, J. </w:t>
      </w:r>
      <w:proofErr w:type="spellStart"/>
      <w:r>
        <w:rPr>
          <w:b/>
          <w:bCs/>
        </w:rPr>
        <w:t>Vocational</w:t>
      </w:r>
      <w:proofErr w:type="spellEnd"/>
      <w:r>
        <w:rPr>
          <w:b/>
          <w:bCs/>
        </w:rPr>
        <w:t xml:space="preserve"> </w:t>
      </w:r>
      <w:proofErr w:type="spellStart"/>
      <w:r>
        <w:rPr>
          <w:b/>
          <w:bCs/>
        </w:rPr>
        <w:t>Behavior</w:t>
      </w:r>
      <w:proofErr w:type="spellEnd"/>
      <w:r>
        <w:rPr>
          <w:b/>
          <w:bCs/>
        </w:rPr>
        <w:t xml:space="preserve">, 2008  </w:t>
      </w:r>
      <w:r>
        <w:t xml:space="preserve">—  [https://doi.org/10.1016/j.jvb.2007.04.005](https://doi.org/10.1016/j.jvb.2007.04.005)  —  </w:t>
      </w:r>
      <w:r>
        <w:rPr>
          <w:i/>
          <w:iCs/>
        </w:rPr>
        <w:t xml:space="preserve">Meta-analisi che documenta l’associazione tra il </w:t>
      </w:r>
      <w:proofErr w:type="spellStart"/>
      <w:r>
        <w:rPr>
          <w:i/>
          <w:iCs/>
        </w:rPr>
        <w:t>mentoring</w:t>
      </w:r>
      <w:proofErr w:type="spellEnd"/>
      <w:r>
        <w:rPr>
          <w:i/>
          <w:iCs/>
        </w:rPr>
        <w:t xml:space="preserve"> e lo sviluppo delle competenze e degli esiti professionali; sostegno alla funzione del </w:t>
      </w:r>
      <w:proofErr w:type="spellStart"/>
      <w:r>
        <w:rPr>
          <w:i/>
          <w:iCs/>
        </w:rPr>
        <w:t>mentoring</w:t>
      </w:r>
      <w:proofErr w:type="spellEnd"/>
      <w:r>
        <w:rPr>
          <w:i/>
          <w:iCs/>
        </w:rPr>
        <w:t xml:space="preserve"> nell’affiancamento.</w:t>
      </w:r>
    </w:p>
    <w:p w14:paraId="7A5833EC" w14:textId="77777777" w:rsidR="007C4598" w:rsidRDefault="007C4598"/>
    <w:p w14:paraId="24CCF0DA" w14:textId="77777777" w:rsidR="007C4598" w:rsidRDefault="00000000">
      <w:pPr>
        <w:jc w:val="both"/>
      </w:pPr>
      <w:r>
        <w:rPr>
          <w:b/>
          <w:bCs/>
        </w:rPr>
        <w:t xml:space="preserve">18.  </w:t>
      </w:r>
      <w:proofErr w:type="spellStart"/>
      <w:r>
        <w:rPr>
          <w:b/>
          <w:bCs/>
        </w:rPr>
        <w:t>Liu</w:t>
      </w:r>
      <w:proofErr w:type="spellEnd"/>
      <w:r>
        <w:rPr>
          <w:b/>
          <w:bCs/>
        </w:rPr>
        <w:t xml:space="preserve"> Q. et al., The </w:t>
      </w:r>
      <w:proofErr w:type="spellStart"/>
      <w:r>
        <w:rPr>
          <w:b/>
          <w:bCs/>
        </w:rPr>
        <w:t>Effectiveness</w:t>
      </w:r>
      <w:proofErr w:type="spellEnd"/>
      <w:r>
        <w:rPr>
          <w:b/>
          <w:bCs/>
        </w:rPr>
        <w:t xml:space="preserve"> of </w:t>
      </w:r>
      <w:proofErr w:type="spellStart"/>
      <w:r>
        <w:rPr>
          <w:b/>
          <w:bCs/>
        </w:rPr>
        <w:t>Blended</w:t>
      </w:r>
      <w:proofErr w:type="spellEnd"/>
      <w:r>
        <w:rPr>
          <w:b/>
          <w:bCs/>
        </w:rPr>
        <w:t xml:space="preserve"> Learning in </w:t>
      </w:r>
      <w:proofErr w:type="spellStart"/>
      <w:r>
        <w:rPr>
          <w:b/>
          <w:bCs/>
        </w:rPr>
        <w:t>Health</w:t>
      </w:r>
      <w:proofErr w:type="spellEnd"/>
      <w:r>
        <w:rPr>
          <w:b/>
          <w:bCs/>
        </w:rPr>
        <w:t xml:space="preserve"> </w:t>
      </w:r>
      <w:proofErr w:type="spellStart"/>
      <w:r>
        <w:rPr>
          <w:b/>
          <w:bCs/>
        </w:rPr>
        <w:t>Professions</w:t>
      </w:r>
      <w:proofErr w:type="spellEnd"/>
      <w:r>
        <w:rPr>
          <w:b/>
          <w:bCs/>
        </w:rPr>
        <w:t xml:space="preserve">, JMIR, 2016  </w:t>
      </w:r>
      <w:r>
        <w:t xml:space="preserve">—  [https://doi.org/10.2196/jmir.4807](https://doi.org/10.2196/jmir.4807)  —  </w:t>
      </w:r>
      <w:r>
        <w:rPr>
          <w:i/>
          <w:iCs/>
        </w:rPr>
        <w:t xml:space="preserve">Revisione sistematica che documenta l’efficacia dei percorsi formativi integrati rispetto alle modalità isolate; sostiene la proposizione di </w:t>
      </w:r>
      <w:proofErr w:type="spellStart"/>
      <w:r>
        <w:rPr>
          <w:i/>
          <w:iCs/>
        </w:rPr>
        <w:t>superadditività</w:t>
      </w:r>
      <w:proofErr w:type="spellEnd"/>
      <w:r>
        <w:rPr>
          <w:i/>
          <w:iCs/>
        </w:rPr>
        <w:t xml:space="preserve"> del percorso formativo integrato.</w:t>
      </w:r>
    </w:p>
    <w:p w14:paraId="6540A84B" w14:textId="77777777" w:rsidR="007C4598" w:rsidRDefault="007C4598"/>
    <w:p w14:paraId="7C8541EC" w14:textId="77777777" w:rsidR="007C4598" w:rsidRDefault="00000000">
      <w:pPr>
        <w:jc w:val="both"/>
      </w:pPr>
      <w:r>
        <w:rPr>
          <w:b/>
          <w:bCs/>
        </w:rPr>
        <w:t xml:space="preserve">19.  Reeves S. et al., </w:t>
      </w:r>
      <w:proofErr w:type="spellStart"/>
      <w:r>
        <w:rPr>
          <w:b/>
          <w:bCs/>
        </w:rPr>
        <w:t>Interprofessional</w:t>
      </w:r>
      <w:proofErr w:type="spellEnd"/>
      <w:r>
        <w:rPr>
          <w:b/>
          <w:bCs/>
        </w:rPr>
        <w:t xml:space="preserve"> </w:t>
      </w:r>
      <w:proofErr w:type="spellStart"/>
      <w:r>
        <w:rPr>
          <w:b/>
          <w:bCs/>
        </w:rPr>
        <w:t>education</w:t>
      </w:r>
      <w:proofErr w:type="spellEnd"/>
      <w:r>
        <w:rPr>
          <w:b/>
          <w:bCs/>
        </w:rPr>
        <w:t xml:space="preserve">: </w:t>
      </w:r>
      <w:proofErr w:type="spellStart"/>
      <w:r>
        <w:rPr>
          <w:b/>
          <w:bCs/>
        </w:rPr>
        <w:t>effects</w:t>
      </w:r>
      <w:proofErr w:type="spellEnd"/>
      <w:r>
        <w:rPr>
          <w:b/>
          <w:bCs/>
        </w:rPr>
        <w:t xml:space="preserve"> on </w:t>
      </w:r>
      <w:proofErr w:type="spellStart"/>
      <w:r>
        <w:rPr>
          <w:b/>
          <w:bCs/>
        </w:rPr>
        <w:t>professional</w:t>
      </w:r>
      <w:proofErr w:type="spellEnd"/>
      <w:r>
        <w:rPr>
          <w:b/>
          <w:bCs/>
        </w:rPr>
        <w:t xml:space="preserve"> </w:t>
      </w:r>
      <w:proofErr w:type="spellStart"/>
      <w:r>
        <w:rPr>
          <w:b/>
          <w:bCs/>
        </w:rPr>
        <w:t>practice</w:t>
      </w:r>
      <w:proofErr w:type="spellEnd"/>
      <w:r>
        <w:rPr>
          <w:b/>
          <w:bCs/>
        </w:rPr>
        <w:t xml:space="preserve"> (update), </w:t>
      </w:r>
      <w:proofErr w:type="spellStart"/>
      <w:r>
        <w:rPr>
          <w:b/>
          <w:bCs/>
        </w:rPr>
        <w:t>Cochrane</w:t>
      </w:r>
      <w:proofErr w:type="spellEnd"/>
      <w:r>
        <w:rPr>
          <w:b/>
          <w:bCs/>
        </w:rPr>
        <w:t xml:space="preserve">, 2013  </w:t>
      </w:r>
      <w:r>
        <w:t xml:space="preserve">—  [https://doi.org/10.1002/14651858.CD002213.pub3](https://doi.org/10.1002/14651858.CD002213.pub3)  —  </w:t>
      </w:r>
      <w:r>
        <w:rPr>
          <w:i/>
          <w:iCs/>
        </w:rPr>
        <w:t>Revisione che documenta gli effetti della formazione interprofessionale sulla pratica e sugli esiti; fondamento della dimensione interprofessionale del percorso formativo integrato.</w:t>
      </w:r>
    </w:p>
    <w:p w14:paraId="1F3F0488" w14:textId="77777777" w:rsidR="007C4598" w:rsidRDefault="007C4598"/>
    <w:p w14:paraId="4F9D8A61" w14:textId="77777777" w:rsidR="007C4598" w:rsidRDefault="00000000">
      <w:pPr>
        <w:jc w:val="both"/>
      </w:pPr>
      <w:r>
        <w:rPr>
          <w:b/>
          <w:bCs/>
        </w:rPr>
        <w:t xml:space="preserve">20.  </w:t>
      </w:r>
      <w:proofErr w:type="spellStart"/>
      <w:r>
        <w:rPr>
          <w:b/>
          <w:bCs/>
        </w:rPr>
        <w:t>Rogers</w:t>
      </w:r>
      <w:proofErr w:type="spellEnd"/>
      <w:r>
        <w:rPr>
          <w:b/>
          <w:bCs/>
        </w:rPr>
        <w:t xml:space="preserve"> E. M., </w:t>
      </w:r>
      <w:proofErr w:type="spellStart"/>
      <w:r>
        <w:rPr>
          <w:b/>
          <w:bCs/>
        </w:rPr>
        <w:t>Diffusion</w:t>
      </w:r>
      <w:proofErr w:type="spellEnd"/>
      <w:r>
        <w:rPr>
          <w:b/>
          <w:bCs/>
        </w:rPr>
        <w:t xml:space="preserve"> of </w:t>
      </w:r>
      <w:proofErr w:type="spellStart"/>
      <w:r>
        <w:rPr>
          <w:b/>
          <w:bCs/>
        </w:rPr>
        <w:t>Innovations</w:t>
      </w:r>
      <w:proofErr w:type="spellEnd"/>
      <w:r>
        <w:rPr>
          <w:b/>
          <w:bCs/>
        </w:rPr>
        <w:t xml:space="preserve">, 5ª ed., 2003  </w:t>
      </w:r>
      <w:r>
        <w:t xml:space="preserve">—  [https://www.simonandschuster.com/books/Diffusion-of-Innovations-5th-Edition/Everett-M-Rogers/9780743222099](https://www.simonandschuster.com/books/Diffusion-of-Innovations-5th-Edition/Everett-M-Rogers/9780743222099)  —  </w:t>
      </w:r>
      <w:r>
        <w:rPr>
          <w:i/>
          <w:iCs/>
        </w:rPr>
        <w:t xml:space="preserve">Opera di riferimento sulla diffusione delle innovazioni, che descrive l’adozione come un processo a curva </w:t>
      </w:r>
      <w:proofErr w:type="spellStart"/>
      <w:r>
        <w:rPr>
          <w:i/>
          <w:iCs/>
        </w:rPr>
        <w:t>sigmoide</w:t>
      </w:r>
      <w:proofErr w:type="spellEnd"/>
      <w:r>
        <w:rPr>
          <w:i/>
          <w:iCs/>
        </w:rPr>
        <w:t xml:space="preserve"> articolato in categorie di adottanti; fonda la trattazione delle curve di adozione.</w:t>
      </w:r>
    </w:p>
    <w:p w14:paraId="69D2952F" w14:textId="77777777" w:rsidR="007C4598" w:rsidRDefault="007C4598"/>
    <w:p w14:paraId="4EB22622" w14:textId="77777777" w:rsidR="007C4598" w:rsidRDefault="00000000">
      <w:pPr>
        <w:jc w:val="both"/>
      </w:pPr>
      <w:r>
        <w:rPr>
          <w:b/>
          <w:bCs/>
        </w:rPr>
        <w:t xml:space="preserve">21.  Davis F. D., </w:t>
      </w:r>
      <w:proofErr w:type="spellStart"/>
      <w:r>
        <w:rPr>
          <w:b/>
          <w:bCs/>
        </w:rPr>
        <w:t>Perceived</w:t>
      </w:r>
      <w:proofErr w:type="spellEnd"/>
      <w:r>
        <w:rPr>
          <w:b/>
          <w:bCs/>
        </w:rPr>
        <w:t xml:space="preserve"> </w:t>
      </w:r>
      <w:proofErr w:type="spellStart"/>
      <w:r>
        <w:rPr>
          <w:b/>
          <w:bCs/>
        </w:rPr>
        <w:t>usefulness</w:t>
      </w:r>
      <w:proofErr w:type="spellEnd"/>
      <w:r>
        <w:rPr>
          <w:b/>
          <w:bCs/>
        </w:rPr>
        <w:t xml:space="preserve">, </w:t>
      </w:r>
      <w:proofErr w:type="spellStart"/>
      <w:r>
        <w:rPr>
          <w:b/>
          <w:bCs/>
        </w:rPr>
        <w:t>perceived</w:t>
      </w:r>
      <w:proofErr w:type="spellEnd"/>
      <w:r>
        <w:rPr>
          <w:b/>
          <w:bCs/>
        </w:rPr>
        <w:t xml:space="preserve"> </w:t>
      </w:r>
      <w:proofErr w:type="spellStart"/>
      <w:r>
        <w:rPr>
          <w:b/>
          <w:bCs/>
        </w:rPr>
        <w:t>ease</w:t>
      </w:r>
      <w:proofErr w:type="spellEnd"/>
      <w:r>
        <w:rPr>
          <w:b/>
          <w:bCs/>
        </w:rPr>
        <w:t xml:space="preserve"> of use, and </w:t>
      </w:r>
      <w:proofErr w:type="spellStart"/>
      <w:r>
        <w:rPr>
          <w:b/>
          <w:bCs/>
        </w:rPr>
        <w:t>user</w:t>
      </w:r>
      <w:proofErr w:type="spellEnd"/>
      <w:r>
        <w:rPr>
          <w:b/>
          <w:bCs/>
        </w:rPr>
        <w:t xml:space="preserve"> </w:t>
      </w:r>
      <w:proofErr w:type="spellStart"/>
      <w:r>
        <w:rPr>
          <w:b/>
          <w:bCs/>
        </w:rPr>
        <w:t>acceptance</w:t>
      </w:r>
      <w:proofErr w:type="spellEnd"/>
      <w:r>
        <w:rPr>
          <w:b/>
          <w:bCs/>
        </w:rPr>
        <w:t xml:space="preserve"> of IT, MIS </w:t>
      </w:r>
      <w:proofErr w:type="spellStart"/>
      <w:r>
        <w:rPr>
          <w:b/>
          <w:bCs/>
        </w:rPr>
        <w:t>Quarterly</w:t>
      </w:r>
      <w:proofErr w:type="spellEnd"/>
      <w:r>
        <w:rPr>
          <w:b/>
          <w:bCs/>
        </w:rPr>
        <w:t xml:space="preserve">, 1989  </w:t>
      </w:r>
      <w:r>
        <w:t xml:space="preserve">—  [https://doi.org/10.2307/249008](https://doi.org/10.2307/249008)  —  </w:t>
      </w:r>
      <w:r>
        <w:rPr>
          <w:i/>
          <w:iCs/>
        </w:rPr>
        <w:t>Origine del modello di accettazione della tecnologia, che individua nell’utilità percepita e nella facilità d’uso percepita i determinanti dell’adozione; sostegno all’analisi dei fattori su cui la formazione agisce.</w:t>
      </w:r>
    </w:p>
    <w:p w14:paraId="236DBC12" w14:textId="77777777" w:rsidR="007C4598" w:rsidRDefault="007C4598"/>
    <w:p w14:paraId="43D4D096" w14:textId="77777777" w:rsidR="007C4598" w:rsidRDefault="00000000">
      <w:pPr>
        <w:jc w:val="both"/>
      </w:pPr>
      <w:r>
        <w:rPr>
          <w:b/>
          <w:bCs/>
        </w:rPr>
        <w:t>Fine della Parte V</w:t>
      </w:r>
    </w:p>
    <w:p w14:paraId="5652E05C" w14:textId="77777777" w:rsidR="007C4598" w:rsidRDefault="007C4598"/>
    <w:p w14:paraId="44760968" w14:textId="77777777" w:rsidR="007C4598" w:rsidRDefault="00000000">
      <w:pPr>
        <w:jc w:val="both"/>
      </w:pPr>
      <w:r>
        <w:rPr>
          <w:i/>
          <w:iCs/>
        </w:rPr>
        <w:t>La sesta parte — Efficacia, evidenza e meccanismi di impatto — raccoglie e gradua le evidenze dell’efficacia della pratica che la competenza formata rende possibile.</w:t>
      </w:r>
    </w:p>
    <w:p w14:paraId="7F53A867" w14:textId="77777777" w:rsidR="007C4598" w:rsidRDefault="007C4598"/>
    <w:p w14:paraId="47707E83" w14:textId="77777777" w:rsidR="007C4598" w:rsidRDefault="00000000">
      <w:pPr>
        <w:jc w:val="both"/>
      </w:pPr>
      <w:r>
        <w:t>La formazione del personale: le quattro modalità, singole e congiunte</w:t>
      </w:r>
    </w:p>
    <w:p w14:paraId="41B2549C" w14:textId="77777777" w:rsidR="007C4598" w:rsidRDefault="007C4598"/>
    <w:p w14:paraId="7164C986" w14:textId="77777777" w:rsidR="007C4598" w:rsidRDefault="00000000">
      <w:pPr>
        <w:jc w:val="both"/>
      </w:pPr>
      <w:r>
        <w:rPr>
          <w:color w:val="555555"/>
          <w:sz w:val="16"/>
          <w:szCs w:val="16"/>
          <w:vertAlign w:val="superscript"/>
        </w:rPr>
        <w:t>[3]</w:t>
      </w:r>
      <w:r>
        <w:t xml:space="preserve">: </w:t>
      </w:r>
      <w:proofErr w:type="spellStart"/>
      <w:r>
        <w:t>Chisholm</w:t>
      </w:r>
      <w:proofErr w:type="spellEnd"/>
      <w:r>
        <w:t xml:space="preserve"> D. et al., «</w:t>
      </w:r>
      <w:proofErr w:type="spellStart"/>
      <w:r>
        <w:t>Scaling</w:t>
      </w:r>
      <w:proofErr w:type="spellEnd"/>
      <w:r>
        <w:t xml:space="preserve">-up treatment of </w:t>
      </w:r>
      <w:proofErr w:type="spellStart"/>
      <w:r>
        <w:t>depression</w:t>
      </w:r>
      <w:proofErr w:type="spellEnd"/>
      <w:r>
        <w:t xml:space="preserve"> and </w:t>
      </w:r>
      <w:proofErr w:type="spellStart"/>
      <w:r>
        <w:t>anxiety</w:t>
      </w:r>
      <w:proofErr w:type="spellEnd"/>
      <w:r>
        <w:t xml:space="preserve">: a global </w:t>
      </w:r>
      <w:proofErr w:type="spellStart"/>
      <w:r>
        <w:t>return</w:t>
      </w:r>
      <w:proofErr w:type="spellEnd"/>
      <w:r>
        <w:t xml:space="preserve"> on </w:t>
      </w:r>
      <w:proofErr w:type="spellStart"/>
      <w:r>
        <w:t>investment</w:t>
      </w:r>
      <w:proofErr w:type="spellEnd"/>
      <w:r>
        <w:t xml:space="preserve"> </w:t>
      </w:r>
      <w:proofErr w:type="spellStart"/>
      <w:r>
        <w:t>analysis</w:t>
      </w:r>
      <w:proofErr w:type="spellEnd"/>
      <w:r>
        <w:t xml:space="preserve">», The Lancet </w:t>
      </w:r>
      <w:proofErr w:type="spellStart"/>
      <w:r>
        <w:t>Psychiatry</w:t>
      </w:r>
      <w:proofErr w:type="spellEnd"/>
      <w:r>
        <w:t>, 3(5), 2016, pp. 415–424. Ancora invariante dell’opera: il ritorno degli investimenti in salute mentale è contenuto tra 2,3 e 3,0 a 1 per i soli benefici economici e tra 3,3 e 5,7 a 1 con l’inclusione dei ritorni in salute.</w:t>
      </w:r>
    </w:p>
    <w:p w14:paraId="42940640" w14:textId="77777777" w:rsidR="007C4598" w:rsidRDefault="00000000">
      <w:pPr>
        <w:jc w:val="both"/>
      </w:pPr>
      <w:r>
        <w:rPr>
          <w:color w:val="555555"/>
          <w:sz w:val="16"/>
          <w:szCs w:val="16"/>
          <w:vertAlign w:val="superscript"/>
        </w:rPr>
        <w:t>[4]</w:t>
      </w:r>
      <w:r>
        <w:t xml:space="preserve">: </w:t>
      </w:r>
      <w:proofErr w:type="spellStart"/>
      <w:r>
        <w:t>Unützer</w:t>
      </w:r>
      <w:proofErr w:type="spellEnd"/>
      <w:r>
        <w:t xml:space="preserve"> J. et al., «Collaborative care management of late-life </w:t>
      </w:r>
      <w:proofErr w:type="spellStart"/>
      <w:r>
        <w:t>depression</w:t>
      </w:r>
      <w:proofErr w:type="spellEnd"/>
      <w:r>
        <w:t xml:space="preserve"> in the </w:t>
      </w:r>
      <w:proofErr w:type="spellStart"/>
      <w:r>
        <w:t>primary</w:t>
      </w:r>
      <w:proofErr w:type="spellEnd"/>
      <w:r>
        <w:t xml:space="preserve"> care </w:t>
      </w:r>
      <w:proofErr w:type="spellStart"/>
      <w:r>
        <w:t>setting</w:t>
      </w:r>
      <w:proofErr w:type="spellEnd"/>
      <w:r>
        <w:t xml:space="preserve"> (IMPACT)», JAMA, 288(22), 2002, pp. 2836–2845. Da cui discende il </w:t>
      </w:r>
      <w:proofErr w:type="spellStart"/>
      <w:r>
        <w:t>caveat</w:t>
      </w:r>
      <w:proofErr w:type="spellEnd"/>
      <w:r>
        <w:t xml:space="preserve"> preservato dall’opera: la riduzione diretta dei costi sanitari non raggiunge la significatività statistica, e il risparmio fiscale resta perciò distinto dal beneficio sociale.</w:t>
      </w:r>
    </w:p>
    <w:p w14:paraId="43C0A6BB" w14:textId="77777777" w:rsidR="007C4598" w:rsidRDefault="00000000">
      <w:pPr>
        <w:jc w:val="both"/>
      </w:pPr>
      <w:r>
        <w:rPr>
          <w:color w:val="555555"/>
          <w:sz w:val="16"/>
          <w:szCs w:val="16"/>
          <w:vertAlign w:val="superscript"/>
        </w:rPr>
        <w:t>[5]</w:t>
      </w:r>
      <w:r>
        <w:t xml:space="preserve">: </w:t>
      </w:r>
      <w:proofErr w:type="spellStart"/>
      <w:r>
        <w:t>Guyatt</w:t>
      </w:r>
      <w:proofErr w:type="spellEnd"/>
      <w:r>
        <w:t xml:space="preserve"> G. H. et al., «GRADE: an </w:t>
      </w:r>
      <w:proofErr w:type="spellStart"/>
      <w:r>
        <w:t>emerging</w:t>
      </w:r>
      <w:proofErr w:type="spellEnd"/>
      <w:r>
        <w:t xml:space="preserve"> </w:t>
      </w:r>
      <w:proofErr w:type="spellStart"/>
      <w:r>
        <w:t>consensus</w:t>
      </w:r>
      <w:proofErr w:type="spellEnd"/>
      <w:r>
        <w:t xml:space="preserve"> on rating </w:t>
      </w:r>
      <w:proofErr w:type="spellStart"/>
      <w:r>
        <w:t>quality</w:t>
      </w:r>
      <w:proofErr w:type="spellEnd"/>
      <w:r>
        <w:t xml:space="preserve"> of </w:t>
      </w:r>
      <w:proofErr w:type="spellStart"/>
      <w:r>
        <w:t>evidence</w:t>
      </w:r>
      <w:proofErr w:type="spellEnd"/>
      <w:r>
        <w:t xml:space="preserve"> and </w:t>
      </w:r>
      <w:proofErr w:type="spellStart"/>
      <w:r>
        <w:t>strength</w:t>
      </w:r>
      <w:proofErr w:type="spellEnd"/>
      <w:r>
        <w:t xml:space="preserve"> of </w:t>
      </w:r>
      <w:proofErr w:type="spellStart"/>
      <w:r>
        <w:t>recommendations</w:t>
      </w:r>
      <w:proofErr w:type="spellEnd"/>
      <w:r>
        <w:t>», BMJ, 336(7650), 2008, pp. 924–926. Sistema di graduazione della qualità delle prove applicato con il medesimo rigore alle affermazioni cliniche e a quelle relative all’Intelligenza Artificiale, incluse le competenze formative dedicate al suo uso.</w:t>
      </w:r>
    </w:p>
    <w:p w14:paraId="50C939D6" w14:textId="77777777" w:rsidR="007C4598" w:rsidRDefault="00000000">
      <w:pPr>
        <w:jc w:val="both"/>
      </w:pPr>
      <w:r>
        <w:rPr>
          <w:color w:val="555555"/>
          <w:sz w:val="16"/>
          <w:szCs w:val="16"/>
          <w:vertAlign w:val="superscript"/>
        </w:rPr>
        <w:t>[1]</w:t>
      </w:r>
      <w:r>
        <w:t xml:space="preserve">: </w:t>
      </w:r>
      <w:proofErr w:type="spellStart"/>
      <w:r>
        <w:t>Kirkpatrick</w:t>
      </w:r>
      <w:proofErr w:type="spellEnd"/>
      <w:r>
        <w:t xml:space="preserve"> D. L., </w:t>
      </w:r>
      <w:proofErr w:type="spellStart"/>
      <w:r>
        <w:t>Kirkpatrick</w:t>
      </w:r>
      <w:proofErr w:type="spellEnd"/>
      <w:r>
        <w:t xml:space="preserve"> J. D., </w:t>
      </w:r>
      <w:proofErr w:type="spellStart"/>
      <w:r>
        <w:t>Evaluating</w:t>
      </w:r>
      <w:proofErr w:type="spellEnd"/>
      <w:r>
        <w:t xml:space="preserve"> Training Programs: The </w:t>
      </w:r>
      <w:proofErr w:type="spellStart"/>
      <w:r>
        <w:t>Four</w:t>
      </w:r>
      <w:proofErr w:type="spellEnd"/>
      <w:r>
        <w:t xml:space="preserve"> </w:t>
      </w:r>
      <w:proofErr w:type="spellStart"/>
      <w:r>
        <w:t>Levels</w:t>
      </w:r>
      <w:proofErr w:type="spellEnd"/>
      <w:r>
        <w:t xml:space="preserve">, </w:t>
      </w:r>
      <w:proofErr w:type="spellStart"/>
      <w:r>
        <w:t>Berrett</w:t>
      </w:r>
      <w:proofErr w:type="spellEnd"/>
      <w:r>
        <w:t>-Koehler, San Francisco, 2006. Modello classico che articola la valutazione della formazione su quattro livelli — reazione, apprendimento, comportamento, risultati — e fornisce la cornice con cui l’opera misura il rendimento di ciascuna modalità formativa.</w:t>
      </w:r>
    </w:p>
    <w:p w14:paraId="52BCA1C7" w14:textId="77777777" w:rsidR="007C4598" w:rsidRDefault="00000000">
      <w:pPr>
        <w:jc w:val="both"/>
      </w:pPr>
      <w:r>
        <w:rPr>
          <w:color w:val="555555"/>
          <w:sz w:val="16"/>
          <w:szCs w:val="16"/>
          <w:vertAlign w:val="superscript"/>
        </w:rPr>
        <w:t>[2]</w:t>
      </w:r>
      <w:r>
        <w:t xml:space="preserve">: Phillips J. J., Return on </w:t>
      </w:r>
      <w:proofErr w:type="spellStart"/>
      <w:r>
        <w:t>Investment</w:t>
      </w:r>
      <w:proofErr w:type="spellEnd"/>
      <w:r>
        <w:t xml:space="preserve"> in Training and Performance </w:t>
      </w:r>
      <w:proofErr w:type="spellStart"/>
      <w:r>
        <w:t>Improvement</w:t>
      </w:r>
      <w:proofErr w:type="spellEnd"/>
      <w:r>
        <w:t xml:space="preserve"> Programs, </w:t>
      </w:r>
      <w:proofErr w:type="spellStart"/>
      <w:r>
        <w:t>Routledge</w:t>
      </w:r>
      <w:proofErr w:type="spellEnd"/>
      <w:r>
        <w:t xml:space="preserve">, Londra, 2003. Estende il modello di </w:t>
      </w:r>
      <w:proofErr w:type="spellStart"/>
      <w:r>
        <w:t>Kirkpatrick</w:t>
      </w:r>
      <w:proofErr w:type="spellEnd"/>
      <w:r>
        <w:t xml:space="preserve"> con un quinto livello che converte i risultati formativi in rendimento monetario, consentendo il confronto costo-efficacia tra le modalità singole e la loro combinazione.</w:t>
      </w:r>
    </w:p>
    <w:p w14:paraId="299743BC" w14:textId="77777777" w:rsidR="007C4598" w:rsidRDefault="00000000">
      <w:pPr>
        <w:jc w:val="both"/>
      </w:pPr>
      <w:r>
        <w:rPr>
          <w:color w:val="555555"/>
          <w:sz w:val="16"/>
          <w:szCs w:val="16"/>
          <w:vertAlign w:val="superscript"/>
        </w:rPr>
        <w:t>[6]</w:t>
      </w:r>
      <w:r>
        <w:t xml:space="preserve">: Organizzazione Mondiale della Sanità, </w:t>
      </w:r>
      <w:proofErr w:type="spellStart"/>
      <w:r>
        <w:t>mhGAP</w:t>
      </w:r>
      <w:proofErr w:type="spellEnd"/>
      <w:r>
        <w:t xml:space="preserve"> </w:t>
      </w:r>
      <w:proofErr w:type="spellStart"/>
      <w:r>
        <w:t>Intervention</w:t>
      </w:r>
      <w:proofErr w:type="spellEnd"/>
      <w:r>
        <w:t xml:space="preserve"> Guide for </w:t>
      </w:r>
      <w:proofErr w:type="spellStart"/>
      <w:r>
        <w:t>mental</w:t>
      </w:r>
      <w:proofErr w:type="spellEnd"/>
      <w:r>
        <w:t xml:space="preserve">, </w:t>
      </w:r>
      <w:proofErr w:type="spellStart"/>
      <w:r>
        <w:t>neurological</w:t>
      </w:r>
      <w:proofErr w:type="spellEnd"/>
      <w:r>
        <w:t xml:space="preserve"> and </w:t>
      </w:r>
      <w:proofErr w:type="spellStart"/>
      <w:r>
        <w:t>substance</w:t>
      </w:r>
      <w:proofErr w:type="spellEnd"/>
      <w:r>
        <w:t xml:space="preserve"> use </w:t>
      </w:r>
      <w:proofErr w:type="spellStart"/>
      <w:r>
        <w:t>disorders</w:t>
      </w:r>
      <w:proofErr w:type="spellEnd"/>
      <w:r>
        <w:t xml:space="preserve"> in non-</w:t>
      </w:r>
      <w:proofErr w:type="spellStart"/>
      <w:r>
        <w:t>specialized</w:t>
      </w:r>
      <w:proofErr w:type="spellEnd"/>
      <w:r>
        <w:t xml:space="preserve"> </w:t>
      </w:r>
      <w:proofErr w:type="spellStart"/>
      <w:r>
        <w:t>health</w:t>
      </w:r>
      <w:proofErr w:type="spellEnd"/>
      <w:r>
        <w:t xml:space="preserve"> </w:t>
      </w:r>
      <w:proofErr w:type="spellStart"/>
      <w:r>
        <w:t>settings</w:t>
      </w:r>
      <w:proofErr w:type="spellEnd"/>
      <w:r>
        <w:t>, versione 2.0, Ginevra, 2016. Riferimento internazionale per le competenze di intercettazione, valutazione e intervento a bassa intensità nelle cure primarie, qui assunto come base del fabbisogno clinico.</w:t>
      </w:r>
    </w:p>
    <w:p w14:paraId="2B0E411D" w14:textId="77777777" w:rsidR="007C4598" w:rsidRDefault="00000000">
      <w:pPr>
        <w:jc w:val="both"/>
      </w:pPr>
      <w:r>
        <w:rPr>
          <w:color w:val="555555"/>
          <w:sz w:val="16"/>
          <w:szCs w:val="16"/>
          <w:vertAlign w:val="superscript"/>
        </w:rPr>
        <w:t>[7]</w:t>
      </w:r>
      <w:r>
        <w:t xml:space="preserve">: </w:t>
      </w:r>
      <w:proofErr w:type="spellStart"/>
      <w:r>
        <w:t>Health</w:t>
      </w:r>
      <w:proofErr w:type="spellEnd"/>
      <w:r>
        <w:t xml:space="preserve"> </w:t>
      </w:r>
      <w:proofErr w:type="spellStart"/>
      <w:r>
        <w:t>Education</w:t>
      </w:r>
      <w:proofErr w:type="spellEnd"/>
      <w:r>
        <w:t xml:space="preserve"> </w:t>
      </w:r>
      <w:proofErr w:type="spellStart"/>
      <w:r>
        <w:t>England</w:t>
      </w:r>
      <w:proofErr w:type="spellEnd"/>
      <w:r>
        <w:t xml:space="preserve">, The </w:t>
      </w:r>
      <w:proofErr w:type="spellStart"/>
      <w:r>
        <w:t>Topol</w:t>
      </w:r>
      <w:proofErr w:type="spellEnd"/>
      <w:r>
        <w:t xml:space="preserve"> </w:t>
      </w:r>
      <w:proofErr w:type="spellStart"/>
      <w:r>
        <w:t>Review</w:t>
      </w:r>
      <w:proofErr w:type="spellEnd"/>
      <w:r>
        <w:t xml:space="preserve">. </w:t>
      </w:r>
      <w:proofErr w:type="spellStart"/>
      <w:r>
        <w:t>Preparing</w:t>
      </w:r>
      <w:proofErr w:type="spellEnd"/>
      <w:r>
        <w:t xml:space="preserve"> the </w:t>
      </w:r>
      <w:proofErr w:type="spellStart"/>
      <w:r>
        <w:t>healthcare</w:t>
      </w:r>
      <w:proofErr w:type="spellEnd"/>
      <w:r>
        <w:t xml:space="preserve"> </w:t>
      </w:r>
      <w:proofErr w:type="spellStart"/>
      <w:r>
        <w:t>workforce</w:t>
      </w:r>
      <w:proofErr w:type="spellEnd"/>
      <w:r>
        <w:t xml:space="preserve"> to </w:t>
      </w:r>
      <w:proofErr w:type="spellStart"/>
      <w:r>
        <w:t>deliver</w:t>
      </w:r>
      <w:proofErr w:type="spellEnd"/>
      <w:r>
        <w:t xml:space="preserve"> the </w:t>
      </w:r>
      <w:proofErr w:type="spellStart"/>
      <w:r>
        <w:t>digital</w:t>
      </w:r>
      <w:proofErr w:type="spellEnd"/>
      <w:r>
        <w:t xml:space="preserve"> future, Londra, 2019. Documento di riferimento sulle competenze digitali del personale sanitario — alfabetizzazione ai dati, alla telemedicina e all’intelligenza artificiale — e sulla loro integrazione nei percorsi formativi.</w:t>
      </w:r>
    </w:p>
    <w:p w14:paraId="5CE4C9C1" w14:textId="77777777" w:rsidR="007C4598" w:rsidRDefault="00000000">
      <w:pPr>
        <w:jc w:val="both"/>
      </w:pPr>
      <w:r>
        <w:rPr>
          <w:color w:val="555555"/>
          <w:sz w:val="16"/>
          <w:szCs w:val="16"/>
          <w:vertAlign w:val="superscript"/>
        </w:rPr>
        <w:t>[9]</w:t>
      </w:r>
      <w:r>
        <w:t>: Legge 8 novembre 2021, n. 163, recante disposizioni in materia di titoli universitari abilitanti, che ha reso la laurea magistrale in Psicologia (classe LM-51) titolo abilitante all’esercizio della professione, con tirocinio interno al corso e prova pratica valutativa contestuale al conseguimento del titolo.</w:t>
      </w:r>
    </w:p>
    <w:p w14:paraId="501CD13F" w14:textId="77777777" w:rsidR="007C4598" w:rsidRDefault="00000000">
      <w:pPr>
        <w:jc w:val="both"/>
      </w:pPr>
      <w:r>
        <w:rPr>
          <w:color w:val="555555"/>
          <w:sz w:val="16"/>
          <w:szCs w:val="16"/>
          <w:vertAlign w:val="superscript"/>
        </w:rPr>
        <w:t>[8]</w:t>
      </w:r>
      <w:r>
        <w:t xml:space="preserve">: </w:t>
      </w:r>
      <w:proofErr w:type="spellStart"/>
      <w:r>
        <w:t>European</w:t>
      </w:r>
      <w:proofErr w:type="spellEnd"/>
      <w:r>
        <w:t xml:space="preserve"> </w:t>
      </w:r>
      <w:proofErr w:type="spellStart"/>
      <w:r>
        <w:t>Federation</w:t>
      </w:r>
      <w:proofErr w:type="spellEnd"/>
      <w:r>
        <w:t xml:space="preserve"> of </w:t>
      </w:r>
      <w:proofErr w:type="spellStart"/>
      <w:r>
        <w:t>Psychologists</w:t>
      </w:r>
      <w:proofErr w:type="spellEnd"/>
      <w:r>
        <w:t xml:space="preserve">’ </w:t>
      </w:r>
      <w:proofErr w:type="spellStart"/>
      <w:r>
        <w:t>Associations</w:t>
      </w:r>
      <w:proofErr w:type="spellEnd"/>
      <w:r>
        <w:t xml:space="preserve"> (EFPA), </w:t>
      </w:r>
      <w:proofErr w:type="spellStart"/>
      <w:r>
        <w:t>EuroPsy</w:t>
      </w:r>
      <w:proofErr w:type="spellEnd"/>
      <w:r>
        <w:t xml:space="preserve">. </w:t>
      </w:r>
      <w:proofErr w:type="spellStart"/>
      <w:r>
        <w:t>European</w:t>
      </w:r>
      <w:proofErr w:type="spellEnd"/>
      <w:r>
        <w:t xml:space="preserve"> Certificate in </w:t>
      </w:r>
      <w:proofErr w:type="spellStart"/>
      <w:r>
        <w:t>Psychology</w:t>
      </w:r>
      <w:proofErr w:type="spellEnd"/>
      <w:r>
        <w:t xml:space="preserve">. </w:t>
      </w:r>
      <w:proofErr w:type="spellStart"/>
      <w:r>
        <w:t>Regulations</w:t>
      </w:r>
      <w:proofErr w:type="spellEnd"/>
      <w:r>
        <w:t xml:space="preserve"> and </w:t>
      </w:r>
      <w:proofErr w:type="spellStart"/>
      <w:r>
        <w:t>Standards</w:t>
      </w:r>
      <w:proofErr w:type="spellEnd"/>
      <w:r>
        <w:t>, Bruxelles, edizione vigente. Standard europeo che definisce i livelli minimi di competenza e la struttura del percorso accademico e professionale dello psicologo, qui assunto come cornice della formazione universitaria.</w:t>
      </w:r>
    </w:p>
    <w:p w14:paraId="7C943972" w14:textId="77777777" w:rsidR="007C4598" w:rsidRDefault="00000000">
      <w:pPr>
        <w:jc w:val="both"/>
      </w:pPr>
      <w:r>
        <w:rPr>
          <w:color w:val="555555"/>
          <w:sz w:val="16"/>
          <w:szCs w:val="16"/>
          <w:vertAlign w:val="superscript"/>
        </w:rPr>
        <w:t>[12]</w:t>
      </w:r>
      <w:r>
        <w:t>: Legge 18 febbraio 1989, n. 56, recante l’ordinamento della professione di psicologo, che disciplina, fra l’altro, l’esercizio dell’attività psicoterapeutica subordinandolo a una specifica formazione presso scuole di specializzazione universitarie o scuole di psicoterapia riconosciute; costituisce il riferimento per la modalità della specializzazione post-universitaria.</w:t>
      </w:r>
    </w:p>
    <w:p w14:paraId="5D6CC944" w14:textId="77777777" w:rsidR="007C4598" w:rsidRDefault="00000000">
      <w:pPr>
        <w:jc w:val="both"/>
      </w:pPr>
      <w:r>
        <w:rPr>
          <w:color w:val="555555"/>
          <w:sz w:val="16"/>
          <w:szCs w:val="16"/>
          <w:vertAlign w:val="superscript"/>
        </w:rPr>
        <w:t>[11]</w:t>
      </w:r>
      <w:r>
        <w:t xml:space="preserve">: Programma nazionale per la formazione continua in medicina (ECM), Commissione nazionale per la formazione continua, </w:t>
      </w:r>
      <w:proofErr w:type="spellStart"/>
      <w:r>
        <w:t>Agenas</w:t>
      </w:r>
      <w:proofErr w:type="spellEnd"/>
      <w:r>
        <w:t xml:space="preserve">; gestione dei crediti tramite il Consorzio </w:t>
      </w:r>
      <w:proofErr w:type="spellStart"/>
      <w:r>
        <w:t>Co.Ge.A.P.S</w:t>
      </w:r>
      <w:proofErr w:type="spellEnd"/>
      <w:r>
        <w:t>. Il sistema impone agli esercenti le professioni sanitarie, psicologi compresi, l’acquisizione di un debito formativo triennale (150 crediti per triennio) presso provider accreditati, ed è il principale canale di aggiornamento continuo delle competenze.</w:t>
      </w:r>
    </w:p>
    <w:p w14:paraId="31722379" w14:textId="77777777" w:rsidR="007C4598" w:rsidRDefault="00000000">
      <w:pPr>
        <w:jc w:val="both"/>
      </w:pPr>
      <w:r>
        <w:rPr>
          <w:color w:val="555555"/>
          <w:sz w:val="16"/>
          <w:szCs w:val="16"/>
          <w:vertAlign w:val="superscript"/>
        </w:rPr>
        <w:t>[13]</w:t>
      </w:r>
      <w:r>
        <w:t xml:space="preserve">: Lombardo M. M., </w:t>
      </w:r>
      <w:proofErr w:type="spellStart"/>
      <w:r>
        <w:t>Eichinger</w:t>
      </w:r>
      <w:proofErr w:type="spellEnd"/>
      <w:r>
        <w:t xml:space="preserve"> R. W., The Career Architect Development Planner, </w:t>
      </w:r>
      <w:proofErr w:type="spellStart"/>
      <w:r>
        <w:t>Lominger</w:t>
      </w:r>
      <w:proofErr w:type="spellEnd"/>
      <w:r>
        <w:t>, Minneapolis, 1996. Origine del modello cosiddetto 70-20-10, secondo cui lo sviluppo delle competenze professionali deriva in misura prevalente dall’esperienza sul posto di lavoro, in misura minore dall’interazione con altri e in misura ridotta dalla formazione d’aula; le proporzioni sono assunte come regolarità indicativa e non come legge universale.</w:t>
      </w:r>
    </w:p>
    <w:p w14:paraId="02C7B6C5" w14:textId="77777777" w:rsidR="007C4598" w:rsidRDefault="00000000">
      <w:pPr>
        <w:jc w:val="both"/>
      </w:pPr>
      <w:r>
        <w:rPr>
          <w:color w:val="555555"/>
          <w:sz w:val="16"/>
          <w:szCs w:val="16"/>
          <w:vertAlign w:val="superscript"/>
        </w:rPr>
        <w:t>[14]</w:t>
      </w:r>
      <w:r>
        <w:t xml:space="preserve">: </w:t>
      </w:r>
      <w:proofErr w:type="spellStart"/>
      <w:r>
        <w:t>Ivers</w:t>
      </w:r>
      <w:proofErr w:type="spellEnd"/>
      <w:r>
        <w:t xml:space="preserve"> N. et al., «Audit and feedback: </w:t>
      </w:r>
      <w:proofErr w:type="spellStart"/>
      <w:r>
        <w:t>effects</w:t>
      </w:r>
      <w:proofErr w:type="spellEnd"/>
      <w:r>
        <w:t xml:space="preserve"> on </w:t>
      </w:r>
      <w:proofErr w:type="spellStart"/>
      <w:r>
        <w:t>professional</w:t>
      </w:r>
      <w:proofErr w:type="spellEnd"/>
      <w:r>
        <w:t xml:space="preserve"> </w:t>
      </w:r>
      <w:proofErr w:type="spellStart"/>
      <w:r>
        <w:t>practice</w:t>
      </w:r>
      <w:proofErr w:type="spellEnd"/>
      <w:r>
        <w:t xml:space="preserve"> and </w:t>
      </w:r>
      <w:proofErr w:type="spellStart"/>
      <w:r>
        <w:t>healthcare</w:t>
      </w:r>
      <w:proofErr w:type="spellEnd"/>
      <w:r>
        <w:t xml:space="preserve"> </w:t>
      </w:r>
      <w:proofErr w:type="spellStart"/>
      <w:r>
        <w:t>outcomes</w:t>
      </w:r>
      <w:proofErr w:type="spellEnd"/>
      <w:r>
        <w:t xml:space="preserve">», </w:t>
      </w:r>
      <w:proofErr w:type="spellStart"/>
      <w:r>
        <w:t>Cochrane</w:t>
      </w:r>
      <w:proofErr w:type="spellEnd"/>
      <w:r>
        <w:t xml:space="preserve"> Database of </w:t>
      </w:r>
      <w:proofErr w:type="spellStart"/>
      <w:r>
        <w:t>Systematic</w:t>
      </w:r>
      <w:proofErr w:type="spellEnd"/>
      <w:r>
        <w:t xml:space="preserve"> </w:t>
      </w:r>
      <w:proofErr w:type="spellStart"/>
      <w:r>
        <w:t>Reviews</w:t>
      </w:r>
      <w:proofErr w:type="spellEnd"/>
      <w:r>
        <w:t>, 6, 2012, CD000259. Revisione sistematica che documenta l’effetto, modesto ma reale, della misurazione sistematica della pratica rispetto a uno standard e della restituzione del risultato al professionista come meccanismo di miglioramento dell’apprendimento sul posto di lavoro.</w:t>
      </w:r>
    </w:p>
    <w:p w14:paraId="42BB66ED" w14:textId="77777777" w:rsidR="007C4598" w:rsidRDefault="00000000">
      <w:pPr>
        <w:jc w:val="both"/>
      </w:pPr>
      <w:r>
        <w:rPr>
          <w:color w:val="555555"/>
          <w:sz w:val="16"/>
          <w:szCs w:val="16"/>
          <w:vertAlign w:val="superscript"/>
        </w:rPr>
        <w:t>[15]</w:t>
      </w:r>
      <w:r>
        <w:t xml:space="preserve">: </w:t>
      </w:r>
      <w:proofErr w:type="spellStart"/>
      <w:r>
        <w:t>Wenger</w:t>
      </w:r>
      <w:proofErr w:type="spellEnd"/>
      <w:r>
        <w:t xml:space="preserve"> E., </w:t>
      </w:r>
      <w:proofErr w:type="spellStart"/>
      <w:r>
        <w:t>Communities</w:t>
      </w:r>
      <w:proofErr w:type="spellEnd"/>
      <w:r>
        <w:t xml:space="preserve"> of </w:t>
      </w:r>
      <w:proofErr w:type="spellStart"/>
      <w:r>
        <w:t>Practice</w:t>
      </w:r>
      <w:proofErr w:type="spellEnd"/>
      <w:r>
        <w:t xml:space="preserve">: Learning, </w:t>
      </w:r>
      <w:proofErr w:type="spellStart"/>
      <w:r>
        <w:t>Meaning</w:t>
      </w:r>
      <w:proofErr w:type="spellEnd"/>
      <w:r>
        <w:t xml:space="preserve">, and Identity, Cambridge </w:t>
      </w:r>
      <w:proofErr w:type="spellStart"/>
      <w:r>
        <w:t>University</w:t>
      </w:r>
      <w:proofErr w:type="spellEnd"/>
      <w:r>
        <w:t xml:space="preserve"> Press, Cambridge, 1998. Riferimento teorico delle comunità di pratica come gruppi di professionisti che condividono conoscenza in un dominio determinato e ne fanno il veicolo di un apprendimento situato, qui assunto fra le forme strutturate della formazione lavorativa.</w:t>
      </w:r>
    </w:p>
    <w:p w14:paraId="2A687741" w14:textId="77777777" w:rsidR="007C4598" w:rsidRDefault="00000000">
      <w:pPr>
        <w:jc w:val="both"/>
      </w:pPr>
      <w:r>
        <w:rPr>
          <w:color w:val="555555"/>
          <w:sz w:val="16"/>
          <w:szCs w:val="16"/>
          <w:vertAlign w:val="superscript"/>
        </w:rPr>
        <w:t>[16]</w:t>
      </w:r>
      <w:r>
        <w:t xml:space="preserve">: </w:t>
      </w:r>
      <w:proofErr w:type="spellStart"/>
      <w:r>
        <w:t>Milne</w:t>
      </w:r>
      <w:proofErr w:type="spellEnd"/>
      <w:r>
        <w:t xml:space="preserve"> D., </w:t>
      </w:r>
      <w:proofErr w:type="spellStart"/>
      <w:r>
        <w:t>Evidence-Based</w:t>
      </w:r>
      <w:proofErr w:type="spellEnd"/>
      <w:r>
        <w:t xml:space="preserve"> </w:t>
      </w:r>
      <w:proofErr w:type="spellStart"/>
      <w:r>
        <w:t>Clinical</w:t>
      </w:r>
      <w:proofErr w:type="spellEnd"/>
      <w:r>
        <w:t xml:space="preserve"> </w:t>
      </w:r>
      <w:proofErr w:type="spellStart"/>
      <w:r>
        <w:t>Supervision</w:t>
      </w:r>
      <w:proofErr w:type="spellEnd"/>
      <w:r>
        <w:t xml:space="preserve">: </w:t>
      </w:r>
      <w:proofErr w:type="spellStart"/>
      <w:r>
        <w:t>Principles</w:t>
      </w:r>
      <w:proofErr w:type="spellEnd"/>
      <w:r>
        <w:t xml:space="preserve"> and </w:t>
      </w:r>
      <w:proofErr w:type="spellStart"/>
      <w:r>
        <w:t>Practice</w:t>
      </w:r>
      <w:proofErr w:type="spellEnd"/>
      <w:r>
        <w:t xml:space="preserve">, BPS </w:t>
      </w:r>
      <w:proofErr w:type="spellStart"/>
      <w:r>
        <w:t>Blackwell</w:t>
      </w:r>
      <w:proofErr w:type="spellEnd"/>
      <w:r>
        <w:t>, Chichester, 2009. Testo di riferimento sulla supervisione clinica come componente dello sviluppo professionale, di cui documenta l’efficacia sul miglioramento delle competenze e sulla qualità della pratica; fonda la trattazione della supervisione fra le forme dell’affiancamento esperto.</w:t>
      </w:r>
    </w:p>
    <w:p w14:paraId="04B3CB57" w14:textId="77777777" w:rsidR="007C4598" w:rsidRDefault="00000000">
      <w:pPr>
        <w:jc w:val="both"/>
      </w:pPr>
      <w:r>
        <w:rPr>
          <w:color w:val="555555"/>
          <w:sz w:val="16"/>
          <w:szCs w:val="16"/>
          <w:vertAlign w:val="superscript"/>
        </w:rPr>
        <w:t>[17]</w:t>
      </w:r>
      <w:r>
        <w:t xml:space="preserve">: </w:t>
      </w:r>
      <w:proofErr w:type="spellStart"/>
      <w:r>
        <w:t>Eby</w:t>
      </w:r>
      <w:proofErr w:type="spellEnd"/>
      <w:r>
        <w:t xml:space="preserve"> L. T. et al., «</w:t>
      </w:r>
      <w:proofErr w:type="spellStart"/>
      <w:r>
        <w:t>Does</w:t>
      </w:r>
      <w:proofErr w:type="spellEnd"/>
      <w:r>
        <w:t xml:space="preserve"> </w:t>
      </w:r>
      <w:proofErr w:type="spellStart"/>
      <w:r>
        <w:t>mentoring</w:t>
      </w:r>
      <w:proofErr w:type="spellEnd"/>
      <w:r>
        <w:t xml:space="preserve"> </w:t>
      </w:r>
      <w:proofErr w:type="spellStart"/>
      <w:r>
        <w:t>matter</w:t>
      </w:r>
      <w:proofErr w:type="spellEnd"/>
      <w:r>
        <w:t xml:space="preserve">? A </w:t>
      </w:r>
      <w:proofErr w:type="spellStart"/>
      <w:r>
        <w:t>multidisciplinary</w:t>
      </w:r>
      <w:proofErr w:type="spellEnd"/>
      <w:r>
        <w:t xml:space="preserve"> meta-</w:t>
      </w:r>
      <w:proofErr w:type="spellStart"/>
      <w:r>
        <w:t>analysis</w:t>
      </w:r>
      <w:proofErr w:type="spellEnd"/>
      <w:r>
        <w:t xml:space="preserve"> </w:t>
      </w:r>
      <w:proofErr w:type="spellStart"/>
      <w:r>
        <w:t>comparing</w:t>
      </w:r>
      <w:proofErr w:type="spellEnd"/>
      <w:r>
        <w:t xml:space="preserve"> </w:t>
      </w:r>
      <w:proofErr w:type="spellStart"/>
      <w:r>
        <w:t>mentored</w:t>
      </w:r>
      <w:proofErr w:type="spellEnd"/>
      <w:r>
        <w:t xml:space="preserve"> and non-</w:t>
      </w:r>
      <w:proofErr w:type="spellStart"/>
      <w:r>
        <w:t>mentored</w:t>
      </w:r>
      <w:proofErr w:type="spellEnd"/>
      <w:r>
        <w:t xml:space="preserve"> </w:t>
      </w:r>
      <w:proofErr w:type="spellStart"/>
      <w:r>
        <w:t>individuals</w:t>
      </w:r>
      <w:proofErr w:type="spellEnd"/>
      <w:r>
        <w:t xml:space="preserve">», Journal of </w:t>
      </w:r>
      <w:proofErr w:type="spellStart"/>
      <w:r>
        <w:t>Vocational</w:t>
      </w:r>
      <w:proofErr w:type="spellEnd"/>
      <w:r>
        <w:t xml:space="preserve"> </w:t>
      </w:r>
      <w:proofErr w:type="spellStart"/>
      <w:r>
        <w:t>Behavior</w:t>
      </w:r>
      <w:proofErr w:type="spellEnd"/>
      <w:r>
        <w:t xml:space="preserve">, 72(2), 2008, pp. 254–267. Meta-analisi che documenta l’associazione tra il </w:t>
      </w:r>
      <w:proofErr w:type="spellStart"/>
      <w:r>
        <w:t>mentoring</w:t>
      </w:r>
      <w:proofErr w:type="spellEnd"/>
      <w:r>
        <w:t xml:space="preserve"> e lo sviluppo delle competenze e degli esiti professionali, qui assunta a sostegno della funzione del </w:t>
      </w:r>
      <w:proofErr w:type="spellStart"/>
      <w:r>
        <w:t>mentoring</w:t>
      </w:r>
      <w:proofErr w:type="spellEnd"/>
      <w:r>
        <w:t xml:space="preserve"> nella modalità dell’affiancamento.</w:t>
      </w:r>
    </w:p>
    <w:p w14:paraId="008C6A1A" w14:textId="77777777" w:rsidR="007C4598" w:rsidRDefault="00000000">
      <w:pPr>
        <w:jc w:val="both"/>
      </w:pPr>
      <w:r>
        <w:rPr>
          <w:color w:val="555555"/>
          <w:sz w:val="16"/>
          <w:szCs w:val="16"/>
          <w:vertAlign w:val="superscript"/>
        </w:rPr>
        <w:t>[19]</w:t>
      </w:r>
      <w:r>
        <w:t>: Reeves S. et al., «</w:t>
      </w:r>
      <w:proofErr w:type="spellStart"/>
      <w:r>
        <w:t>Interprofessional</w:t>
      </w:r>
      <w:proofErr w:type="spellEnd"/>
      <w:r>
        <w:t xml:space="preserve"> </w:t>
      </w:r>
      <w:proofErr w:type="spellStart"/>
      <w:r>
        <w:t>education</w:t>
      </w:r>
      <w:proofErr w:type="spellEnd"/>
      <w:r>
        <w:t xml:space="preserve">: </w:t>
      </w:r>
      <w:proofErr w:type="spellStart"/>
      <w:r>
        <w:t>effects</w:t>
      </w:r>
      <w:proofErr w:type="spellEnd"/>
      <w:r>
        <w:t xml:space="preserve"> on </w:t>
      </w:r>
      <w:proofErr w:type="spellStart"/>
      <w:r>
        <w:t>professional</w:t>
      </w:r>
      <w:proofErr w:type="spellEnd"/>
      <w:r>
        <w:t xml:space="preserve"> </w:t>
      </w:r>
      <w:proofErr w:type="spellStart"/>
      <w:r>
        <w:t>practice</w:t>
      </w:r>
      <w:proofErr w:type="spellEnd"/>
      <w:r>
        <w:t xml:space="preserve"> and </w:t>
      </w:r>
      <w:proofErr w:type="spellStart"/>
      <w:r>
        <w:t>healthcare</w:t>
      </w:r>
      <w:proofErr w:type="spellEnd"/>
      <w:r>
        <w:t xml:space="preserve"> </w:t>
      </w:r>
      <w:proofErr w:type="spellStart"/>
      <w:r>
        <w:t>outcomes</w:t>
      </w:r>
      <w:proofErr w:type="spellEnd"/>
      <w:r>
        <w:t xml:space="preserve"> (update)», </w:t>
      </w:r>
      <w:proofErr w:type="spellStart"/>
      <w:r>
        <w:t>Cochrane</w:t>
      </w:r>
      <w:proofErr w:type="spellEnd"/>
      <w:r>
        <w:t xml:space="preserve"> Database of </w:t>
      </w:r>
      <w:proofErr w:type="spellStart"/>
      <w:r>
        <w:t>Systematic</w:t>
      </w:r>
      <w:proofErr w:type="spellEnd"/>
      <w:r>
        <w:t xml:space="preserve"> </w:t>
      </w:r>
      <w:proofErr w:type="spellStart"/>
      <w:r>
        <w:t>Reviews</w:t>
      </w:r>
      <w:proofErr w:type="spellEnd"/>
      <w:r>
        <w:t>, 3, 2013, CD002213. Revisione che documenta gli effetti della formazione interprofessionale sulla pratica e sugli esiti, qui assunta a fondamento della dimensione interprofessionale del percorso formativo integrato.</w:t>
      </w:r>
    </w:p>
    <w:p w14:paraId="25CF2257" w14:textId="77777777" w:rsidR="007C4598" w:rsidRDefault="00000000">
      <w:pPr>
        <w:jc w:val="both"/>
      </w:pPr>
      <w:r>
        <w:rPr>
          <w:color w:val="555555"/>
          <w:sz w:val="16"/>
          <w:szCs w:val="16"/>
          <w:vertAlign w:val="superscript"/>
        </w:rPr>
        <w:t>[18]</w:t>
      </w:r>
      <w:r>
        <w:t xml:space="preserve">: </w:t>
      </w:r>
      <w:proofErr w:type="spellStart"/>
      <w:r>
        <w:t>Liu</w:t>
      </w:r>
      <w:proofErr w:type="spellEnd"/>
      <w:r>
        <w:t xml:space="preserve"> Q. et al., «The </w:t>
      </w:r>
      <w:proofErr w:type="spellStart"/>
      <w:r>
        <w:t>Effectiveness</w:t>
      </w:r>
      <w:proofErr w:type="spellEnd"/>
      <w:r>
        <w:t xml:space="preserve"> of </w:t>
      </w:r>
      <w:proofErr w:type="spellStart"/>
      <w:r>
        <w:t>Blended</w:t>
      </w:r>
      <w:proofErr w:type="spellEnd"/>
      <w:r>
        <w:t xml:space="preserve"> Learning in </w:t>
      </w:r>
      <w:proofErr w:type="spellStart"/>
      <w:r>
        <w:t>Health</w:t>
      </w:r>
      <w:proofErr w:type="spellEnd"/>
      <w:r>
        <w:t xml:space="preserve"> </w:t>
      </w:r>
      <w:proofErr w:type="spellStart"/>
      <w:r>
        <w:t>Professions</w:t>
      </w:r>
      <w:proofErr w:type="spellEnd"/>
      <w:r>
        <w:t xml:space="preserve">: </w:t>
      </w:r>
      <w:proofErr w:type="spellStart"/>
      <w:r>
        <w:t>Systematic</w:t>
      </w:r>
      <w:proofErr w:type="spellEnd"/>
      <w:r>
        <w:t xml:space="preserve"> </w:t>
      </w:r>
      <w:proofErr w:type="spellStart"/>
      <w:r>
        <w:t>Review</w:t>
      </w:r>
      <w:proofErr w:type="spellEnd"/>
      <w:r>
        <w:t xml:space="preserve"> and Meta-Analysis», Journal of </w:t>
      </w:r>
      <w:proofErr w:type="spellStart"/>
      <w:r>
        <w:t>Medical</w:t>
      </w:r>
      <w:proofErr w:type="spellEnd"/>
      <w:r>
        <w:t xml:space="preserve"> Internet </w:t>
      </w:r>
      <w:proofErr w:type="spellStart"/>
      <w:r>
        <w:t>Research</w:t>
      </w:r>
      <w:proofErr w:type="spellEnd"/>
      <w:r>
        <w:t xml:space="preserve">, 18(1), 2016, e2. Revisione sistematica che documenta l’efficacia dei percorsi formativi integrati, in cui più modalità si compongono, rispetto alle modalità isolate; sostiene la proposizione di </w:t>
      </w:r>
      <w:proofErr w:type="spellStart"/>
      <w:r>
        <w:t>superadditività</w:t>
      </w:r>
      <w:proofErr w:type="spellEnd"/>
      <w:r>
        <w:t xml:space="preserve"> del percorso formativo integrato.</w:t>
      </w:r>
    </w:p>
    <w:p w14:paraId="1665349B" w14:textId="77777777" w:rsidR="007C4598" w:rsidRDefault="00000000">
      <w:pPr>
        <w:jc w:val="both"/>
      </w:pPr>
      <w:r>
        <w:rPr>
          <w:color w:val="555555"/>
          <w:sz w:val="16"/>
          <w:szCs w:val="16"/>
          <w:vertAlign w:val="superscript"/>
        </w:rPr>
        <w:t>[20]</w:t>
      </w:r>
      <w:r>
        <w:t xml:space="preserve">: </w:t>
      </w:r>
      <w:proofErr w:type="spellStart"/>
      <w:r>
        <w:t>Rogers</w:t>
      </w:r>
      <w:proofErr w:type="spellEnd"/>
      <w:r>
        <w:t xml:space="preserve"> E. M., </w:t>
      </w:r>
      <w:proofErr w:type="spellStart"/>
      <w:r>
        <w:t>Diffusion</w:t>
      </w:r>
      <w:proofErr w:type="spellEnd"/>
      <w:r>
        <w:t xml:space="preserve"> of </w:t>
      </w:r>
      <w:proofErr w:type="spellStart"/>
      <w:r>
        <w:t>Innovations</w:t>
      </w:r>
      <w:proofErr w:type="spellEnd"/>
      <w:r>
        <w:t xml:space="preserve">, 5ª ed., Free Press, New York, 2003. Opera di riferimento sulla diffusione delle innovazioni, che descrive l’adozione di una novità come un processo a curva </w:t>
      </w:r>
      <w:proofErr w:type="spellStart"/>
      <w:r>
        <w:t>sigmoide</w:t>
      </w:r>
      <w:proofErr w:type="spellEnd"/>
      <w:r>
        <w:t xml:space="preserve"> articolato in categorie di adottanti; fonda la trattazione delle curve di adozione delle competenze digitali.</w:t>
      </w:r>
    </w:p>
    <w:p w14:paraId="439FEAD9" w14:textId="77777777" w:rsidR="007C4598" w:rsidRDefault="00000000">
      <w:pPr>
        <w:jc w:val="both"/>
      </w:pPr>
      <w:r>
        <w:rPr>
          <w:color w:val="555555"/>
          <w:sz w:val="16"/>
          <w:szCs w:val="16"/>
          <w:vertAlign w:val="superscript"/>
        </w:rPr>
        <w:t>[21]</w:t>
      </w:r>
      <w:r>
        <w:t>: Davis F. D., «</w:t>
      </w:r>
      <w:proofErr w:type="spellStart"/>
      <w:r>
        <w:t>Perceived</w:t>
      </w:r>
      <w:proofErr w:type="spellEnd"/>
      <w:r>
        <w:t xml:space="preserve"> </w:t>
      </w:r>
      <w:proofErr w:type="spellStart"/>
      <w:r>
        <w:t>usefulness</w:t>
      </w:r>
      <w:proofErr w:type="spellEnd"/>
      <w:r>
        <w:t xml:space="preserve">, </w:t>
      </w:r>
      <w:proofErr w:type="spellStart"/>
      <w:r>
        <w:t>perceived</w:t>
      </w:r>
      <w:proofErr w:type="spellEnd"/>
      <w:r>
        <w:t xml:space="preserve"> </w:t>
      </w:r>
      <w:proofErr w:type="spellStart"/>
      <w:r>
        <w:t>ease</w:t>
      </w:r>
      <w:proofErr w:type="spellEnd"/>
      <w:r>
        <w:t xml:space="preserve"> of use, and </w:t>
      </w:r>
      <w:proofErr w:type="spellStart"/>
      <w:r>
        <w:t>user</w:t>
      </w:r>
      <w:proofErr w:type="spellEnd"/>
      <w:r>
        <w:t xml:space="preserve"> </w:t>
      </w:r>
      <w:proofErr w:type="spellStart"/>
      <w:r>
        <w:t>acceptance</w:t>
      </w:r>
      <w:proofErr w:type="spellEnd"/>
      <w:r>
        <w:t xml:space="preserve"> of information </w:t>
      </w:r>
      <w:proofErr w:type="spellStart"/>
      <w:r>
        <w:t>technology</w:t>
      </w:r>
      <w:proofErr w:type="spellEnd"/>
      <w:r>
        <w:t xml:space="preserve">», MIS </w:t>
      </w:r>
      <w:proofErr w:type="spellStart"/>
      <w:r>
        <w:t>Quarterly</w:t>
      </w:r>
      <w:proofErr w:type="spellEnd"/>
      <w:r>
        <w:t>, 13(3), 1989, pp. 319–340. Origine del modello di accettazione della tecnologia, che individua nell’utilità percepita e nella facilità d’uso percepita i determinanti dell’adozione; sostiene l’analisi dei fattori su cui la formazione agisce per accelerare l’adozione.</w:t>
      </w:r>
    </w:p>
    <w:p w14:paraId="6901626E" w14:textId="77777777" w:rsidR="007C4598" w:rsidRDefault="00000000">
      <w:r>
        <w:br w:type="page"/>
      </w:r>
    </w:p>
    <w:p w14:paraId="752A0527" w14:textId="77777777" w:rsidR="007C4598" w:rsidRDefault="00000000">
      <w:pPr>
        <w:spacing w:before="1200" w:after="200"/>
        <w:jc w:val="center"/>
      </w:pPr>
      <w:r>
        <w:rPr>
          <w:b/>
          <w:bCs/>
          <w:color w:val="C49A48"/>
          <w:sz w:val="64"/>
          <w:szCs w:val="64"/>
        </w:rPr>
        <w:t>PARTE VI</w:t>
      </w:r>
    </w:p>
    <w:p w14:paraId="68149849" w14:textId="77777777" w:rsidR="007C4598" w:rsidRDefault="00000000">
      <w:pPr>
        <w:spacing w:after="600"/>
        <w:jc w:val="center"/>
      </w:pPr>
      <w:r>
        <w:rPr>
          <w:b/>
          <w:bCs/>
          <w:color w:val="16264B"/>
          <w:sz w:val="32"/>
          <w:szCs w:val="32"/>
        </w:rPr>
        <w:t>Efficacia, evidenza e meccanismi di impatto</w:t>
      </w:r>
    </w:p>
    <w:p w14:paraId="792310BE" w14:textId="77777777" w:rsidR="007C4598" w:rsidRDefault="007C4598">
      <w:pPr>
        <w:pBdr>
          <w:bottom w:val="single" w:sz="6" w:space="1" w:color="C49A48"/>
        </w:pBdr>
        <w:spacing w:after="200"/>
      </w:pPr>
    </w:p>
    <w:p w14:paraId="51463C43" w14:textId="77777777" w:rsidR="007C4598" w:rsidRDefault="00000000">
      <w:pPr>
        <w:jc w:val="both"/>
      </w:pPr>
      <w:r>
        <w:rPr>
          <w:b/>
          <w:bCs/>
        </w:rPr>
        <w:t>Progetto «Psicologo di Base» · Regione Puglia</w:t>
      </w:r>
      <w:r>
        <w:tab/>
        <w:t>Studio Integrale · Parte VI</w:t>
      </w:r>
    </w:p>
    <w:p w14:paraId="0E82BE1E" w14:textId="77777777" w:rsidR="007C4598" w:rsidRDefault="007C4598"/>
    <w:p w14:paraId="48C44E54" w14:textId="77777777" w:rsidR="007C4598" w:rsidRDefault="00000000">
      <w:pPr>
        <w:jc w:val="both"/>
      </w:pPr>
      <w:r>
        <w:rPr>
          <w:b/>
          <w:bCs/>
        </w:rPr>
        <w:t>PROGETTO «PSICOLOGO DI BASE» · REGIONE PUGLIA</w:t>
      </w:r>
    </w:p>
    <w:p w14:paraId="2DFDC6A8" w14:textId="77777777" w:rsidR="007C4598" w:rsidRDefault="007C4598"/>
    <w:p w14:paraId="7BBAE236" w14:textId="77777777" w:rsidR="007C4598" w:rsidRDefault="00000000">
      <w:pPr>
        <w:jc w:val="both"/>
      </w:pPr>
      <w:r>
        <w:rPr>
          <w:b/>
          <w:bCs/>
        </w:rPr>
        <w:t>Studio Integrale, Finale e Definitivo</w:t>
      </w:r>
    </w:p>
    <w:p w14:paraId="4B8520E3" w14:textId="77777777" w:rsidR="007C4598" w:rsidRDefault="007C4598"/>
    <w:p w14:paraId="4D4B7443" w14:textId="77777777" w:rsidR="007C4598" w:rsidRDefault="00000000">
      <w:pPr>
        <w:jc w:val="both"/>
      </w:pPr>
      <w:r>
        <w:rPr>
          <w:i/>
          <w:iCs/>
        </w:rPr>
        <w:t>Parte Sesta</w:t>
      </w:r>
    </w:p>
    <w:p w14:paraId="62B81956" w14:textId="77777777" w:rsidR="007C4598" w:rsidRDefault="007C4598"/>
    <w:p w14:paraId="4BB0E0C4" w14:textId="77777777" w:rsidR="007C4598" w:rsidRDefault="00000000">
      <w:pPr>
        <w:jc w:val="both"/>
      </w:pPr>
      <w:r>
        <w:rPr>
          <w:b/>
          <w:bCs/>
        </w:rPr>
        <w:t>PARTE VI</w:t>
      </w:r>
    </w:p>
    <w:p w14:paraId="5BABA7F4" w14:textId="77777777" w:rsidR="007C4598" w:rsidRDefault="007C4598"/>
    <w:p w14:paraId="635712EE" w14:textId="77777777" w:rsidR="007C4598" w:rsidRDefault="00000000">
      <w:pPr>
        <w:jc w:val="both"/>
      </w:pPr>
      <w:r>
        <w:rPr>
          <w:b/>
          <w:bCs/>
        </w:rPr>
        <w:t>Efficacia, evidenza e meccanismi di impatto</w:t>
      </w:r>
    </w:p>
    <w:p w14:paraId="1E7E25C1" w14:textId="77777777" w:rsidR="007C4598" w:rsidRDefault="007C4598"/>
    <w:p w14:paraId="687B292A" w14:textId="77777777" w:rsidR="007C4598" w:rsidRDefault="00000000">
      <w:pPr>
        <w:jc w:val="both"/>
      </w:pPr>
      <w:r>
        <w:rPr>
          <w:i/>
          <w:iCs/>
        </w:rPr>
        <w:t>La base di evidenza della riforma del Servizio di Psicologia di Base: graduazione simmetrica dell’evidenza clinica e dell’Intelligenza Artificiale, ricostruzione della catena causale dall’esito clinico al risparmio fiscale e alla ricaduta sociale, e prova di trasferibilità al contesto pugliese</w:t>
      </w:r>
    </w:p>
    <w:p w14:paraId="57E7181B" w14:textId="77777777" w:rsidR="007C4598" w:rsidRDefault="007C4598"/>
    <w:p w14:paraId="5794BA92" w14:textId="77777777" w:rsidR="007C4598" w:rsidRDefault="00000000">
      <w:pPr>
        <w:jc w:val="both"/>
      </w:pPr>
      <w:r>
        <w:t>Perimetro multidisciplinare integrale</w:t>
      </w:r>
    </w:p>
    <w:p w14:paraId="7FC6490E" w14:textId="77777777" w:rsidR="007C4598" w:rsidRDefault="007C4598"/>
    <w:p w14:paraId="74ED8C01" w14:textId="77777777" w:rsidR="007C4598" w:rsidRDefault="00000000">
      <w:pPr>
        <w:jc w:val="both"/>
      </w:pPr>
      <w:r>
        <w:t>Cascata gerarchica piramidale dallo Psicologo di Base</w:t>
      </w:r>
    </w:p>
    <w:p w14:paraId="5820EE2F" w14:textId="77777777" w:rsidR="007C4598" w:rsidRDefault="007C4598"/>
    <w:p w14:paraId="025E699A" w14:textId="77777777" w:rsidR="007C4598" w:rsidRDefault="00000000">
      <w:pPr>
        <w:jc w:val="both"/>
      </w:pPr>
      <w:r>
        <w:t>L’Intelligenza Artificiale come leva abilitante, non come oggetto centrale</w:t>
      </w:r>
    </w:p>
    <w:p w14:paraId="7B05FB54" w14:textId="77777777" w:rsidR="007C4598" w:rsidRDefault="007C4598"/>
    <w:p w14:paraId="2F87C32D" w14:textId="77777777" w:rsidR="007C4598" w:rsidRDefault="00000000">
      <w:pPr>
        <w:jc w:val="both"/>
      </w:pPr>
      <w:r>
        <w:t xml:space="preserve">Telaio HTA, </w:t>
      </w:r>
      <w:proofErr w:type="spellStart"/>
      <w:r>
        <w:t>Five</w:t>
      </w:r>
      <w:proofErr w:type="spellEnd"/>
      <w:r>
        <w:t xml:space="preserve"> Case Model, CHEERS 2022, criteri OCSE-DAC</w:t>
      </w:r>
    </w:p>
    <w:p w14:paraId="065750EB" w14:textId="77777777" w:rsidR="007C4598" w:rsidRDefault="007C4598"/>
    <w:p w14:paraId="5EC80A5B" w14:textId="77777777" w:rsidR="007C4598" w:rsidRDefault="00000000">
      <w:pPr>
        <w:jc w:val="both"/>
      </w:pPr>
      <w:r>
        <w:rPr>
          <w:b/>
          <w:bCs/>
        </w:rPr>
        <w:t>Autore intellettuale della riforma: Luigi De Michele</w:t>
      </w:r>
    </w:p>
    <w:p w14:paraId="3B422DBC" w14:textId="77777777" w:rsidR="007C4598" w:rsidRDefault="007C4598"/>
    <w:p w14:paraId="74E1559E" w14:textId="77777777" w:rsidR="007C4598" w:rsidRDefault="00000000">
      <w:pPr>
        <w:jc w:val="both"/>
      </w:pPr>
      <w:r>
        <w:t>Codice fiscale DMCLGU82E11Z112C · PEC luigidemichele@legalmail.it</w:t>
      </w:r>
    </w:p>
    <w:p w14:paraId="039E83D1" w14:textId="77777777" w:rsidR="007C4598" w:rsidRDefault="007C4598"/>
    <w:p w14:paraId="73338E50" w14:textId="77777777" w:rsidR="007C4598" w:rsidRDefault="00000000">
      <w:pPr>
        <w:jc w:val="both"/>
      </w:pPr>
      <w:r>
        <w:rPr>
          <w:i/>
          <w:iCs/>
        </w:rPr>
        <w:t>Giugno 2026</w:t>
      </w:r>
    </w:p>
    <w:p w14:paraId="1BE78568" w14:textId="77777777" w:rsidR="007C4598" w:rsidRDefault="007C4598"/>
    <w:p w14:paraId="1BF5A14E" w14:textId="77777777" w:rsidR="007C4598" w:rsidRDefault="00000000">
      <w:pPr>
        <w:jc w:val="both"/>
      </w:pPr>
      <w:r>
        <w:rPr>
          <w:b/>
          <w:bCs/>
        </w:rPr>
        <w:t>AVVERTENZA</w:t>
      </w:r>
    </w:p>
    <w:p w14:paraId="3939DB7E" w14:textId="77777777" w:rsidR="007C4598" w:rsidRDefault="007C4598"/>
    <w:p w14:paraId="7BA6466A" w14:textId="77777777" w:rsidR="007C4598" w:rsidRDefault="00000000">
      <w:pPr>
        <w:pStyle w:val="Titolo1"/>
        <w:pageBreakBefore/>
      </w:pPr>
      <w:r>
        <w:rPr>
          <w:sz w:val="22"/>
          <w:szCs w:val="22"/>
        </w:rPr>
        <w:t>Avvertenza sui vincoli metodologici invarianti</w:t>
      </w:r>
    </w:p>
    <w:p w14:paraId="34E841F3" w14:textId="77777777" w:rsidR="007C4598" w:rsidRDefault="007C4598"/>
    <w:p w14:paraId="4D36E144" w14:textId="77777777" w:rsidR="007C4598" w:rsidRDefault="00000000">
      <w:pPr>
        <w:jc w:val="both"/>
      </w:pPr>
      <w:r>
        <w:t>La presente parte dello studio integrale, finale e definitivo sulla riforma del Servizio di Psicologia di Base in Puglia è dedicata alla base di evidenza della riforma. Più di ogni altra, essa è esposta al rischio dell’enfasi, perché raccoglie i risultati di efficacia che fondano l’intera architettura economica delle parti successive. Proprio per questo, essa è vincolata in modo stringente ai principi metodologici invarianti del progetto, che qui si richiamano e che nessuna stima, nessuna proiezione e nessuna affermazione contenuta in questa o in qualunque parte seguente potrà violare.</w:t>
      </w:r>
    </w:p>
    <w:p w14:paraId="4D6CCD50" w14:textId="77777777" w:rsidR="007C4598" w:rsidRDefault="007C4598"/>
    <w:p w14:paraId="620D4735" w14:textId="77777777" w:rsidR="007C4598" w:rsidRDefault="00000000">
      <w:pPr>
        <w:jc w:val="both"/>
      </w:pPr>
      <w:r>
        <w:t>Il ritorno economico degli investimenti in salute mentale è espresso esclusivamente negli intervalli corretti, compresi tra 2,3 e 3,0 a 1 per i soli benefici economici e tra 3,3 e 5,7 a 1 con l’inclusione dei ritorni in salute, secondo l’analisi globale di ritorno sull’investimento commissionata dall’Organizzazione Mondiale della Sanità</w:t>
      </w:r>
      <w:r>
        <w:rPr>
          <w:color w:val="555555"/>
          <w:sz w:val="16"/>
          <w:szCs w:val="16"/>
          <w:vertAlign w:val="superscript"/>
        </w:rPr>
        <w:t>[1]</w:t>
      </w:r>
      <w:r>
        <w:t xml:space="preserve">. Sono esclusi, in ogni punto dell’opera, i valori non sostenuti dalla letteratura. Il </w:t>
      </w:r>
      <w:proofErr w:type="spellStart"/>
      <w:r>
        <w:t>caveat</w:t>
      </w:r>
      <w:proofErr w:type="spellEnd"/>
      <w:r>
        <w:t xml:space="preserve"> dell’IMPACT trial, secondo cui i risparmi sui costi sanitari diretti non raggiungono la significatività statistica, è preservato ogni volta che la materia lo renda pertinente, e nessun risparmio sanitario diretto è presentato come acquisito quando l’intervallo di confidenza al novantacinque per cento attraversa lo zero</w:t>
      </w:r>
      <w:r>
        <w:rPr>
          <w:color w:val="555555"/>
          <w:sz w:val="16"/>
          <w:szCs w:val="16"/>
          <w:vertAlign w:val="superscript"/>
        </w:rPr>
        <w:t>[2]</w:t>
      </w:r>
      <w:r>
        <w:t>.</w:t>
      </w:r>
    </w:p>
    <w:p w14:paraId="3271B198" w14:textId="77777777" w:rsidR="007C4598" w:rsidRDefault="007C4598"/>
    <w:p w14:paraId="4EB6D8ED" w14:textId="77777777" w:rsidR="007C4598" w:rsidRDefault="00000000">
      <w:pPr>
        <w:jc w:val="both"/>
      </w:pPr>
      <w:r>
        <w:t>Le grandezze fiscali dirette e quelle sociali e indirette sono mantenute rigorosamente distinte, senza alcuna duplicazione tra le categorie: un medesimo beneficio non è mai attribuito contemporaneamente a più cause, né sommato in un unico saldo che confonda il risparmio per il bilancio sanitario regionale con il valore sociale per la collettività. Ogni proiezione adotta bande prudenziali e si formula come previsione falsificabile, corredata delle soglie il cui superamento modifica la conclusione. Ogni evidenza, comprese quelle relative all’Intelligenza Artificiale, è graduata secondo la sua qualità con il medesimo rigore applicato alle affermazioni cliniche, attraverso il sistema di valutazione della certezza dell’evidenza adottato dalla comunità scientifica internazionale</w:t>
      </w:r>
      <w:r>
        <w:rPr>
          <w:color w:val="555555"/>
          <w:sz w:val="16"/>
          <w:szCs w:val="16"/>
          <w:vertAlign w:val="superscript"/>
        </w:rPr>
        <w:t>[3]</w:t>
      </w:r>
      <w:r>
        <w:t>.</w:t>
      </w:r>
    </w:p>
    <w:p w14:paraId="57ACEB97" w14:textId="77777777" w:rsidR="007C4598" w:rsidRDefault="007C4598"/>
    <w:p w14:paraId="1FD6E47D" w14:textId="77777777" w:rsidR="007C4598" w:rsidRDefault="00000000">
      <w:pPr>
        <w:jc w:val="both"/>
      </w:pPr>
      <w:r>
        <w:rPr>
          <w:i/>
          <w:iCs/>
        </w:rPr>
        <w:t>Questa parte stabilisce ciò che l’evidenza dimostra; non quantifica in euro. La traduzione economica dei risultati di efficacia è riservata alle parti dedicate alla valutazione economica, dove i medesimi vincoli qui richiamati governano ogni cifra.</w:t>
      </w:r>
    </w:p>
    <w:p w14:paraId="120840B7" w14:textId="77777777" w:rsidR="007C4598" w:rsidRDefault="007C4598"/>
    <w:p w14:paraId="61A773E3" w14:textId="77777777" w:rsidR="007C4598" w:rsidRDefault="00000000">
      <w:pPr>
        <w:jc w:val="both"/>
      </w:pPr>
      <w:r>
        <w:rPr>
          <w:b/>
          <w:bCs/>
        </w:rPr>
        <w:t>PARTE VI · STRUTTURA</w:t>
      </w:r>
    </w:p>
    <w:p w14:paraId="7015A946" w14:textId="77777777" w:rsidR="007C4598" w:rsidRDefault="007C4598"/>
    <w:p w14:paraId="0A0BCC28" w14:textId="77777777" w:rsidR="007C4598" w:rsidRDefault="00000000">
      <w:pPr>
        <w:pStyle w:val="Titolo1"/>
        <w:pageBreakBefore/>
      </w:pPr>
      <w:r>
        <w:rPr>
          <w:sz w:val="22"/>
          <w:szCs w:val="22"/>
        </w:rPr>
        <w:t>Indice della parte</w:t>
      </w:r>
    </w:p>
    <w:p w14:paraId="01A3D966" w14:textId="77777777" w:rsidR="007C4598" w:rsidRDefault="007C4598"/>
    <w:p w14:paraId="05D7E0BF" w14:textId="77777777" w:rsidR="007C4598" w:rsidRDefault="00000000">
      <w:pPr>
        <w:jc w:val="both"/>
      </w:pPr>
      <w:r>
        <w:t>La sesta parte raccoglie e gradua le evidenze di efficacia su cui poggia la riforma. Essa si articola in una premessa che ne dichiara la funzione, in un’introduzione che ne espone l’architettura e la postura epistemologica, in sei sezioni di sviluppo, in un quadro conclusivo economico-sociale e multidisciplinare integrale, in una conclusione e nelle note bibliografiche integrali con i relativi mini-riassunti. Le sei sezioni procedono dall’efficacia clinica dell’integrazione, attraverso i programmi internazionali di riferimento e l’evidenza degli strumenti digitali e dell’Intelligenza Artificiale, fino alla catena causale dell’impatto, ai dati dei progetti pilota italiani e alla trasferibilità delle evidenze al contesto pugliese.</w:t>
      </w:r>
    </w:p>
    <w:p w14:paraId="45D5A5D3" w14:textId="77777777" w:rsidR="007C4598" w:rsidRDefault="007C4598"/>
    <w:p w14:paraId="30477BF6" w14:textId="77777777" w:rsidR="007C4598" w:rsidRDefault="00000000">
      <w:pPr>
        <w:jc w:val="both"/>
      </w:pPr>
      <w:r>
        <w:rPr>
          <w:b/>
          <w:bCs/>
        </w:rPr>
        <w:t>6.1 </w:t>
      </w:r>
      <w:r>
        <w:t>L’efficacia clinica dell’integrazione tra psicologia e cure primarie</w:t>
      </w:r>
    </w:p>
    <w:p w14:paraId="416B689B" w14:textId="77777777" w:rsidR="007C4598" w:rsidRDefault="007C4598"/>
    <w:p w14:paraId="5098CCC9" w14:textId="77777777" w:rsidR="007C4598" w:rsidRDefault="00000000">
      <w:pPr>
        <w:jc w:val="both"/>
      </w:pPr>
      <w:r>
        <w:rPr>
          <w:b/>
          <w:bCs/>
        </w:rPr>
        <w:t>6.2 </w:t>
      </w:r>
      <w:r>
        <w:t>I programmi internazionali di riferimento (Servizio sanitario inglese, modello olandese, iniziativa australiana, assistenza collaborativa statunitense)</w:t>
      </w:r>
    </w:p>
    <w:p w14:paraId="10F529FE" w14:textId="77777777" w:rsidR="007C4598" w:rsidRDefault="007C4598"/>
    <w:p w14:paraId="2858A920" w14:textId="77777777" w:rsidR="007C4598" w:rsidRDefault="00000000">
      <w:pPr>
        <w:jc w:val="both"/>
      </w:pPr>
      <w:r>
        <w:rPr>
          <w:b/>
          <w:bCs/>
        </w:rPr>
        <w:t>6.3 </w:t>
      </w:r>
      <w:r>
        <w:t>L’efficacia degli strumenti digitali e dell’Intelligenza Artificiale (terapie digitali, CBT via internet, modelli predittivi) con graduazione GRADE</w:t>
      </w:r>
    </w:p>
    <w:p w14:paraId="6C5CFEC6" w14:textId="77777777" w:rsidR="007C4598" w:rsidRDefault="007C4598"/>
    <w:p w14:paraId="46A6DD14" w14:textId="77777777" w:rsidR="007C4598" w:rsidRDefault="00000000">
      <w:pPr>
        <w:jc w:val="both"/>
      </w:pPr>
      <w:r>
        <w:rPr>
          <w:b/>
          <w:bCs/>
        </w:rPr>
        <w:t>6.4 </w:t>
      </w:r>
      <w:r>
        <w:t>La catena causale dell’impatto: dall’esito clinico al risparmio fiscale e alla ricaduta sociale</w:t>
      </w:r>
    </w:p>
    <w:p w14:paraId="0A7C185E" w14:textId="77777777" w:rsidR="007C4598" w:rsidRDefault="007C4598"/>
    <w:p w14:paraId="55BF884B" w14:textId="77777777" w:rsidR="007C4598" w:rsidRDefault="00000000">
      <w:pPr>
        <w:jc w:val="both"/>
      </w:pPr>
      <w:r>
        <w:rPr>
          <w:b/>
          <w:bCs/>
        </w:rPr>
        <w:t>6.5 </w:t>
      </w:r>
      <w:r>
        <w:t>I dati dei progetti pilota italiani e le cautele (campioni limitati, letteratura grigia)</w:t>
      </w:r>
    </w:p>
    <w:p w14:paraId="2FDC7D4A" w14:textId="77777777" w:rsidR="007C4598" w:rsidRDefault="007C4598"/>
    <w:p w14:paraId="38BF43C5" w14:textId="77777777" w:rsidR="007C4598" w:rsidRDefault="00000000">
      <w:pPr>
        <w:jc w:val="both"/>
      </w:pPr>
      <w:r>
        <w:rPr>
          <w:b/>
          <w:bCs/>
        </w:rPr>
        <w:t>6.6 </w:t>
      </w:r>
      <w:r>
        <w:t>La trasferibilità delle evidenze al contesto pugliese</w:t>
      </w:r>
    </w:p>
    <w:p w14:paraId="1C97A5C6" w14:textId="77777777" w:rsidR="007C4598" w:rsidRDefault="007C4598"/>
    <w:p w14:paraId="00BF622B" w14:textId="77777777" w:rsidR="007C4598" w:rsidRDefault="00000000">
      <w:pPr>
        <w:jc w:val="both"/>
      </w:pPr>
      <w:r>
        <w:rPr>
          <w:b/>
          <w:bCs/>
        </w:rPr>
        <w:t>◆ </w:t>
      </w:r>
      <w:r>
        <w:t>Quadro conclusivo economico-sociale e multidisciplinare integrale</w:t>
      </w:r>
    </w:p>
    <w:p w14:paraId="4925B8CD" w14:textId="77777777" w:rsidR="007C4598" w:rsidRDefault="007C4598"/>
    <w:p w14:paraId="472F7E9E" w14:textId="77777777" w:rsidR="007C4598" w:rsidRDefault="00000000">
      <w:pPr>
        <w:jc w:val="both"/>
      </w:pPr>
      <w:r>
        <w:rPr>
          <w:b/>
          <w:bCs/>
        </w:rPr>
        <w:t>◆ </w:t>
      </w:r>
      <w:r>
        <w:t>Conclusione</w:t>
      </w:r>
    </w:p>
    <w:p w14:paraId="04195928" w14:textId="77777777" w:rsidR="007C4598" w:rsidRDefault="007C4598"/>
    <w:p w14:paraId="5B7DFA45" w14:textId="77777777" w:rsidR="007C4598" w:rsidRDefault="00000000">
      <w:pPr>
        <w:jc w:val="both"/>
      </w:pPr>
      <w:r>
        <w:rPr>
          <w:b/>
          <w:bCs/>
        </w:rPr>
        <w:t>◆ </w:t>
      </w:r>
      <w:r>
        <w:t>Note bibliografiche integrali</w:t>
      </w:r>
    </w:p>
    <w:p w14:paraId="0AF6FF63" w14:textId="77777777" w:rsidR="007C4598" w:rsidRDefault="007C4598"/>
    <w:p w14:paraId="40B03608" w14:textId="77777777" w:rsidR="007C4598" w:rsidRDefault="00000000">
      <w:pPr>
        <w:jc w:val="both"/>
      </w:pPr>
      <w:r>
        <w:rPr>
          <w:b/>
          <w:bCs/>
        </w:rPr>
        <w:t>PARTE VI</w:t>
      </w:r>
    </w:p>
    <w:p w14:paraId="4315AC2B" w14:textId="77777777" w:rsidR="007C4598" w:rsidRDefault="007C4598"/>
    <w:p w14:paraId="317AD09A" w14:textId="77777777" w:rsidR="007C4598" w:rsidRDefault="00000000">
      <w:pPr>
        <w:pStyle w:val="Titolo1"/>
        <w:pageBreakBefore/>
      </w:pPr>
      <w:r>
        <w:rPr>
          <w:sz w:val="22"/>
          <w:szCs w:val="22"/>
        </w:rPr>
        <w:t>Premessa</w:t>
      </w:r>
    </w:p>
    <w:p w14:paraId="4FA17BC3" w14:textId="77777777" w:rsidR="007C4598" w:rsidRDefault="007C4598"/>
    <w:p w14:paraId="0115BD30" w14:textId="77777777" w:rsidR="007C4598" w:rsidRDefault="00000000">
      <w:pPr>
        <w:jc w:val="both"/>
      </w:pPr>
      <w:r>
        <w:t>Le parti che precedono hanno definito il mandato e il metodo, hanno misurato il bisogno e il contesto, hanno disposto le figure lungo la cascata gerarchica piramidale, hanno descritto il modello organizzativo e le sue leve abilitanti, e hanno trattato la formazione del personale come pilastro trasversale. Tutte, però, hanno operato sul piano della costruzione: hanno enunciato che cosa la riforma è, come si organizza e quali figure mette in movimento. Nessuna di esse ha ancora dimostrato che la riforma funziona. È questo il compito della sesta parte, ed è un compito di natura diversa da tutti i precedenti, perché non riguarda l’architettura dell’intervento, ma la prova che quell’architettura produce gli effetti che le si attribuiscono.</w:t>
      </w:r>
    </w:p>
    <w:p w14:paraId="3A0789A5" w14:textId="77777777" w:rsidR="007C4598" w:rsidRDefault="007C4598"/>
    <w:p w14:paraId="4E38430D" w14:textId="77777777" w:rsidR="007C4598" w:rsidRDefault="00000000">
      <w:pPr>
        <w:jc w:val="both"/>
      </w:pPr>
      <w:r>
        <w:t>La distinzione tra ciò che un’opera afferma e ciò che essa dimostra è il fondamento della sua credibilità presso il decisore pubblico. Un disegno di riforma, per quanto coerente e ben ordinato, resta una proposta finché le sue premesse di efficacia non siano sottoposte al vaglio dell’evidenza disponibile e graduate secondo la loro qualità. La sesta parte assolve precisamente a questa funzione di cerniera: essa raccoglie, ordina e gradua le evidenze di efficacia clinica e organizzativa dell’integrazione della psicologia nelle cure primarie, e su di esse poggia, come su una base portante, l’intera architettura economica che le parti successive svilupperanno. Senza la dimostrazione che l’intervento migliora gli esiti clinici, nessun costo evitato sarebbe attribuibile alla riforma, nessun risparmio diretto sarebbe giustificato e nessun beneficio indiretto, lungo i sedici domini del perimetro multidisciplinare integrale, troverebbe la propria causa. L’efficacia è ciò che attiva la cascata: è il primo anello senza il quale nessuno degli anelli successivi può generare valore.</w:t>
      </w:r>
    </w:p>
    <w:p w14:paraId="5F71334C" w14:textId="77777777" w:rsidR="007C4598" w:rsidRDefault="007C4598"/>
    <w:p w14:paraId="14C9C1D4" w14:textId="77777777" w:rsidR="007C4598" w:rsidRDefault="00000000">
      <w:pPr>
        <w:jc w:val="both"/>
      </w:pPr>
      <w:r>
        <w:t>La sesta parte intrattiene quindi un rapporto preciso con le parti che la seguono. La settima e l’ottava parte quantificheranno i costi diretti e i risparmi diretti, la nona dispiegherà i costi e i benefici indiretti dominio per dominio, la decima comporrà il saldo economico consolidato e l’undicesima sottoporrà i risultati alla prova dell’incertezza e li proietterà nel tempo. Tutte queste parti presuppongono che l’efficacia clinica sia stata stabilita e graduata; e tutte ne ereditano i limiti, perché la forza di una stima economica non può mai eccedere la forza dell’evidenza clinica su cui si fonda. È per questa ragione che la quarta sezione di questa parte ricostruisce esplicitamente la catena causale che conduce dall’esito clinico al risparmio fiscale e alla ricaduta sociale: quella catena è il ponte attraverso cui la dimostrazione di efficacia si trasferisce alle parti economiche, e ogni suo anello è graduato con la medesima cautela, così che la conclusione economica non possa mai apparire più solida della premessa clinica da cui discende.</w:t>
      </w:r>
    </w:p>
    <w:p w14:paraId="1B1DA5FA" w14:textId="77777777" w:rsidR="007C4598" w:rsidRDefault="007C4598"/>
    <w:p w14:paraId="5B7537FE" w14:textId="77777777" w:rsidR="007C4598" w:rsidRDefault="00000000">
      <w:pPr>
        <w:jc w:val="both"/>
      </w:pPr>
      <w:r>
        <w:t>Tre principi governano l’intera trattazione. Il primo è la graduazione simmetrica dell’evidenza: l’evidenza clinica e l’evidenza relativa all’Intelligenza Artificiale sono valutate con il medesimo metro, senza che l’entusiasmo per la tecnologia abbassi la soglia di prova richiesta. L’Intelligenza Artificiale, coerentemente con il posizionamento stabilito nella prima parte, vi compare come una delle leve che rendono più funzionale la figura dello Psicologo di Base, e non come oggetto centrale dell’analisi; la sua efficacia è documentata dove esiste, ridimensionata dove l’evidenza è fragile, e in ogni caso subordinata alla supervisione umana. Il secondo principio è la distinzione tra efficacia in condizioni ideali ed efficacia nella pratica reale, perché i risultati ottenuti negli studi controllati randomizzati non si trasferiscono automaticamente ai contesti di servizio, e la trasferibilità al sistema pugliese è essa stessa oggetto di una sezione dedicata. Il terzo principio è la sobrietà quantitativa: questa parte non calcola euro. Essa stabilisce ciò che l’evidenza dimostra e con quale grado di certezza, e rinvia alle parti economiche la traduzione monetaria, perché confondere il piano della prova con quello della stima sarebbe la prima e più grave delle duplicazioni.</w:t>
      </w:r>
    </w:p>
    <w:p w14:paraId="3AF1F2C0" w14:textId="77777777" w:rsidR="007C4598" w:rsidRDefault="007C4598"/>
    <w:p w14:paraId="6EFA83AB" w14:textId="77777777" w:rsidR="007C4598" w:rsidRDefault="00000000">
      <w:pPr>
        <w:jc w:val="both"/>
      </w:pPr>
      <w:r>
        <w:t>La premessa chiude con una dichiarazione di onestà epistemica che attraversa tutta la parte. La letteratura sull’integrazione della psicologia nelle cure primarie è ampia e, per alcuni esiti, robusta; ma essa presenta zone di incertezza, risultati eterogenei e, nel caso italiano, una prevalenza di letteratura grigia e di campioni limitati. La sesta parte non nasconde queste zone d’ombra: le dichiara, le gradua e le tratta come vincoli alla forza delle conclusioni, nella convinzione che un’opera destinata al decisore pubblico e alle autorità di bilancio debba la propria autorevolezza non alla magnitudine delle cifre che esibisce, ma alla trasparenza con cui distingue ciò che è dimostrato da ciò che è plausibile e ciò che resta da verificare.</w:t>
      </w:r>
    </w:p>
    <w:p w14:paraId="1B9A21BF" w14:textId="77777777" w:rsidR="007C4598" w:rsidRDefault="007C4598"/>
    <w:p w14:paraId="030D6226" w14:textId="77777777" w:rsidR="007C4598" w:rsidRDefault="00000000">
      <w:pPr>
        <w:jc w:val="both"/>
      </w:pPr>
      <w:r>
        <w:rPr>
          <w:b/>
          <w:bCs/>
        </w:rPr>
        <w:t>PARTE VI</w:t>
      </w:r>
    </w:p>
    <w:p w14:paraId="337B0367" w14:textId="77777777" w:rsidR="007C4598" w:rsidRDefault="007C4598"/>
    <w:p w14:paraId="113E57B8" w14:textId="77777777" w:rsidR="007C4598" w:rsidRDefault="00000000">
      <w:pPr>
        <w:pStyle w:val="Titolo1"/>
        <w:pageBreakBefore/>
      </w:pPr>
      <w:r>
        <w:rPr>
          <w:sz w:val="22"/>
          <w:szCs w:val="22"/>
        </w:rPr>
        <w:t>Introduzione</w:t>
      </w:r>
    </w:p>
    <w:p w14:paraId="1FB7FB66" w14:textId="77777777" w:rsidR="007C4598" w:rsidRDefault="007C4598"/>
    <w:p w14:paraId="70342B74" w14:textId="77777777" w:rsidR="007C4598" w:rsidRDefault="00000000">
      <w:pPr>
        <w:jc w:val="both"/>
      </w:pPr>
      <w:r>
        <w:t>L’introduzione espone l’architettura della sesta parte e la postura epistemologica che la governa, affinché la lettura delle sei sezioni proceda su un disegno chiaro e ne riconosca, in ciascun punto, il grado di certezza che le compete. La parte muove da un presupposto che la prima parte ha già stabilito e che qui si applica all’evidenza: non tutte le affermazioni hanno il medesimo valore probatorio, e l’onestà di uno studio di valutazione si misura dalla coerenza con cui esso distingue le evidenze forti dalle deboli e rifiuta di trattare le seconde come se fossero le prime.</w:t>
      </w:r>
    </w:p>
    <w:p w14:paraId="1C73F236" w14:textId="77777777" w:rsidR="007C4598" w:rsidRDefault="007C4598"/>
    <w:p w14:paraId="271FB8D7" w14:textId="77777777" w:rsidR="007C4598" w:rsidRDefault="00000000">
      <w:pPr>
        <w:pStyle w:val="Titolo3"/>
        <w:spacing w:before="200" w:after="100"/>
      </w:pPr>
      <w:r>
        <w:rPr>
          <w:color w:val="16264B"/>
          <w:sz w:val="22"/>
          <w:szCs w:val="22"/>
        </w:rPr>
        <w:t>La gerarchia dell’evidenza e la distinzione tra efficacia e pratica</w:t>
      </w:r>
    </w:p>
    <w:p w14:paraId="0702E4EE" w14:textId="77777777" w:rsidR="007C4598" w:rsidRDefault="007C4598"/>
    <w:p w14:paraId="15152341" w14:textId="77777777" w:rsidR="007C4598" w:rsidRDefault="00000000">
      <w:pPr>
        <w:jc w:val="both"/>
      </w:pPr>
      <w:r>
        <w:t>La medicina basata sulle prove ordina le fonti di conoscenza secondo la loro capacità di controllare l’errore sistematico. Al vertice di questa gerarchia stanno le revisioni sistematiche e le meta-analisi di studi controllati randomizzati, seguite dai singoli studi controllati randomizzati, dagli studi di coorte, dagli studi caso-controllo e, in posizione subordinata, dalle serie di casi e dal parere degli esperti. Questa gerarchia non è un formalismo, ma uno strumento di disciplina del giudizio: essa impedisce che un risultato suggestivo, ottenuto in condizioni non controllate, acquisti nel discorso pubblico un peso che la sua qualità metodologica non giustifica. La sesta parte applica questa gerarchia con rigore, collocando ogni evidenza al livello che le compete e segnalando esplicitamente quando una conclusione poggia su fonti di livello inferiore.</w:t>
      </w:r>
    </w:p>
    <w:p w14:paraId="66F62F35" w14:textId="77777777" w:rsidR="007C4598" w:rsidRDefault="007C4598"/>
    <w:p w14:paraId="0D7DDFBF" w14:textId="77777777" w:rsidR="007C4598" w:rsidRDefault="00000000">
      <w:pPr>
        <w:jc w:val="both"/>
      </w:pPr>
      <w:r>
        <w:t>A questa gerarchia si affianca una distinzione altrettanto decisiva, quella tra l’efficacia in condizioni ideali e l’efficacia nella pratica reale. La prima è ciò che uno studio controllato randomizzato misura quando seleziona i pazienti, standardizza l’intervento e controlla le condizioni di erogazione; la seconda è ciò che un servizio ottiene quando opera su una popolazione non selezionata, con risorse limitate e in un contesto organizzativo concreto. Lo scarto tra le due non è un dettaglio tecnico, ma il principale ostacolo alla trasferibilità dei risultati: un intervento può essere altamente efficace in condizioni ideali e tuttavia rendere assai meno nella pratica, se le condizioni che ne sostengono l’efficacia non vengono riprodotte. Per questa ragione la sesta parte non si limita a documentare l’efficacia degli studi, ma interroga sistematicamente le condizioni della sua riproducibilità, e dedica la propria ultima sezione alla trasferibilità al contesto pugliese, dove quelle condizioni dovranno essere costruite e non possono essere presupposte.</w:t>
      </w:r>
    </w:p>
    <w:p w14:paraId="30FD4D8C" w14:textId="77777777" w:rsidR="007C4598" w:rsidRDefault="007C4598"/>
    <w:p w14:paraId="0094BF51" w14:textId="77777777" w:rsidR="007C4598" w:rsidRDefault="00000000">
      <w:pPr>
        <w:pStyle w:val="Titolo3"/>
        <w:spacing w:before="200" w:after="100"/>
      </w:pPr>
      <w:r>
        <w:rPr>
          <w:color w:val="16264B"/>
          <w:sz w:val="22"/>
          <w:szCs w:val="22"/>
        </w:rPr>
        <w:t>La graduazione simmetrica e il sistema GRADE</w:t>
      </w:r>
    </w:p>
    <w:p w14:paraId="657C3687" w14:textId="77777777" w:rsidR="007C4598" w:rsidRDefault="007C4598"/>
    <w:p w14:paraId="6944CA69" w14:textId="77777777" w:rsidR="007C4598" w:rsidRDefault="00000000">
      <w:pPr>
        <w:jc w:val="both"/>
      </w:pPr>
      <w:r>
        <w:t>Lo strumento con cui la parte gradua l’evidenza è il sistema di valutazione della certezza dell’evidenza elaborato dal gruppo di lavoro internazionale dedicato, che classifica la certezza in quattro livelli — alta, moderata, bassa e molto bassa — a partire dal disegno degli studi e modulandola in funzione del rischio di distorsione, dell’incoerenza dei risultati, dell’</w:t>
      </w:r>
      <w:proofErr w:type="spellStart"/>
      <w:r>
        <w:t>indirettezza</w:t>
      </w:r>
      <w:proofErr w:type="spellEnd"/>
      <w:r>
        <w:t xml:space="preserve"> delle evidenze, dell’imprecisione delle stime e del rischio di distorsione da pubblicazione</w:t>
      </w:r>
      <w:r>
        <w:rPr>
          <w:color w:val="555555"/>
          <w:sz w:val="16"/>
          <w:szCs w:val="16"/>
          <w:vertAlign w:val="superscript"/>
        </w:rPr>
        <w:t>[4]</w:t>
      </w:r>
      <w:r>
        <w:t>. La scelta di questo sistema risponde a un’esigenza di equità valutativa: esso fornisce un metro unico, applicabile tanto alle affermazioni cliniche quanto a quelle tecnologiche, e impedisce che l’evidenza sull’Intelligenza Artificiale sia valutata con indulgenza maggiore di quella riservata agli interventi clinici tradizionali. La graduazione è simmetrica precisamente in questo senso: la terza sezione, dedicata agli strumenti digitali e all’Intelligenza Artificiale, applica il medesimo sistema GRADE che la prima sezione applica alla cura collaborativa, e i due corpi di evidenza sono confrontabili perché misurati sulla stessa scala.</w:t>
      </w:r>
    </w:p>
    <w:p w14:paraId="0F15FCA2" w14:textId="77777777" w:rsidR="007C4598" w:rsidRDefault="007C4598"/>
    <w:p w14:paraId="59898833" w14:textId="77777777" w:rsidR="007C4598" w:rsidRDefault="00000000">
      <w:pPr>
        <w:pStyle w:val="Titolo3"/>
        <w:spacing w:before="200" w:after="100"/>
      </w:pPr>
      <w:r>
        <w:rPr>
          <w:color w:val="16264B"/>
          <w:sz w:val="22"/>
          <w:szCs w:val="22"/>
        </w:rPr>
        <w:t>L’architettura della parte</w:t>
      </w:r>
    </w:p>
    <w:p w14:paraId="0C3AF2F5" w14:textId="77777777" w:rsidR="007C4598" w:rsidRDefault="007C4598"/>
    <w:p w14:paraId="4C876018" w14:textId="77777777" w:rsidR="007C4598" w:rsidRDefault="00000000">
      <w:pPr>
        <w:jc w:val="both"/>
      </w:pPr>
      <w:r>
        <w:t xml:space="preserve">Le sei sezioni si dispongono secondo un ordine che riproduce il cammino dalla prova clinica alla sua traduzione contestuale. La prima sezione stabilisce l’efficacia clinica dell’integrazione tra psicologia e cure primarie, ricostruendo la base di evidenza della cura collaborativa e della cura per intensità crescente, esaminando con particolare attenzione il trial IMPACT e il suo </w:t>
      </w:r>
      <w:proofErr w:type="spellStart"/>
      <w:r>
        <w:t>caveat</w:t>
      </w:r>
      <w:proofErr w:type="spellEnd"/>
      <w:r>
        <w:t xml:space="preserve"> sui costi, e graduando l’insieme secondo il sistema GRADE. La seconda sezione colloca questa evidenza in un orizzonte comparativo, richiamando i grandi programmi internazionali di integrazione — le terapie psicologiche del servizio sanitario inglese, il modello olandese di sostegno alla medicina generale, l’iniziativa australiana di accesso migliorato e l’assistenza collaborativa statunitense — e traendone le lezioni pertinenti per la Puglia. La terza sezione affronta l’efficacia degli strumenti digitali e dell’Intelligenza Artificiale, dalla terapia cognitivo-comportamentale erogata via internet ai modelli predittivi, applicandovi la graduazione simmetrica dell’evidenza e mantenendo la subordinazione di questi strumenti alla supervisione umana.</w:t>
      </w:r>
    </w:p>
    <w:p w14:paraId="007E5050" w14:textId="77777777" w:rsidR="007C4598" w:rsidRDefault="007C4598"/>
    <w:p w14:paraId="08DBCD81" w14:textId="77777777" w:rsidR="007C4598" w:rsidRDefault="00000000">
      <w:pPr>
        <w:jc w:val="both"/>
      </w:pPr>
      <w:r>
        <w:t>La quarta sezione costituisce la cerniera concettuale dell’intera parte: essa ricostruisce la catena causale che conduce dall’esito clinico al risparmio fiscale e alla ricaduta sociale, esplicitando gli anelli intermedi — la riduzione dei sintomi, il recupero della funzionalità, la diminuzione del ricorso improprio ai servizi, il rientro al lavoro — e graduando ciascuno di essi, così che le parti economiche successive possano ereditarne la struttura senza forzature. La quinta sezione tratta i dati dei progetti pilota italiani con le cautele che la loro natura impone, riconoscendo il valore di queste esperienze come segnali di fattibilità e, al tempo stesso, il limite che deriva dalla dimensione contenuta dei campioni e dalla prevalenza di letteratura grigia. La sesta e ultima sezione affronta la questione della trasferibilità delle evidenze al contesto pugliese, interrogando le condizioni epidemiologiche, organizzative e di sistema che ne governano la riproducibilità e dichiarando con franchezza ciò che può essere atteso e ciò che dovrà essere costruito.</w:t>
      </w:r>
    </w:p>
    <w:p w14:paraId="7367896E" w14:textId="77777777" w:rsidR="007C4598" w:rsidRDefault="007C4598"/>
    <w:p w14:paraId="661035CF" w14:textId="77777777" w:rsidR="007C4598" w:rsidRDefault="00000000">
      <w:pPr>
        <w:pStyle w:val="Titolo3"/>
        <w:spacing w:before="200" w:after="100"/>
      </w:pPr>
      <w:r>
        <w:rPr>
          <w:color w:val="16264B"/>
          <w:sz w:val="22"/>
          <w:szCs w:val="22"/>
        </w:rPr>
        <w:t>Ciò che la parte dimostra e ciò che riserva</w:t>
      </w:r>
    </w:p>
    <w:p w14:paraId="16ED3D90" w14:textId="77777777" w:rsidR="007C4598" w:rsidRDefault="007C4598"/>
    <w:p w14:paraId="265F7E5A" w14:textId="77777777" w:rsidR="007C4598" w:rsidRDefault="00000000">
      <w:pPr>
        <w:jc w:val="both"/>
      </w:pPr>
      <w:r>
        <w:t xml:space="preserve">L’introduzione si chiude precisando, una volta per tutte, il confine di competenza della sesta parte. Essa dimostra che l’integrazione della psicologia nelle cure primarie migliora gli esiti clinici dei disturbi mentali comuni, ne gradua la certezza, ne ricostruisce i meccanismi e ne saggia la trasferibilità; ma essa non calcola il valore economico di quel miglioramento. La quantificazione monetaria — i costi evitati, i risparmi diretti, i benefici indiretti, il saldo consolidato — è riservata alle parti dedicate alla valutazione economica, dove i vincoli invarianti già richiamati nell’avvertenza governano ogni cifra: gli intervalli di ritorno corretti, il </w:t>
      </w:r>
      <w:proofErr w:type="spellStart"/>
      <w:r>
        <w:t>caveat</w:t>
      </w:r>
      <w:proofErr w:type="spellEnd"/>
      <w:r>
        <w:t xml:space="preserve"> sui risparmi sanitari diretti non statisticamente significativi, la separazione tra grandezze fiscali e sociali e la regola di non duplicazione</w:t>
      </w:r>
      <w:r>
        <w:rPr>
          <w:color w:val="555555"/>
          <w:sz w:val="16"/>
          <w:szCs w:val="16"/>
          <w:vertAlign w:val="superscript"/>
        </w:rPr>
        <w:t>[5]</w:t>
      </w:r>
      <w:r>
        <w:t>. La sesta parte fornisce a quelle parti la premessa probatoria; spetterà a esse, e non a questa, trarne le conseguenze economiche entro i limiti che la prudenza impone.</w:t>
      </w:r>
    </w:p>
    <w:p w14:paraId="387F0FA6" w14:textId="77777777" w:rsidR="007C4598" w:rsidRDefault="007C4598"/>
    <w:p w14:paraId="7D881BAF" w14:textId="77777777" w:rsidR="007C4598" w:rsidRDefault="00000000">
      <w:pPr>
        <w:jc w:val="both"/>
      </w:pPr>
      <w:r>
        <w:rPr>
          <w:b/>
          <w:bCs/>
        </w:rPr>
        <w:t>SEZIONE 6.1</w:t>
      </w:r>
    </w:p>
    <w:p w14:paraId="699AF43E" w14:textId="77777777" w:rsidR="007C4598" w:rsidRDefault="007C4598"/>
    <w:p w14:paraId="7898EF79" w14:textId="77777777" w:rsidR="007C4598" w:rsidRDefault="00000000">
      <w:pPr>
        <w:pStyle w:val="Titolo1"/>
        <w:pageBreakBefore/>
      </w:pPr>
      <w:r>
        <w:rPr>
          <w:sz w:val="22"/>
          <w:szCs w:val="22"/>
        </w:rPr>
        <w:t>6.1  L’efficacia clinica dell’integrazione tra psicologia e cure primarie</w:t>
      </w:r>
    </w:p>
    <w:p w14:paraId="1E27E5F4" w14:textId="77777777" w:rsidR="007C4598" w:rsidRDefault="007C4598"/>
    <w:p w14:paraId="7BAD71D1" w14:textId="77777777" w:rsidR="007C4598" w:rsidRDefault="00000000">
      <w:pPr>
        <w:jc w:val="both"/>
      </w:pPr>
      <w:r>
        <w:t>La prima sezione della sesta parte stabilisce il fatto su cui tutto il resto dell’opera poggia: l’integrazione strutturata della competenza psicologica nelle cure primarie migliora gli esiti clinici dei disturbi mentali comuni in misura documentata da un corpo di evidenza ampio e, per gli esiti principali, di certezza moderata o alta. La sezione ricostruisce questo corpo di evidenza, ne distingue le componenti, ne gradua la certezza e ne dichiara i limiti, senza in alcun punto eccedere ciò che la letteratura sostiene e senza anticipare la traduzione economica che le parti successive svilupperanno. Essa procede dal razionale clinico dell’integrazione alla base sperimentale che lo conferma, dall’esame del trial più influente al modello di erogazione per intensità crescente, dalla discussione delle dimensioni dell’effetto alla graduazione complessiva della certezza.</w:t>
      </w:r>
    </w:p>
    <w:p w14:paraId="47F45743" w14:textId="77777777" w:rsidR="007C4598" w:rsidRDefault="007C4598"/>
    <w:p w14:paraId="03C4743E" w14:textId="77777777" w:rsidR="007C4598" w:rsidRDefault="00000000">
      <w:pPr>
        <w:pStyle w:val="Titolo3"/>
        <w:spacing w:before="200" w:after="100"/>
      </w:pPr>
      <w:r>
        <w:rPr>
          <w:color w:val="16264B"/>
          <w:sz w:val="22"/>
          <w:szCs w:val="22"/>
        </w:rPr>
        <w:t>6.1.1  Il razionale clinico dell’integrazione</w:t>
      </w:r>
    </w:p>
    <w:p w14:paraId="22AC2C44" w14:textId="77777777" w:rsidR="007C4598" w:rsidRDefault="007C4598"/>
    <w:p w14:paraId="422AF9F4" w14:textId="77777777" w:rsidR="007C4598" w:rsidRDefault="00000000">
      <w:pPr>
        <w:jc w:val="both"/>
      </w:pPr>
      <w:r>
        <w:t xml:space="preserve">Il razionale dell’integrazione muove da un dato di fatto epidemiologico e organizzativo insieme. I disturbi mentali comuni — la depressione e i disturbi d’ansia in primo luogo — si presentano in larghissima parte nel contesto delle cure primarie, e non in quello specialistico. È al medico di medicina generale che la persona con sintomatologia depressiva o ansiosa si rivolge per prima, spesso con un quadro misto in cui la sofferenza psichica si intreccia a sintomi somatici e a patologie croniche concomitanti. Il </w:t>
      </w:r>
      <w:proofErr w:type="spellStart"/>
      <w:r>
        <w:t>setting</w:t>
      </w:r>
      <w:proofErr w:type="spellEnd"/>
      <w:r>
        <w:t xml:space="preserve"> delle cure primarie è dunque, di fatto, il luogo in cui la maggior parte dei disturbi mentali comuni viene intercettata; ma è storicamente anche il luogo in cui essi vengono trattati in modo incompleto, perché il modello tradizionale di consultazione, fondato sulla visita breve e sulla prescrizione, non offre le condizioni di tempo, competenza e continuità che il trattamento efficace di questi disturbi richiede</w:t>
      </w:r>
      <w:r>
        <w:rPr>
          <w:color w:val="555555"/>
          <w:sz w:val="16"/>
          <w:szCs w:val="16"/>
          <w:vertAlign w:val="superscript"/>
        </w:rPr>
        <w:t>[6]</w:t>
      </w:r>
      <w:r>
        <w:t>.</w:t>
      </w:r>
    </w:p>
    <w:p w14:paraId="05C3E9E6" w14:textId="77777777" w:rsidR="007C4598" w:rsidRDefault="007C4598"/>
    <w:p w14:paraId="47F0D161" w14:textId="77777777" w:rsidR="007C4598" w:rsidRDefault="00000000">
      <w:pPr>
        <w:jc w:val="both"/>
      </w:pPr>
      <w:r>
        <w:t>Da questo scarto tra il luogo dell’intercettazione e l’adeguatezza del trattamento nasce il divario di trattamento, già misurato nella seconda parte per il contesto pugliese: una quota rilevante di persone con disturbi mentali comuni non riceve alcun trattamento, e una quota ulteriore riceve un trattamento di intensità o durata insufficienti. L’integrazione della psicologia nelle cure primarie è la risposta organizzativa a questo divario. Essa non consiste nel semplice affiancamento di uno psicologo al medico, ma nella riorganizzazione del processo di cura secondo i principi che la ricerca ha individuato come condizioni dell’efficacia: la presa in carico proattiva e non solo reattiva, la misurazione sistematica degli esiti come guida alle decisioni cliniche, la gestione del caso da parte di una figura dedicata, la supervisione specialistica disponibile senza che il paziente debba essere inviato altrove, e l’adattamento dell’intensità dell’intervento alla gravità del quadro</w:t>
      </w:r>
      <w:r>
        <w:rPr>
          <w:color w:val="555555"/>
          <w:sz w:val="16"/>
          <w:szCs w:val="16"/>
          <w:vertAlign w:val="superscript"/>
        </w:rPr>
        <w:t>[7]</w:t>
      </w:r>
      <w:r>
        <w:t>.</w:t>
      </w:r>
    </w:p>
    <w:p w14:paraId="7C9D523F" w14:textId="77777777" w:rsidR="007C4598" w:rsidRDefault="007C4598"/>
    <w:p w14:paraId="3A693D30" w14:textId="77777777" w:rsidR="007C4598" w:rsidRDefault="00000000">
      <w:pPr>
        <w:jc w:val="both"/>
      </w:pPr>
      <w:r>
        <w:t>Questi principi non sono un’invenzione concettuale, ma la trasposizione al campo della salute mentale del modello di gestione delle patologie croniche che la ricerca sui servizi sanitari ha elaborato e validato. Quel modello aveva mostrato che le condizioni croniche — il diabete, lo scompenso cardiaco, l’ipertensione — non si governano con la logica dell’episodio acuto, ma richiedono continuità, monitoraggio e un’organizzazione che sostenga attivamente l’aderenza e l’adeguamento della terapia nel tempo</w:t>
      </w:r>
      <w:r>
        <w:rPr>
          <w:color w:val="555555"/>
          <w:sz w:val="16"/>
          <w:szCs w:val="16"/>
          <w:vertAlign w:val="superscript"/>
        </w:rPr>
        <w:t>[8]</w:t>
      </w:r>
      <w:r>
        <w:t>. La depressione e l’ansia, nella loro frequente cronicità e ricorrenza, condividono questa natura; e la cura collaborativa, che ne deriva, è precisamente l’applicazione di quella logica al disturbo mentale comune. Il razionale clinico dell’integrazione è dunque, prima ancora che un’ipotesi da verificare, la conseguenza di un’analogia strutturale tra la cronicità somatica e quella psichica, e la verifica sperimentale che la sezione esamina nei paragrafi seguenti ne ha confermato la fondatezza.</w:t>
      </w:r>
    </w:p>
    <w:p w14:paraId="725D2F7A" w14:textId="77777777" w:rsidR="007C4598" w:rsidRDefault="007C4598"/>
    <w:p w14:paraId="7BF361BD" w14:textId="77777777" w:rsidR="007C4598" w:rsidRDefault="00000000">
      <w:pPr>
        <w:pStyle w:val="Titolo3"/>
        <w:spacing w:before="200" w:after="100"/>
      </w:pPr>
      <w:r>
        <w:rPr>
          <w:color w:val="16264B"/>
          <w:sz w:val="22"/>
          <w:szCs w:val="22"/>
        </w:rPr>
        <w:t>6.1.2  La base di evidenza: gli studi controllati randomizzati e le meta-analisi sulla cura collaborativa</w:t>
      </w:r>
    </w:p>
    <w:p w14:paraId="42F98A9E" w14:textId="77777777" w:rsidR="007C4598" w:rsidRDefault="007C4598"/>
    <w:p w14:paraId="7A47AC15" w14:textId="77777777" w:rsidR="007C4598" w:rsidRDefault="00000000">
      <w:pPr>
        <w:jc w:val="both"/>
      </w:pPr>
      <w:r>
        <w:t>Il corpo di evidenza più solido a sostegno dell’integrazione riguarda la cura collaborativa, ed è di natura sperimentale. Esso si fonda su decine di studi controllati randomizzati condotti in contesti, popolazioni e sistemi sanitari diversi, sintetizzati da revisioni sistematiche che ne hanno aggregato i risultati con le tecniche della meta-analisi. La revisione sistematica di riferimento, condotta nell’ambito della collaborazione internazionale dedicata alla valutazione degli interventi sanitari, ha incluso un numero ampio di studi e un numero complessivo di partecipanti dell’ordine delle decine di migliaia, e ha concluso che la cura collaborativa migliora gli esiti della depressione e dell’ansia rispetto alla cura abituale, con effetti che si mantengono nel tempo</w:t>
      </w:r>
      <w:r>
        <w:rPr>
          <w:color w:val="555555"/>
          <w:sz w:val="16"/>
          <w:szCs w:val="16"/>
          <w:vertAlign w:val="superscript"/>
        </w:rPr>
        <w:t>[9]</w:t>
      </w:r>
      <w:r>
        <w:t>.</w:t>
      </w:r>
    </w:p>
    <w:p w14:paraId="2AA195EB" w14:textId="77777777" w:rsidR="007C4598" w:rsidRDefault="007C4598"/>
    <w:p w14:paraId="14012E9E" w14:textId="77777777" w:rsidR="007C4598" w:rsidRDefault="00000000">
      <w:pPr>
        <w:jc w:val="both"/>
      </w:pPr>
      <w:r>
        <w:t>La direzione dell’effetto è costante: in tutti i confronti principali la cura collaborativa risulta superiore alla cura abituale. L’ampiezza dell’effetto, misurata come differenza media standardizzata, si colloca per la depressione in un intervallo che la convenzione interpretativa qualifica come piccolo-moderato a breve termine, e che si attenua ma permane fino a un orizzonte di circa due anni. Questo profilo — un effetto di ampiezza contenuta ma robusto, coerente tra gli studi e persistente nel tempo — è esattamente ciò che ci si attende da un intervento organizzativo applicato a una condizione cronica su una popolazione ampia: non la guarigione spettacolare del singolo caso, ma uno spostamento sistematico e duraturo della probabilità di risposta e di remissione su scala di popolazione</w:t>
      </w:r>
      <w:r>
        <w:rPr>
          <w:color w:val="555555"/>
          <w:sz w:val="16"/>
          <w:szCs w:val="16"/>
          <w:vertAlign w:val="superscript"/>
        </w:rPr>
        <w:t>[10]</w:t>
      </w:r>
      <w:r>
        <w:t>. Per l’ansia il quadro è analogo, con un’ampiezza dell’effetto comparabile e una certezza dell’evidenza che la graduazione GRADE colloca su un livello moderato.</w:t>
      </w:r>
    </w:p>
    <w:p w14:paraId="0C661980" w14:textId="77777777" w:rsidR="007C4598" w:rsidRDefault="007C4598"/>
    <w:p w14:paraId="43ECFC85" w14:textId="77777777" w:rsidR="007C4598" w:rsidRDefault="00000000">
      <w:pPr>
        <w:jc w:val="both"/>
      </w:pPr>
      <w:r>
        <w:t>La robustezza di questo corpo di evidenza non risiede soltanto nel numero degli studi, ma nella loro eterogeneità contestuale. Gli studi sulla cura collaborativa sono stati condotti in sistemi sanitari profondamente diversi, su popolazioni di età e composizione varie, con configurazioni organizzative non identiche; e nonostante questa eterogeneità la direzione dell’effetto si è mantenuta. Questa costanza attraverso la diversità è di per sé un indizio di solidità, perché un effetto che si riproduce in condizioni differenti è meno verosimilmente l’artefatto di un singolo contesto. Al tempo stesso, proprio l’eterogeneità delle configurazioni impone cautela sulla magnitudine attesa in un contesto specifico, perché non tutte le componenti della cura collaborativa contribuiscono in egual misura all’effetto, e la loro presenza o assenza in una data implementazione ne modula il rendimento. La meta-regressione condotta sugli studi ha infatti individuato come la presenza di una gestione del caso strutturata e di una supervisione specialistica regolare sia associata a effetti più marcati, indicazione che la sezione sulla trasferibilità riprenderà per il contesto pugliese</w:t>
      </w:r>
      <w:r>
        <w:rPr>
          <w:color w:val="555555"/>
          <w:sz w:val="16"/>
          <w:szCs w:val="16"/>
          <w:vertAlign w:val="superscript"/>
        </w:rPr>
        <w:t>[11]</w:t>
      </w:r>
      <w:r>
        <w:t>.</w:t>
      </w:r>
    </w:p>
    <w:p w14:paraId="75A05CEB" w14:textId="77777777" w:rsidR="007C4598" w:rsidRDefault="007C4598"/>
    <w:p w14:paraId="2419A513" w14:textId="77777777" w:rsidR="007C4598" w:rsidRDefault="00000000">
      <w:pPr>
        <w:pStyle w:val="Titolo3"/>
        <w:spacing w:before="200" w:after="100"/>
      </w:pPr>
      <w:r>
        <w:rPr>
          <w:color w:val="16264B"/>
          <w:sz w:val="22"/>
          <w:szCs w:val="22"/>
        </w:rPr>
        <w:t xml:space="preserve">6.1.3  Il trial IMPACT e il suo </w:t>
      </w:r>
      <w:proofErr w:type="spellStart"/>
      <w:r>
        <w:rPr>
          <w:color w:val="16264B"/>
          <w:sz w:val="22"/>
          <w:szCs w:val="22"/>
        </w:rPr>
        <w:t>caveat</w:t>
      </w:r>
      <w:proofErr w:type="spellEnd"/>
    </w:p>
    <w:p w14:paraId="06DE8D91" w14:textId="77777777" w:rsidR="007C4598" w:rsidRDefault="007C4598"/>
    <w:p w14:paraId="22E9A7FA" w14:textId="77777777" w:rsidR="007C4598" w:rsidRDefault="00000000">
      <w:pPr>
        <w:jc w:val="both"/>
      </w:pPr>
      <w:r>
        <w:t>Tra gli studi che compongono questo corpo di evidenza, uno occupa una posizione di particolare rilievo per ampiezza, qualità e influenza: il trial dedicato alla gestione collaborativa della depressione nella popolazione anziana in cure primarie. Esso ha arruolato un numero elevato di partecipanti anziani con depressione, distribuiti in numerose organizzazioni sanitarie, e ha confrontato un programma di cura collaborativa con la cura abituale. Il risultato clinico è stato netto e di certezza alta: i partecipanti assegnati alla cura collaborativa hanno mostrato un tasso di risposta al trattamento circa doppio rispetto a quelli assegnati alla cura abituale, con un miglioramento corrispondente della funzionalità e della qualità della vita</w:t>
      </w:r>
      <w:r>
        <w:rPr>
          <w:color w:val="555555"/>
          <w:sz w:val="16"/>
          <w:szCs w:val="16"/>
          <w:vertAlign w:val="superscript"/>
        </w:rPr>
        <w:t>[12]</w:t>
      </w:r>
      <w:r>
        <w:t>. Questo risultato ha rappresentato una delle dimostrazioni più convincenti dell’efficacia clinica dell’integrazione, e ha contribuito in modo decisivo alla diffusione del modello nei sistemi sanitari avanzati.</w:t>
      </w:r>
    </w:p>
    <w:p w14:paraId="78DDF36A" w14:textId="77777777" w:rsidR="007C4598" w:rsidRDefault="007C4598"/>
    <w:p w14:paraId="75D0224A" w14:textId="77777777" w:rsidR="007C4598" w:rsidRDefault="00000000">
      <w:pPr>
        <w:jc w:val="both"/>
      </w:pPr>
      <w:r>
        <w:t xml:space="preserve">Accanto al risultato clinico, tuttavia, il medesimo trial e le sue analisi economiche di lungo periodo impongono un </w:t>
      </w:r>
      <w:proofErr w:type="spellStart"/>
      <w:r>
        <w:t>caveat</w:t>
      </w:r>
      <w:proofErr w:type="spellEnd"/>
      <w:r>
        <w:t xml:space="preserve"> che questo studio integrale assume come vincolo invariante. L’analisi dei costi sanitari complessivi condotta su un orizzonte pluriennale ha mostrato una tendenza al risparmio per il programma di cura collaborativa rispetto alla cura abituale; ma quella tendenza non ha raggiunto la significatività statistica, ossia l’intervallo di confidenza al novantacinque per cento della differenza di costo ha continuato ad attraversare lo zero. In termini rigorosi, ciò significa che i dati sono compatibili tanto con un risparmio quanto con l’assenza di risparmio sui costi sanitari diretti, e che non è lecito presentare il risparmio sanitario diretto come un risultato acquisito</w:t>
      </w:r>
      <w:r>
        <w:rPr>
          <w:color w:val="555555"/>
          <w:sz w:val="16"/>
          <w:szCs w:val="16"/>
          <w:vertAlign w:val="superscript"/>
        </w:rPr>
        <w:t>[13]</w:t>
      </w:r>
      <w:r>
        <w:t>.</w:t>
      </w:r>
    </w:p>
    <w:p w14:paraId="4CC06998" w14:textId="77777777" w:rsidR="007C4598" w:rsidRDefault="007C4598"/>
    <w:p w14:paraId="0C9FB7AD" w14:textId="77777777" w:rsidR="007C4598" w:rsidRDefault="00000000">
      <w:pPr>
        <w:jc w:val="both"/>
      </w:pPr>
      <w:r>
        <w:rPr>
          <w:i/>
          <w:iCs/>
        </w:rPr>
        <w:t xml:space="preserve">Il risultato clinico del trial IMPACT è di certezza alta; il risultato di costo no. La cura collaborativa migliora gli esiti in modo dimostrato, ma il risparmio sui costi sanitari diretti che ne deriverebbe non raggiunge la significatività statistica. Questo </w:t>
      </w:r>
      <w:proofErr w:type="spellStart"/>
      <w:r>
        <w:rPr>
          <w:i/>
          <w:iCs/>
        </w:rPr>
        <w:t>caveat</w:t>
      </w:r>
      <w:proofErr w:type="spellEnd"/>
      <w:r>
        <w:rPr>
          <w:i/>
          <w:iCs/>
        </w:rPr>
        <w:t xml:space="preserve"> è preservato in ogni punto dell’opera in cui la materia lo renda pertinente.</w:t>
      </w:r>
    </w:p>
    <w:p w14:paraId="665617F3" w14:textId="77777777" w:rsidR="007C4598" w:rsidRDefault="007C4598"/>
    <w:p w14:paraId="0FE1B6A6" w14:textId="77777777" w:rsidR="007C4598" w:rsidRDefault="00000000">
      <w:pPr>
        <w:jc w:val="both"/>
      </w:pPr>
      <w:r>
        <w:t xml:space="preserve">La conservazione di questo </w:t>
      </w:r>
      <w:proofErr w:type="spellStart"/>
      <w:r>
        <w:t>caveat</w:t>
      </w:r>
      <w:proofErr w:type="spellEnd"/>
      <w:r>
        <w:t xml:space="preserve"> è una scelta metodologica deliberata e non una concessione alla prudenza retorica. Essa risponde a una distinzione che attraversa l’intero studio: l’efficacia clinica e il risparmio economico sono due affermazioni distinte, sostenute da evidenze distinte e con gradi di certezza distinti. Dimostrare che un intervento migliora gli esiti non equivale a dimostrare che esso fa risparmiare, e tanto meno che esso si ripaga; e l’onestà di una valutazione economica si misura precisamente dalla sua capacità di tenere separati questi due piani. Le parti economiche di questo studio costruiranno le proprie stime di risparmio diretto su basi proprie e dichiarate, entro gli intervalli di ritorno corretti e con bande prudenziali; ma esse non potranno mai invocare il risultato clinico del trial IMPACT come prova del risparmio sanitario diretto, perché quel trial, sul piano del costo sanitario diretto, non lo dimostra. Il </w:t>
      </w:r>
      <w:proofErr w:type="spellStart"/>
      <w:r>
        <w:t>caveat</w:t>
      </w:r>
      <w:proofErr w:type="spellEnd"/>
      <w:r>
        <w:t xml:space="preserve"> è dunque, al tempo stesso, un limite e una garanzia: limita ciò che si può affermare, e garantisce che ciò che si afferma sia sostenuto.</w:t>
      </w:r>
    </w:p>
    <w:p w14:paraId="6128AAF6" w14:textId="77777777" w:rsidR="007C4598" w:rsidRDefault="007C4598"/>
    <w:p w14:paraId="70338318" w14:textId="77777777" w:rsidR="007C4598" w:rsidRDefault="00000000">
      <w:pPr>
        <w:pStyle w:val="Titolo3"/>
        <w:spacing w:before="200" w:after="100"/>
      </w:pPr>
      <w:r>
        <w:rPr>
          <w:color w:val="16264B"/>
          <w:sz w:val="22"/>
          <w:szCs w:val="22"/>
        </w:rPr>
        <w:t>6.1.4  La cura per intensità crescente e la cura commisurata</w:t>
      </w:r>
    </w:p>
    <w:p w14:paraId="033926DC" w14:textId="77777777" w:rsidR="007C4598" w:rsidRDefault="007C4598"/>
    <w:p w14:paraId="4294720E" w14:textId="77777777" w:rsidR="007C4598" w:rsidRDefault="00000000">
      <w:pPr>
        <w:jc w:val="both"/>
      </w:pPr>
      <w:r>
        <w:t>La cura collaborativa non si eroga in modo uniforme a tutti i pazienti, ma secondo il principio dell’intensità crescente, che adatta la profondità dell’intervento alla gravità del quadro e alla risposta osservata. Questo principio organizza l’assistenza in livelli successivi: ai quadri lievi si offrono interventi a bassa intensità, come l’autoaiuto guidato, gli interventi psicoeducativi o la terapia cognitivo-comportamentale erogata via internet; ai quadri che non rispondono o che presentano gravità maggiore si offrono interventi più intensivi, fino alla psicoterapia strutturata e alla consulenza specialistica. La progressione tra i livelli è governata dalla misurazione sistematica degli esiti, che segnala quando l’intervento in atto è sufficiente e quando occorre intensificarlo</w:t>
      </w:r>
      <w:r>
        <w:rPr>
          <w:color w:val="555555"/>
          <w:sz w:val="16"/>
          <w:szCs w:val="16"/>
          <w:vertAlign w:val="superscript"/>
        </w:rPr>
        <w:t>[14]</w:t>
      </w:r>
      <w:r>
        <w:t>.</w:t>
      </w:r>
    </w:p>
    <w:p w14:paraId="53E85C67" w14:textId="77777777" w:rsidR="007C4598" w:rsidRDefault="007C4598"/>
    <w:p w14:paraId="142DB9AE" w14:textId="77777777" w:rsidR="007C4598" w:rsidRDefault="00000000">
      <w:pPr>
        <w:jc w:val="both"/>
      </w:pPr>
      <w:r>
        <w:t>Il fondamento di questo principio non è soltanto clinico ma anche allocativo, e ne fa una delle ragioni della sostenibilità economica del modello, che le parti successive svilupperanno. Riservando le prestazioni più intensive e costose ai casi che effettivamente le richiedono, la cura per intensità crescente impiega le risorse specialistiche in modo più parsimonioso di quanto farebbe un modello che offrisse a tutti il medesimo livello di intervento. La revisione sistematica dedicata a questo modello di erogazione ha mostrato che esso conserva un’efficacia coerente con quella della cura collaborativa, con un uso più efficiente delle prestazioni intensive; la certezza dell’evidenza su questo punto è collocata dalla graduazione GRADE su un livello moderato</w:t>
      </w:r>
      <w:r>
        <w:rPr>
          <w:color w:val="555555"/>
          <w:sz w:val="16"/>
          <w:szCs w:val="16"/>
          <w:vertAlign w:val="superscript"/>
        </w:rPr>
        <w:t>[15]</w:t>
      </w:r>
      <w:r>
        <w:t>. È importante, tuttavia, distinguere la cura per intensità crescente in senso proprio, in cui il paziente avanza tra i livelli in funzione della risposta osservata, dalla cura commisurata, in cui il livello iniziale è scelto sin dall’inizio in base alla gravità del quadro: la prima minimizza l’impiego di risorse ma può ritardare l’intervento adeguato per i quadri più gravi, la seconda riduce questo rischio al prezzo di una maggiore intensità iniziale media. La scelta tra le due configurazioni non è neutra e sarà ripresa nella sezione sulla trasferibilità, perché essa incide tanto sugli esiti quanto sui costi del servizio pugliese.</w:t>
      </w:r>
    </w:p>
    <w:p w14:paraId="39390F05" w14:textId="77777777" w:rsidR="007C4598" w:rsidRDefault="007C4598"/>
    <w:p w14:paraId="5D01FF3E" w14:textId="77777777" w:rsidR="007C4598" w:rsidRDefault="00000000">
      <w:pPr>
        <w:pStyle w:val="Titolo3"/>
        <w:spacing w:before="200" w:after="100"/>
      </w:pPr>
      <w:r>
        <w:rPr>
          <w:color w:val="16264B"/>
          <w:sz w:val="22"/>
          <w:szCs w:val="22"/>
        </w:rPr>
        <w:t>6.1.5  Le dimensioni dell’effetto e la significatività clinica</w:t>
      </w:r>
    </w:p>
    <w:p w14:paraId="30A9D1DB" w14:textId="77777777" w:rsidR="007C4598" w:rsidRDefault="007C4598"/>
    <w:p w14:paraId="7DE47A59" w14:textId="77777777" w:rsidR="007C4598" w:rsidRDefault="00000000">
      <w:pPr>
        <w:jc w:val="both"/>
      </w:pPr>
      <w:r>
        <w:t>La corretta interpretazione delle dimensioni dell’effetto è essenziale per non sopravvalutare né sottovalutare ciò che la cura collaborativa produce. L’effetto sulla sintomatologia depressiva, di ampiezza piccola-moderata sul piano della differenza media standardizzata, potrebbe a prima vista apparire modesto; ma questa impressione deriva da un fraintendimento della scala. Un effetto di ampiezza contenuta, applicato a una popolazione ampia, sposta una quota rilevante di pazienti dalla condizione di non risposta a quella di risposta, e dalla risposta alla remissione; e poiché i costi sanitari e sociali della depressione si concentrano nei casi non in remissione, anche uno spostamento contenuto della distribuzione produce, su scala di popolazione, una variazione apprezzabile del carico complessivo. La significatività clinica di un effetto non si misura dunque soltanto dalla sua ampiezza puntuale, ma dal numero di persone che esso porta al di sopra della soglia di risposta e dalla durata di quel risultato</w:t>
      </w:r>
      <w:r>
        <w:rPr>
          <w:color w:val="555555"/>
          <w:sz w:val="16"/>
          <w:szCs w:val="16"/>
          <w:vertAlign w:val="superscript"/>
        </w:rPr>
        <w:t>[16]</w:t>
      </w:r>
      <w:r>
        <w:t>.</w:t>
      </w:r>
    </w:p>
    <w:p w14:paraId="4136A696" w14:textId="77777777" w:rsidR="007C4598" w:rsidRDefault="007C4598"/>
    <w:p w14:paraId="68A1A4E0" w14:textId="77777777" w:rsidR="007C4598" w:rsidRDefault="00000000">
      <w:pPr>
        <w:jc w:val="both"/>
      </w:pPr>
      <w:r>
        <w:t>A questa considerazione si aggiunge quella sulla persistenza. Un effetto che svanisse al termine dell’intervento avrebbe un valore limitato, sia clinico sia economico; un effetto che permane, come quello documentato dalla cura collaborativa fino a un orizzonte di circa due anni, produce invece benefici cumulati nel tempo, perché ciascun mese di funzionalità recuperata si aggiunge ai precedenti. La sezione sottolinea però, con la dovuta cautela, che la persistenza documentata negli studi non garantisce di per sé una persistenza indefinita, e che oltre l’orizzonte osservato le proiezioni divengono più incerte: le parti dedicate alla modellazione e all’incertezza tratteranno esplicitamente questo punto, adottando bande prudenziali e previsioni falsificabili anziché estrapolazioni ottimistiche. La significatività clinica dell’effetto è, in sintesi, reale e duratura entro l’orizzonte osservato, ma non illimitata; ed è su questa base misurata, e non su una sua amplificazione, che le parti economiche costruiranno le proprie stime.</w:t>
      </w:r>
    </w:p>
    <w:p w14:paraId="1C3F2428" w14:textId="77777777" w:rsidR="007C4598" w:rsidRDefault="007C4598"/>
    <w:p w14:paraId="3D5AD2E5" w14:textId="77777777" w:rsidR="007C4598" w:rsidRDefault="00000000">
      <w:pPr>
        <w:pStyle w:val="Titolo3"/>
        <w:spacing w:before="200" w:after="100"/>
      </w:pPr>
      <w:r>
        <w:rPr>
          <w:color w:val="16264B"/>
          <w:sz w:val="22"/>
          <w:szCs w:val="22"/>
        </w:rPr>
        <w:t>6.1.6  La graduazione GRADE dell’evidenza clinica</w:t>
      </w:r>
    </w:p>
    <w:p w14:paraId="60597627" w14:textId="77777777" w:rsidR="007C4598" w:rsidRDefault="007C4598"/>
    <w:p w14:paraId="6316A3A3" w14:textId="77777777" w:rsidR="007C4598" w:rsidRDefault="00000000">
      <w:pPr>
        <w:jc w:val="both"/>
      </w:pPr>
      <w:r>
        <w:t>La sezione si chiude con la graduazione complessiva della certezza dell’evidenza clinica, condotta secondo il sistema GRADE e riassunta nel prospetto seguente. Per l’esito principale — il miglioramento della sintomatologia depressiva attraverso la cura collaborativa — la certezza è collocata su un livello da moderato ad alto, giustificato dal disegno sperimentale degli studi, dalla coerenza della direzione dell’effetto, dalla numerosità complessiva dei partecipanti e dalla persistenza dei risultati; la presenza di una certa eterogeneità nelle configurazioni e nelle stime di ampiezza giustifica, in alcuni confronti, una collocazione su un livello moderato anziché alto. Per l’ansia la certezza è moderata, con un corpo di evidenza solido ma meno esteso di quello disponibile per la depressione. Per il risultato clinico del trial IMPACT la certezza è alta sul piano dell’esito; per il corrispondente risultato di costo, come si è detto, la certezza è bassa, a causa dell’imprecisione della stima il cui intervallo di confidenza attraversa lo zero. Per la cura per intensità crescente la certezza è moderata.</w:t>
      </w:r>
    </w:p>
    <w:p w14:paraId="76908C83" w14:textId="77777777" w:rsidR="007C4598" w:rsidRDefault="007C4598"/>
    <w:p w14:paraId="226B77CD" w14:textId="77777777" w:rsidR="007C4598" w:rsidRDefault="00000000">
      <w:pPr>
        <w:jc w:val="both"/>
      </w:pPr>
      <w:r>
        <w:t xml:space="preserve">Questa graduazione è il principale lascito che la prima sezione consegna al resto dell’opera. Essa stabilisce che l’efficacia clinica dell’integrazione è dimostrata con certezza moderata o alta per gli esiti principali, e che su questa base — e soltanto entro i limiti di questa base — le parti successive potranno costruire le proprie argomentazioni. La distinzione tra la certezza alta dell’esito clinico del trial IMPACT e la certezza bassa del suo esito di costo è, in particolare, l’applicazione concreta del principio che governa l’intera opera: l’efficacia e il risparmio sono affermazioni distinte, e la solidità della prima non si trasferisce automaticamente al secondo. La tabella che segue riepiloga la graduazione, e il prospetto </w:t>
      </w:r>
      <w:proofErr w:type="spellStart"/>
      <w:r>
        <w:t>infografico</w:t>
      </w:r>
      <w:proofErr w:type="spellEnd"/>
      <w:r>
        <w:t xml:space="preserve"> che la accompagna ne offrirà, in sede di impaginazione definitiva, una rappresentazione sinottica.</w:t>
      </w:r>
    </w:p>
    <w:p w14:paraId="0FDFB0D8"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4EE8779E"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38FF8E2" w14:textId="77777777" w:rsidR="007C4598" w:rsidRDefault="00000000">
            <w:pPr>
              <w:spacing w:after="40"/>
            </w:pPr>
            <w:r>
              <w:rPr>
                <w:b/>
                <w:bCs/>
                <w:color w:val="FFFFFF"/>
                <w:sz w:val="18"/>
                <w:szCs w:val="18"/>
              </w:rPr>
              <w:t>Disegno / fonte</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54BA23D" w14:textId="77777777" w:rsidR="007C4598" w:rsidRDefault="00000000">
            <w:pPr>
              <w:spacing w:after="40"/>
            </w:pPr>
            <w:r>
              <w:rPr>
                <w:b/>
                <w:bCs/>
                <w:color w:val="FFFFFF"/>
                <w:sz w:val="18"/>
                <w:szCs w:val="18"/>
              </w:rPr>
              <w:t>Esito principale</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19BB11D" w14:textId="77777777" w:rsidR="007C4598" w:rsidRDefault="00000000">
            <w:pPr>
              <w:spacing w:after="40"/>
            </w:pPr>
            <w:r>
              <w:rPr>
                <w:b/>
                <w:bCs/>
                <w:color w:val="FFFFFF"/>
                <w:sz w:val="18"/>
                <w:szCs w:val="18"/>
              </w:rPr>
              <w:t>Stima dell’effetto (direzione e ampiezza)</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CE66CCB" w14:textId="77777777" w:rsidR="007C4598" w:rsidRDefault="00000000">
            <w:pPr>
              <w:spacing w:after="40"/>
            </w:pPr>
            <w:r>
              <w:rPr>
                <w:b/>
                <w:bCs/>
                <w:color w:val="FFFFFF"/>
                <w:sz w:val="18"/>
                <w:szCs w:val="18"/>
              </w:rPr>
              <w:t>Certezza GRADE</w:t>
            </w:r>
          </w:p>
        </w:tc>
      </w:tr>
      <w:tr w:rsidR="007C4598" w14:paraId="36995251"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741DA5D" w14:textId="77777777" w:rsidR="007C4598" w:rsidRDefault="00000000">
            <w:pPr>
              <w:spacing w:after="40"/>
            </w:pPr>
            <w:r>
              <w:t>Meta-analisi di studi controllati randomizzati sulla cura collaborativa (depressione)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4630630" w14:textId="77777777" w:rsidR="007C4598" w:rsidRDefault="00000000">
            <w:pPr>
              <w:spacing w:after="40"/>
            </w:pPr>
            <w:r>
              <w:t>Riduzione della sintomatologia depressiva a breve termine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5F14890" w14:textId="77777777" w:rsidR="007C4598" w:rsidRDefault="00000000">
            <w:pPr>
              <w:spacing w:after="40"/>
            </w:pPr>
            <w:r>
              <w:t>Differenza media standardizzata in favore della cura collaborativa, di ampiezza piccola-moderata, persistente fino a circa due anni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4799015" w14:textId="77777777" w:rsidR="007C4598" w:rsidRDefault="00000000">
            <w:pPr>
              <w:spacing w:after="40"/>
            </w:pPr>
            <w:r>
              <w:t>Moderata-alta</w:t>
            </w:r>
          </w:p>
        </w:tc>
      </w:tr>
      <w:tr w:rsidR="007C4598" w14:paraId="3A64958B"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2F7BB5A" w14:textId="77777777" w:rsidR="007C4598" w:rsidRDefault="00000000">
            <w:pPr>
              <w:spacing w:after="40"/>
            </w:pPr>
            <w:r>
              <w:t>Meta-analisi di studi controllati randomizzati sulla cura collaborativa (ansia)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4DB41F0" w14:textId="77777777" w:rsidR="007C4598" w:rsidRDefault="00000000">
            <w:pPr>
              <w:spacing w:after="40"/>
            </w:pPr>
            <w:r>
              <w:t>Riduzione della sintomatologia ansiosa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A7D70A6" w14:textId="77777777" w:rsidR="007C4598" w:rsidRDefault="00000000">
            <w:pPr>
              <w:spacing w:after="40"/>
            </w:pPr>
            <w:r>
              <w:t>Differenza media standardizzata in favore della cura collaborativa, di ampiezza piccola-moderata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9576FB0" w14:textId="77777777" w:rsidR="007C4598" w:rsidRDefault="00000000">
            <w:pPr>
              <w:spacing w:after="40"/>
            </w:pPr>
            <w:r>
              <w:t>Moderata</w:t>
            </w:r>
          </w:p>
        </w:tc>
      </w:tr>
      <w:tr w:rsidR="007C4598" w14:paraId="10D3014B"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FC9D0D6" w14:textId="77777777" w:rsidR="007C4598" w:rsidRDefault="00000000">
            <w:pPr>
              <w:spacing w:after="40"/>
            </w:pPr>
            <w:r>
              <w:t>Trial IMPACT (depressione tardiva, anziani)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C5D6554" w14:textId="77777777" w:rsidR="007C4598" w:rsidRDefault="00000000">
            <w:pPr>
              <w:spacing w:after="40"/>
            </w:pPr>
            <w:r>
              <w:t>Risposta al trattamento a dodici mesi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6051B35" w14:textId="77777777" w:rsidR="007C4598" w:rsidRDefault="00000000">
            <w:pPr>
              <w:spacing w:after="40"/>
            </w:pPr>
            <w:r>
              <w:t>Tasso di risposta circa doppio rispetto alla cura abituale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CF1BC55" w14:textId="77777777" w:rsidR="007C4598" w:rsidRDefault="00000000">
            <w:pPr>
              <w:spacing w:after="40"/>
            </w:pPr>
            <w:r>
              <w:t>Alta (esito clinico)</w:t>
            </w:r>
          </w:p>
        </w:tc>
      </w:tr>
      <w:tr w:rsidR="007C4598" w14:paraId="09C2728D"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9E549D4" w14:textId="77777777" w:rsidR="007C4598" w:rsidRDefault="00000000">
            <w:pPr>
              <w:spacing w:after="40"/>
            </w:pPr>
            <w:r>
              <w:t>Trial IMPACT — analisi economica di lungo periodo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C4E0A9B" w14:textId="77777777" w:rsidR="007C4598" w:rsidRDefault="00000000">
            <w:pPr>
              <w:spacing w:after="40"/>
            </w:pPr>
            <w:r>
              <w:t>Costi sanitari complessivi a quattro anni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8F9A5D1" w14:textId="77777777" w:rsidR="007C4598" w:rsidRDefault="00000000">
            <w:pPr>
              <w:spacing w:after="40"/>
            </w:pPr>
            <w:r>
              <w:t>Tendenza al risparmio non statisticamente significativa: l’intervallo di confidenza attraversa lo zero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C5AFDAC" w14:textId="77777777" w:rsidR="007C4598" w:rsidRDefault="00000000">
            <w:pPr>
              <w:spacing w:after="40"/>
            </w:pPr>
            <w:r>
              <w:t>Bassa (esito di costo)</w:t>
            </w:r>
          </w:p>
        </w:tc>
      </w:tr>
      <w:tr w:rsidR="007C4598" w14:paraId="3348974A"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3B12E25" w14:textId="77777777" w:rsidR="007C4598" w:rsidRDefault="00000000">
            <w:pPr>
              <w:spacing w:after="40"/>
            </w:pPr>
            <w:r>
              <w:t>Revisione sistematica della cura per intensità crescente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F43E748" w14:textId="77777777" w:rsidR="007C4598" w:rsidRDefault="00000000">
            <w:pPr>
              <w:spacing w:after="40"/>
            </w:pPr>
            <w:r>
              <w:t>Efficacia complessiva con allocazione efficiente delle risorse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B0C8495" w14:textId="77777777" w:rsidR="007C4598" w:rsidRDefault="00000000">
            <w:pPr>
              <w:spacing w:after="40"/>
            </w:pPr>
            <w:r>
              <w:t>Effetti coerenti con la cura collaborativa, con uso più parsimonioso delle prestazioni intensive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A47104A" w14:textId="77777777" w:rsidR="007C4598" w:rsidRDefault="00000000">
            <w:pPr>
              <w:spacing w:after="40"/>
            </w:pPr>
            <w:r>
              <w:t>Moderata</w:t>
            </w:r>
          </w:p>
        </w:tc>
      </w:tr>
    </w:tbl>
    <w:p w14:paraId="02E0B266" w14:textId="77777777" w:rsidR="007C4598" w:rsidRDefault="007C4598"/>
    <w:p w14:paraId="0128B598" w14:textId="77777777" w:rsidR="007C4598" w:rsidRDefault="00000000">
      <w:pPr>
        <w:jc w:val="both"/>
      </w:pPr>
      <w:r>
        <w:rPr>
          <w:i/>
          <w:iCs/>
        </w:rPr>
        <w:t>Tabella 6.1 — Sintesi e graduazione GRADE dell’evidenza clinica sull’integrazione della psicologia nelle cure primarie. Le stime sono espresse in forma qualitativa; la quantificazione economica è riservata alle parti dedicate alla valutazione economica.</w:t>
      </w:r>
    </w:p>
    <w:p w14:paraId="11CB4717"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4F0092B6"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E72F0AD" w14:textId="77777777" w:rsidR="007C4598" w:rsidRDefault="00000000">
            <w:pPr>
              <w:spacing w:after="40"/>
            </w:pPr>
            <w:r>
              <w:rPr>
                <w:b/>
                <w:bCs/>
                <w:color w:val="FFFFFF"/>
                <w:sz w:val="18"/>
                <w:szCs w:val="18"/>
              </w:rPr>
              <w:t xml:space="preserve">◆ SEGNAPOSTO INFOGRAFICA — FIG. 6.A La graduazione GRADE dell’evidenza clinica: esito clinico contro esito di costo CODICE CANVA-FRIENDLY Tipo di grafico: Diagramma a barre orizzontali raggruppate con scala di certezza a quattro livelli (molto bassa, bassa, moderata, alta) Lettura: Ogni voce di evidenza è rappresentata da una barra la cui lunghezza corrisponde al livello di certezza GRADE; le barre relative agli esiti clinici e quelle relative agli esiti di costo sono distinte cromaticamente per rendere immediatamente percepibile lo scarto tra la certezza dell’efficacia e quella del risparmio. Palette: Esiti clinici in blu </w:t>
            </w:r>
            <w:proofErr w:type="spellStart"/>
            <w:r>
              <w:rPr>
                <w:b/>
                <w:bCs/>
                <w:color w:val="FFFFFF"/>
                <w:sz w:val="18"/>
                <w:szCs w:val="18"/>
              </w:rPr>
              <w:t>navy</w:t>
            </w:r>
            <w:proofErr w:type="spellEnd"/>
            <w:r>
              <w:rPr>
                <w:b/>
                <w:bCs/>
                <w:color w:val="FFFFFF"/>
                <w:sz w:val="18"/>
                <w:szCs w:val="18"/>
              </w:rPr>
              <w:t xml:space="preserve"> #16264B; esiti di costo in oro attenuato #C49A48; griglia in grigio #D8D8D8 Sfondo: Gradiente bianco 85% (#FFFFFF) → crema 15% (#F3ECDC)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(titoli </w:t>
            </w:r>
            <w:proofErr w:type="spellStart"/>
            <w:r>
              <w:rPr>
                <w:b/>
                <w:bCs/>
                <w:color w:val="FFFFFF"/>
                <w:sz w:val="18"/>
                <w:szCs w:val="18"/>
              </w:rPr>
              <w:t>SemiBold</w:t>
            </w:r>
            <w:proofErr w:type="spellEnd"/>
            <w:r>
              <w:rPr>
                <w:b/>
                <w:bCs/>
                <w:color w:val="FFFFFF"/>
                <w:sz w:val="18"/>
                <w:szCs w:val="18"/>
              </w:rPr>
              <w:t xml:space="preserve">; valori Medium; note Regular) Dimensioni: 1920×1080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xml:space="preserve"> Valori da rappresentare • Cura collaborativa · depressione (esito clinico) — certezza moderata-alta • Cura collaborativa · ansia (esito clinico) — certezza moderata • Trial IMPACT · risposta a 12 mesi (esito clinico) — certezza alta • Trial IMPACT · costi sanitari a 4 anni (esito di costo) — certezza bassa — IC attraversa lo zero • Cura per intensità crescente (esito clinico) — certezza moderata La figura deve rendere visivamente evidente che l’unica barra di colore oro (esito di costo) è anche la più corta, a illustrazione del principio per cui la certezza dell’efficacia non si trasferisce alla certezza del risparmio.</w:t>
            </w:r>
          </w:p>
          <w:p w14:paraId="5A87F3D2" w14:textId="77777777" w:rsidR="007C4598" w:rsidRDefault="00000000">
            <w:pPr>
              <w:spacing w:before="120" w:after="60"/>
              <w:jc w:val="center"/>
            </w:pPr>
            <w:r>
              <w:rPr>
                <w:noProof/>
              </w:rPr>
              <w:drawing>
                <wp:inline distT="0" distB="0" distL="0" distR="0" wp14:anchorId="2E29A544" wp14:editId="0EB5F76D">
                  <wp:extent cx="8229600" cy="4629150"/>
                  <wp:effectExtent l="0" t="0" r="0" b="0"/>
                  <wp:docPr id="126" name="Infografica26" descr="La graduazione GRADE dell'evidenza cli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nfografica26"/>
                          <pic:cNvPicPr>
                            <a:picLocks noChangeAspect="1" noChangeArrowheads="1"/>
                          </pic:cNvPicPr>
                        </pic:nvPicPr>
                        <pic:blipFill>
                          <a:blip r:embed="rId41">
                            <a:extLst>
                              <a:ext uri="{96DAC541-7B7A-43D3-8B79-37D633B846F1}">
                                <asvg:svgBlip xmlns:asvg="http://schemas.microsoft.com/office/drawing/2016/SVG/main" r:embed="rId42"/>
                              </a:ext>
                            </a:extLst>
                          </a:blip>
                          <a:stretch>
                            <a:fillRect/>
                          </a:stretch>
                        </pic:blipFill>
                        <pic:spPr bwMode="auto">
                          <a:xfrm>
                            <a:off x="0" y="0"/>
                            <a:ext cx="8229600" cy="4629150"/>
                          </a:xfrm>
                          <a:prstGeom prst="rect">
                            <a:avLst/>
                          </a:prstGeom>
                          <a:noFill/>
                          <a:ln>
                            <a:noFill/>
                          </a:ln>
                        </pic:spPr>
                      </pic:pic>
                    </a:graphicData>
                  </a:graphic>
                </wp:inline>
              </w:drawing>
            </w:r>
          </w:p>
          <w:p w14:paraId="2CA19C94" w14:textId="77777777" w:rsidR="007C4598" w:rsidRDefault="00000000">
            <w:pPr>
              <w:spacing w:before="40" w:after="200"/>
              <w:jc w:val="center"/>
            </w:pPr>
            <w:r>
              <w:rPr>
                <w:i/>
                <w:color w:val="2E5A8F"/>
                <w:sz w:val="16"/>
                <w:szCs w:val="16"/>
              </w:rPr>
              <w:t>Fig. 6.A — La graduazione GRADE dell'evidenza clinica. Elaborazione dello studio · Luigi De Michele · Giugno 2026.</w:t>
            </w:r>
          </w:p>
        </w:tc>
      </w:tr>
    </w:tbl>
    <w:p w14:paraId="64092BC1" w14:textId="77777777" w:rsidR="007C4598" w:rsidRDefault="007C4598"/>
    <w:p w14:paraId="4EE06A92" w14:textId="77777777" w:rsidR="007C4598" w:rsidRDefault="00000000">
      <w:pPr>
        <w:jc w:val="both"/>
      </w:pPr>
      <w:r>
        <w:t>Con la graduazione dell’evidenza clinica la prima sezione ha assolto il proprio compito. È stabilito, con certezza moderata o alta, che l’integrazione strutturata della psicologia nelle cure primarie migliora gli esiti dei disturbi mentali comuni; è stabilito che il modello di erogazione per intensità crescente conserva questa efficacia impiegando le risorse in modo più efficiente; ed è stabilito, con pari rigore, che il risparmio sui costi sanitari diretti non condivide la solidità dell’esito clinico. Su questa base la seconda sezione potrà ora collocare l’evidenza pugliese e italiana nell’orizzonte dei grandi programmi internazionali di integrazione, traendone le lezioni che la sezione sulla trasferibilità ricondurrà infine al contesto della Regione.</w:t>
      </w:r>
    </w:p>
    <w:p w14:paraId="12654C9E" w14:textId="77777777" w:rsidR="007C4598" w:rsidRDefault="007C4598"/>
    <w:p w14:paraId="5338FA40" w14:textId="77777777" w:rsidR="007C4598" w:rsidRDefault="00000000">
      <w:pPr>
        <w:jc w:val="both"/>
      </w:pPr>
      <w:r>
        <w:t>Efficacia, evidenza e meccanismi di impatto</w:t>
      </w:r>
      <w:r>
        <w:tab/>
      </w:r>
      <w:r>
        <w:tab/>
        <w:t>L. De Michele · giugno 2026</w:t>
      </w:r>
    </w:p>
    <w:p w14:paraId="4BE55393" w14:textId="77777777" w:rsidR="007C4598" w:rsidRDefault="007C4598"/>
    <w:p w14:paraId="37C3FE94" w14:textId="77777777" w:rsidR="007C4598" w:rsidRDefault="00000000">
      <w:pPr>
        <w:jc w:val="both"/>
      </w:pPr>
      <w:r>
        <w:rPr>
          <w:color w:val="555555"/>
          <w:sz w:val="16"/>
          <w:szCs w:val="16"/>
          <w:vertAlign w:val="superscript"/>
        </w:rPr>
        <w:t>[1]</w:t>
      </w:r>
      <w:r>
        <w:t xml:space="preserve">: </w:t>
      </w:r>
      <w:proofErr w:type="spellStart"/>
      <w:r>
        <w:t>Chisholm</w:t>
      </w:r>
      <w:proofErr w:type="spellEnd"/>
      <w:r>
        <w:t xml:space="preserve"> D., </w:t>
      </w:r>
      <w:proofErr w:type="spellStart"/>
      <w:r>
        <w:t>Sweeny</w:t>
      </w:r>
      <w:proofErr w:type="spellEnd"/>
      <w:r>
        <w:t xml:space="preserve"> K., </w:t>
      </w:r>
      <w:proofErr w:type="spellStart"/>
      <w:r>
        <w:t>Sheehan</w:t>
      </w:r>
      <w:proofErr w:type="spellEnd"/>
      <w:r>
        <w:t xml:space="preserve"> P. et al., «</w:t>
      </w:r>
      <w:proofErr w:type="spellStart"/>
      <w:r>
        <w:t>Scaling</w:t>
      </w:r>
      <w:proofErr w:type="spellEnd"/>
      <w:r>
        <w:t xml:space="preserve">-up treatment of </w:t>
      </w:r>
      <w:proofErr w:type="spellStart"/>
      <w:r>
        <w:t>depression</w:t>
      </w:r>
      <w:proofErr w:type="spellEnd"/>
      <w:r>
        <w:t xml:space="preserve"> and </w:t>
      </w:r>
      <w:proofErr w:type="spellStart"/>
      <w:r>
        <w:t>anxiety</w:t>
      </w:r>
      <w:proofErr w:type="spellEnd"/>
      <w:r>
        <w:t xml:space="preserve">: a global </w:t>
      </w:r>
      <w:proofErr w:type="spellStart"/>
      <w:r>
        <w:t>return</w:t>
      </w:r>
      <w:proofErr w:type="spellEnd"/>
      <w:r>
        <w:t xml:space="preserve"> on </w:t>
      </w:r>
      <w:proofErr w:type="spellStart"/>
      <w:r>
        <w:t>investment</w:t>
      </w:r>
      <w:proofErr w:type="spellEnd"/>
      <w:r>
        <w:t xml:space="preserve"> </w:t>
      </w:r>
      <w:proofErr w:type="spellStart"/>
      <w:r>
        <w:t>analysis</w:t>
      </w:r>
      <w:proofErr w:type="spellEnd"/>
      <w:r>
        <w:t xml:space="preserve">», The Lancet </w:t>
      </w:r>
      <w:proofErr w:type="spellStart"/>
      <w:r>
        <w:t>Psychiatry</w:t>
      </w:r>
      <w:proofErr w:type="spellEnd"/>
      <w:r>
        <w:t>, vol. 3, n. 5, 2016, pp. 415-424. Studio commissionato dall’Organizzazione Mondiale della Sanità; fonte degli intervalli di ritorno invarianti adottati nell’opera (2,3-3,0 a 1 per i soli benefici economici; 3,3-5,7 a 1 con l’inclusione dei ritorni in salute).</w:t>
      </w:r>
    </w:p>
    <w:p w14:paraId="750A34E0" w14:textId="77777777" w:rsidR="007C4598" w:rsidRDefault="00000000">
      <w:pPr>
        <w:jc w:val="both"/>
      </w:pPr>
      <w:r>
        <w:rPr>
          <w:color w:val="555555"/>
          <w:sz w:val="16"/>
          <w:szCs w:val="16"/>
          <w:vertAlign w:val="superscript"/>
        </w:rPr>
        <w:t>[2]</w:t>
      </w:r>
      <w:r>
        <w:t xml:space="preserve">: Sul </w:t>
      </w:r>
      <w:proofErr w:type="spellStart"/>
      <w:r>
        <w:t>caveat</w:t>
      </w:r>
      <w:proofErr w:type="spellEnd"/>
      <w:r>
        <w:t xml:space="preserve"> dei costi sanitari diretti si veda l’analisi economica di lungo periodo del trial IMPACT, infra nota 13. Il principio adottato è che nessun risparmio sanitario diretto sia presentato come acquisito quando l’intervallo di confidenza al 95 per cento attraversa lo zero.</w:t>
      </w:r>
    </w:p>
    <w:p w14:paraId="239B6FA9" w14:textId="77777777" w:rsidR="007C4598" w:rsidRDefault="00000000">
      <w:pPr>
        <w:jc w:val="both"/>
      </w:pPr>
      <w:r>
        <w:rPr>
          <w:color w:val="555555"/>
          <w:sz w:val="16"/>
          <w:szCs w:val="16"/>
          <w:vertAlign w:val="superscript"/>
        </w:rPr>
        <w:t>[3]</w:t>
      </w:r>
      <w:r>
        <w:t xml:space="preserve">: </w:t>
      </w:r>
      <w:proofErr w:type="spellStart"/>
      <w:r>
        <w:t>Guyatt</w:t>
      </w:r>
      <w:proofErr w:type="spellEnd"/>
      <w:r>
        <w:t xml:space="preserve"> G.H., </w:t>
      </w:r>
      <w:proofErr w:type="spellStart"/>
      <w:r>
        <w:t>Oxman</w:t>
      </w:r>
      <w:proofErr w:type="spellEnd"/>
      <w:r>
        <w:t xml:space="preserve"> A.D., </w:t>
      </w:r>
      <w:proofErr w:type="spellStart"/>
      <w:r>
        <w:t>Vist</w:t>
      </w:r>
      <w:proofErr w:type="spellEnd"/>
      <w:r>
        <w:t xml:space="preserve"> G.E. et al., «GRADE: an </w:t>
      </w:r>
      <w:proofErr w:type="spellStart"/>
      <w:r>
        <w:t>emerging</w:t>
      </w:r>
      <w:proofErr w:type="spellEnd"/>
      <w:r>
        <w:t xml:space="preserve"> </w:t>
      </w:r>
      <w:proofErr w:type="spellStart"/>
      <w:r>
        <w:t>consensus</w:t>
      </w:r>
      <w:proofErr w:type="spellEnd"/>
      <w:r>
        <w:t xml:space="preserve"> on rating </w:t>
      </w:r>
      <w:proofErr w:type="spellStart"/>
      <w:r>
        <w:t>quality</w:t>
      </w:r>
      <w:proofErr w:type="spellEnd"/>
      <w:r>
        <w:t xml:space="preserve"> of </w:t>
      </w:r>
      <w:proofErr w:type="spellStart"/>
      <w:r>
        <w:t>evidence</w:t>
      </w:r>
      <w:proofErr w:type="spellEnd"/>
      <w:r>
        <w:t xml:space="preserve"> and </w:t>
      </w:r>
      <w:proofErr w:type="spellStart"/>
      <w:r>
        <w:t>strength</w:t>
      </w:r>
      <w:proofErr w:type="spellEnd"/>
      <w:r>
        <w:t xml:space="preserve"> of </w:t>
      </w:r>
      <w:proofErr w:type="spellStart"/>
      <w:r>
        <w:t>recommendations</w:t>
      </w:r>
      <w:proofErr w:type="spellEnd"/>
      <w:r>
        <w:t>», BMJ, vol. 336, 2008, pp. 924-926. Dichiarazione di consenso sul sistema di graduazione della certezza dell’evidenza, adottato simmetricamente per l’evidenza clinica e per quella relativa all’Intelligenza Artificiale.</w:t>
      </w:r>
    </w:p>
    <w:p w14:paraId="1D176AA8" w14:textId="77777777" w:rsidR="007C4598" w:rsidRDefault="00000000">
      <w:pPr>
        <w:jc w:val="both"/>
      </w:pPr>
      <w:r>
        <w:rPr>
          <w:color w:val="555555"/>
          <w:sz w:val="16"/>
          <w:szCs w:val="16"/>
          <w:vertAlign w:val="superscript"/>
        </w:rPr>
        <w:t>[4]</w:t>
      </w:r>
      <w:r>
        <w:t xml:space="preserve">: </w:t>
      </w:r>
      <w:proofErr w:type="spellStart"/>
      <w:r>
        <w:t>Balshem</w:t>
      </w:r>
      <w:proofErr w:type="spellEnd"/>
      <w:r>
        <w:t xml:space="preserve"> H., </w:t>
      </w:r>
      <w:proofErr w:type="spellStart"/>
      <w:r>
        <w:t>Helfand</w:t>
      </w:r>
      <w:proofErr w:type="spellEnd"/>
      <w:r>
        <w:t xml:space="preserve"> M., </w:t>
      </w:r>
      <w:proofErr w:type="spellStart"/>
      <w:r>
        <w:t>Schünemann</w:t>
      </w:r>
      <w:proofErr w:type="spellEnd"/>
      <w:r>
        <w:t xml:space="preserve"> H.J. et al., «GRADE </w:t>
      </w:r>
      <w:proofErr w:type="spellStart"/>
      <w:r>
        <w:t>guidelines</w:t>
      </w:r>
      <w:proofErr w:type="spellEnd"/>
      <w:r>
        <w:t xml:space="preserve">: 3. Rating the </w:t>
      </w:r>
      <w:proofErr w:type="spellStart"/>
      <w:r>
        <w:t>quality</w:t>
      </w:r>
      <w:proofErr w:type="spellEnd"/>
      <w:r>
        <w:t xml:space="preserve"> of </w:t>
      </w:r>
      <w:proofErr w:type="spellStart"/>
      <w:r>
        <w:t>evidence</w:t>
      </w:r>
      <w:proofErr w:type="spellEnd"/>
      <w:r>
        <w:t xml:space="preserve">», Journal of </w:t>
      </w:r>
      <w:proofErr w:type="spellStart"/>
      <w:r>
        <w:t>Clinical</w:t>
      </w:r>
      <w:proofErr w:type="spellEnd"/>
      <w:r>
        <w:t xml:space="preserve"> </w:t>
      </w:r>
      <w:proofErr w:type="spellStart"/>
      <w:r>
        <w:t>Epidemiology</w:t>
      </w:r>
      <w:proofErr w:type="spellEnd"/>
      <w:r>
        <w:t xml:space="preserve">, vol. 64, n. 4, 2011, pp. 401-406. Fonte della classificazione in quattro livelli (alta, moderata, bassa, molto bassa) e dei cinque domini di declassamento (rischio di distorsione, incoerenza, </w:t>
      </w:r>
      <w:proofErr w:type="spellStart"/>
      <w:r>
        <w:t>indirettezza</w:t>
      </w:r>
      <w:proofErr w:type="spellEnd"/>
      <w:r>
        <w:t>, imprecisione, distorsione da pubblicazione).</w:t>
      </w:r>
    </w:p>
    <w:p w14:paraId="266374B7" w14:textId="77777777" w:rsidR="007C4598" w:rsidRDefault="00000000">
      <w:pPr>
        <w:jc w:val="both"/>
      </w:pPr>
      <w:r>
        <w:rPr>
          <w:color w:val="555555"/>
          <w:sz w:val="16"/>
          <w:szCs w:val="16"/>
          <w:vertAlign w:val="superscript"/>
        </w:rPr>
        <w:t>[5]</w:t>
      </w:r>
      <w:r>
        <w:t xml:space="preserve">: I vincoli invarianti (intervalli di ritorno corretti, </w:t>
      </w:r>
      <w:proofErr w:type="spellStart"/>
      <w:r>
        <w:t>caveat</w:t>
      </w:r>
      <w:proofErr w:type="spellEnd"/>
      <w:r>
        <w:t xml:space="preserve"> IMPACT, separazione tra grandezze fiscali e sociali, regola di non duplicazione, bande prudenziali e falsificabilità) sono enunciati nella Parte I e governano ogni stima economica delle Parti VII-X.</w:t>
      </w:r>
    </w:p>
    <w:p w14:paraId="50816779" w14:textId="77777777" w:rsidR="007C4598" w:rsidRDefault="00000000">
      <w:pPr>
        <w:jc w:val="both"/>
      </w:pPr>
      <w:r>
        <w:rPr>
          <w:color w:val="555555"/>
          <w:sz w:val="16"/>
          <w:szCs w:val="16"/>
          <w:vertAlign w:val="superscript"/>
        </w:rPr>
        <w:t>[6]</w:t>
      </w:r>
      <w:r>
        <w:t xml:space="preserve">: Sul prevalere dei disturbi mentali comuni nel </w:t>
      </w:r>
      <w:proofErr w:type="spellStart"/>
      <w:r>
        <w:t>setting</w:t>
      </w:r>
      <w:proofErr w:type="spellEnd"/>
      <w:r>
        <w:t xml:space="preserve"> delle cure primarie e sul trattamento incompleto nel modello tradizionale di consultazione si vedano i rapporti dell’Organizzazione Mondiale della Sanità sulla salute mentale e l’integrazione nelle cure primarie (World </w:t>
      </w:r>
      <w:proofErr w:type="spellStart"/>
      <w:r>
        <w:t>Health</w:t>
      </w:r>
      <w:proofErr w:type="spellEnd"/>
      <w:r>
        <w:t xml:space="preserve"> Organization e World Organization of Family </w:t>
      </w:r>
      <w:proofErr w:type="spellStart"/>
      <w:r>
        <w:t>Doctors</w:t>
      </w:r>
      <w:proofErr w:type="spellEnd"/>
      <w:r>
        <w:t xml:space="preserve">, </w:t>
      </w:r>
      <w:proofErr w:type="spellStart"/>
      <w:r>
        <w:t>Integrating</w:t>
      </w:r>
      <w:proofErr w:type="spellEnd"/>
      <w:r>
        <w:t xml:space="preserve"> </w:t>
      </w:r>
      <w:proofErr w:type="spellStart"/>
      <w:r>
        <w:t>mental</w:t>
      </w:r>
      <w:proofErr w:type="spellEnd"/>
      <w:r>
        <w:t xml:space="preserve"> </w:t>
      </w:r>
      <w:proofErr w:type="spellStart"/>
      <w:r>
        <w:t>health</w:t>
      </w:r>
      <w:proofErr w:type="spellEnd"/>
      <w:r>
        <w:t xml:space="preserve"> </w:t>
      </w:r>
      <w:proofErr w:type="spellStart"/>
      <w:r>
        <w:t>into</w:t>
      </w:r>
      <w:proofErr w:type="spellEnd"/>
      <w:r>
        <w:t xml:space="preserve"> </w:t>
      </w:r>
      <w:proofErr w:type="spellStart"/>
      <w:r>
        <w:t>primary</w:t>
      </w:r>
      <w:proofErr w:type="spellEnd"/>
      <w:r>
        <w:t xml:space="preserve"> care: a global </w:t>
      </w:r>
      <w:proofErr w:type="spellStart"/>
      <w:r>
        <w:t>perspective</w:t>
      </w:r>
      <w:proofErr w:type="spellEnd"/>
      <w:r>
        <w:t>, Ginevra, 2008).</w:t>
      </w:r>
    </w:p>
    <w:p w14:paraId="0F6B6261" w14:textId="77777777" w:rsidR="007C4598" w:rsidRDefault="00000000">
      <w:pPr>
        <w:jc w:val="both"/>
      </w:pPr>
      <w:r>
        <w:rPr>
          <w:color w:val="555555"/>
          <w:sz w:val="16"/>
          <w:szCs w:val="16"/>
          <w:vertAlign w:val="superscript"/>
        </w:rPr>
        <w:t>[7]</w:t>
      </w:r>
      <w:r>
        <w:t xml:space="preserve">: Le componenti essenziali della cura collaborativa (gestione del caso, misurazione sistematica degli esiti, supervisione specialistica, intensità crescente) sono ricostruite in </w:t>
      </w:r>
      <w:proofErr w:type="spellStart"/>
      <w:r>
        <w:t>Bower</w:t>
      </w:r>
      <w:proofErr w:type="spellEnd"/>
      <w:r>
        <w:t xml:space="preserve"> P., </w:t>
      </w:r>
      <w:proofErr w:type="spellStart"/>
      <w:r>
        <w:t>Gilbody</w:t>
      </w:r>
      <w:proofErr w:type="spellEnd"/>
      <w:r>
        <w:t xml:space="preserve"> S., Richards D. et al., «Collaborative care for </w:t>
      </w:r>
      <w:proofErr w:type="spellStart"/>
      <w:r>
        <w:t>depression</w:t>
      </w:r>
      <w:proofErr w:type="spellEnd"/>
      <w:r>
        <w:t xml:space="preserve"> in </w:t>
      </w:r>
      <w:proofErr w:type="spellStart"/>
      <w:r>
        <w:t>primary</w:t>
      </w:r>
      <w:proofErr w:type="spellEnd"/>
      <w:r>
        <w:t xml:space="preserve"> care. </w:t>
      </w:r>
      <w:proofErr w:type="spellStart"/>
      <w:r>
        <w:t>Making</w:t>
      </w:r>
      <w:proofErr w:type="spellEnd"/>
      <w:r>
        <w:t xml:space="preserve"> </w:t>
      </w:r>
      <w:proofErr w:type="spellStart"/>
      <w:r>
        <w:t>sense</w:t>
      </w:r>
      <w:proofErr w:type="spellEnd"/>
      <w:r>
        <w:t xml:space="preserve"> of a </w:t>
      </w:r>
      <w:proofErr w:type="spellStart"/>
      <w:r>
        <w:t>complex</w:t>
      </w:r>
      <w:proofErr w:type="spellEnd"/>
      <w:r>
        <w:t xml:space="preserve"> </w:t>
      </w:r>
      <w:proofErr w:type="spellStart"/>
      <w:r>
        <w:t>intervention</w:t>
      </w:r>
      <w:proofErr w:type="spellEnd"/>
      <w:r>
        <w:t xml:space="preserve">: </w:t>
      </w:r>
      <w:proofErr w:type="spellStart"/>
      <w:r>
        <w:t>systematic</w:t>
      </w:r>
      <w:proofErr w:type="spellEnd"/>
      <w:r>
        <w:t xml:space="preserve"> </w:t>
      </w:r>
      <w:proofErr w:type="spellStart"/>
      <w:r>
        <w:t>review</w:t>
      </w:r>
      <w:proofErr w:type="spellEnd"/>
      <w:r>
        <w:t xml:space="preserve"> and meta-</w:t>
      </w:r>
      <w:proofErr w:type="spellStart"/>
      <w:r>
        <w:t>regression</w:t>
      </w:r>
      <w:proofErr w:type="spellEnd"/>
      <w:r>
        <w:t xml:space="preserve">», </w:t>
      </w:r>
      <w:proofErr w:type="spellStart"/>
      <w:r>
        <w:t>British</w:t>
      </w:r>
      <w:proofErr w:type="spellEnd"/>
      <w:r>
        <w:t xml:space="preserve"> Journal of </w:t>
      </w:r>
      <w:proofErr w:type="spellStart"/>
      <w:r>
        <w:t>Psychiatry</w:t>
      </w:r>
      <w:proofErr w:type="spellEnd"/>
      <w:r>
        <w:t>, vol. 189, 2006, pp. 484-493.</w:t>
      </w:r>
    </w:p>
    <w:p w14:paraId="25A9D96A" w14:textId="77777777" w:rsidR="007C4598" w:rsidRDefault="00000000">
      <w:pPr>
        <w:jc w:val="both"/>
      </w:pPr>
      <w:r>
        <w:rPr>
          <w:color w:val="555555"/>
          <w:sz w:val="16"/>
          <w:szCs w:val="16"/>
          <w:vertAlign w:val="superscript"/>
        </w:rPr>
        <w:t>[8]</w:t>
      </w:r>
      <w:r>
        <w:t xml:space="preserve">: Wagner E.H., Austin B.T., Von </w:t>
      </w:r>
      <w:proofErr w:type="spellStart"/>
      <w:r>
        <w:t>Korff</w:t>
      </w:r>
      <w:proofErr w:type="spellEnd"/>
      <w:r>
        <w:t xml:space="preserve"> M., «</w:t>
      </w:r>
      <w:proofErr w:type="spellStart"/>
      <w:r>
        <w:t>Organizing</w:t>
      </w:r>
      <w:proofErr w:type="spellEnd"/>
      <w:r>
        <w:t xml:space="preserve"> care for </w:t>
      </w:r>
      <w:proofErr w:type="spellStart"/>
      <w:r>
        <w:t>patients</w:t>
      </w:r>
      <w:proofErr w:type="spellEnd"/>
      <w:r>
        <w:t xml:space="preserve"> with </w:t>
      </w:r>
      <w:proofErr w:type="spellStart"/>
      <w:r>
        <w:t>chronic</w:t>
      </w:r>
      <w:proofErr w:type="spellEnd"/>
      <w:r>
        <w:t xml:space="preserve"> </w:t>
      </w:r>
      <w:proofErr w:type="spellStart"/>
      <w:r>
        <w:t>illness</w:t>
      </w:r>
      <w:proofErr w:type="spellEnd"/>
      <w:r>
        <w:t xml:space="preserve">», The </w:t>
      </w:r>
      <w:proofErr w:type="spellStart"/>
      <w:r>
        <w:t>Milbank</w:t>
      </w:r>
      <w:proofErr w:type="spellEnd"/>
      <w:r>
        <w:t xml:space="preserve"> </w:t>
      </w:r>
      <w:proofErr w:type="spellStart"/>
      <w:r>
        <w:t>Quarterly</w:t>
      </w:r>
      <w:proofErr w:type="spellEnd"/>
      <w:r>
        <w:t>, vol. 74, n. 4, 1996, pp. 511-544. Formulazione del modello di gestione delle patologie croniche da cui deriva l’applicazione alla salute mentale.</w:t>
      </w:r>
    </w:p>
    <w:p w14:paraId="00067780" w14:textId="77777777" w:rsidR="007C4598" w:rsidRDefault="00000000">
      <w:pPr>
        <w:jc w:val="both"/>
      </w:pPr>
      <w:r>
        <w:rPr>
          <w:color w:val="555555"/>
          <w:sz w:val="16"/>
          <w:szCs w:val="16"/>
          <w:vertAlign w:val="superscript"/>
        </w:rPr>
        <w:t>[9]</w:t>
      </w:r>
      <w:r>
        <w:t xml:space="preserve">: </w:t>
      </w:r>
      <w:proofErr w:type="spellStart"/>
      <w:r>
        <w:t>Archer</w:t>
      </w:r>
      <w:proofErr w:type="spellEnd"/>
      <w:r>
        <w:t xml:space="preserve"> J., </w:t>
      </w:r>
      <w:proofErr w:type="spellStart"/>
      <w:r>
        <w:t>Bower</w:t>
      </w:r>
      <w:proofErr w:type="spellEnd"/>
      <w:r>
        <w:t xml:space="preserve"> P., </w:t>
      </w:r>
      <w:proofErr w:type="spellStart"/>
      <w:r>
        <w:t>Gilbody</w:t>
      </w:r>
      <w:proofErr w:type="spellEnd"/>
      <w:r>
        <w:t xml:space="preserve"> S. et al., «Collaborative care for </w:t>
      </w:r>
      <w:proofErr w:type="spellStart"/>
      <w:r>
        <w:t>depression</w:t>
      </w:r>
      <w:proofErr w:type="spellEnd"/>
      <w:r>
        <w:t xml:space="preserve"> and </w:t>
      </w:r>
      <w:proofErr w:type="spellStart"/>
      <w:r>
        <w:t>anxiety</w:t>
      </w:r>
      <w:proofErr w:type="spellEnd"/>
      <w:r>
        <w:t xml:space="preserve"> </w:t>
      </w:r>
      <w:proofErr w:type="spellStart"/>
      <w:r>
        <w:t>problems</w:t>
      </w:r>
      <w:proofErr w:type="spellEnd"/>
      <w:r>
        <w:t xml:space="preserve">», </w:t>
      </w:r>
      <w:proofErr w:type="spellStart"/>
      <w:r>
        <w:t>Cochrane</w:t>
      </w:r>
      <w:proofErr w:type="spellEnd"/>
      <w:r>
        <w:t xml:space="preserve"> Database of </w:t>
      </w:r>
      <w:proofErr w:type="spellStart"/>
      <w:r>
        <w:t>Systematic</w:t>
      </w:r>
      <w:proofErr w:type="spellEnd"/>
      <w:r>
        <w:t xml:space="preserve"> </w:t>
      </w:r>
      <w:proofErr w:type="spellStart"/>
      <w:r>
        <w:t>Reviews</w:t>
      </w:r>
      <w:proofErr w:type="spellEnd"/>
      <w:r>
        <w:t>, n. 10, 2012, art. CD006525. Revisione sistematica di riferimento: la cura collaborativa migliora gli esiti di depressione e ansia rispetto alla cura abituale, con effetti persistenti.</w:t>
      </w:r>
    </w:p>
    <w:p w14:paraId="132321A0" w14:textId="77777777" w:rsidR="007C4598" w:rsidRDefault="00000000">
      <w:pPr>
        <w:jc w:val="both"/>
      </w:pPr>
      <w:r>
        <w:rPr>
          <w:color w:val="555555"/>
          <w:sz w:val="16"/>
          <w:szCs w:val="16"/>
          <w:vertAlign w:val="superscript"/>
        </w:rPr>
        <w:t>[10]</w:t>
      </w:r>
      <w:r>
        <w:t xml:space="preserve">: Sull’interpretazione di un effetto di ampiezza piccola-moderata su scala di popolazione si veda </w:t>
      </w:r>
      <w:proofErr w:type="spellStart"/>
      <w:r>
        <w:t>Gilbody</w:t>
      </w:r>
      <w:proofErr w:type="spellEnd"/>
      <w:r>
        <w:t xml:space="preserve"> S., </w:t>
      </w:r>
      <w:proofErr w:type="spellStart"/>
      <w:r>
        <w:t>Bower</w:t>
      </w:r>
      <w:proofErr w:type="spellEnd"/>
      <w:r>
        <w:t xml:space="preserve"> P., Fletcher J. et al., «Collaborative care for </w:t>
      </w:r>
      <w:proofErr w:type="spellStart"/>
      <w:r>
        <w:t>depression</w:t>
      </w:r>
      <w:proofErr w:type="spellEnd"/>
      <w:r>
        <w:t>: a cumulative meta-</w:t>
      </w:r>
      <w:proofErr w:type="spellStart"/>
      <w:r>
        <w:t>analysis</w:t>
      </w:r>
      <w:proofErr w:type="spellEnd"/>
      <w:r>
        <w:t xml:space="preserve"> and </w:t>
      </w:r>
      <w:proofErr w:type="spellStart"/>
      <w:r>
        <w:t>review</w:t>
      </w:r>
      <w:proofErr w:type="spellEnd"/>
      <w:r>
        <w:t xml:space="preserve"> of </w:t>
      </w:r>
      <w:proofErr w:type="spellStart"/>
      <w:r>
        <w:t>longer-term</w:t>
      </w:r>
      <w:proofErr w:type="spellEnd"/>
      <w:r>
        <w:t xml:space="preserve"> </w:t>
      </w:r>
      <w:proofErr w:type="spellStart"/>
      <w:r>
        <w:t>outcomes</w:t>
      </w:r>
      <w:proofErr w:type="spellEnd"/>
      <w:r>
        <w:t xml:space="preserve">», Archives of </w:t>
      </w:r>
      <w:proofErr w:type="spellStart"/>
      <w:r>
        <w:t>Internal</w:t>
      </w:r>
      <w:proofErr w:type="spellEnd"/>
      <w:r>
        <w:t xml:space="preserve"> Medicine, vol. 166, n. 21, 2006, pp. 2314-2321.</w:t>
      </w:r>
    </w:p>
    <w:p w14:paraId="45CDAC7A" w14:textId="77777777" w:rsidR="007C4598" w:rsidRDefault="00000000">
      <w:pPr>
        <w:jc w:val="both"/>
      </w:pPr>
      <w:r>
        <w:rPr>
          <w:color w:val="555555"/>
          <w:sz w:val="16"/>
          <w:szCs w:val="16"/>
          <w:vertAlign w:val="superscript"/>
        </w:rPr>
        <w:t>[11]</w:t>
      </w:r>
      <w:r>
        <w:t xml:space="preserve">: L’associazione tra gestione del caso strutturata, supervisione regolare ed effetti più marcati emerge dalla meta-regressione di </w:t>
      </w:r>
      <w:proofErr w:type="spellStart"/>
      <w:r>
        <w:t>Bower</w:t>
      </w:r>
      <w:proofErr w:type="spellEnd"/>
      <w:r>
        <w:t xml:space="preserve"> et al., 2006 (cfr. nota 7), e orienta le condizioni di trasferibilità discusse nella sezione 6.6.</w:t>
      </w:r>
    </w:p>
    <w:p w14:paraId="7E5E9209" w14:textId="77777777" w:rsidR="007C4598" w:rsidRDefault="00000000">
      <w:pPr>
        <w:jc w:val="both"/>
      </w:pPr>
      <w:r>
        <w:rPr>
          <w:color w:val="555555"/>
          <w:sz w:val="16"/>
          <w:szCs w:val="16"/>
          <w:vertAlign w:val="superscript"/>
        </w:rPr>
        <w:t>[12]</w:t>
      </w:r>
      <w:r>
        <w:t xml:space="preserve">: </w:t>
      </w:r>
      <w:proofErr w:type="spellStart"/>
      <w:r>
        <w:t>Unützer</w:t>
      </w:r>
      <w:proofErr w:type="spellEnd"/>
      <w:r>
        <w:t xml:space="preserve"> J., </w:t>
      </w:r>
      <w:proofErr w:type="spellStart"/>
      <w:r>
        <w:t>Katon</w:t>
      </w:r>
      <w:proofErr w:type="spellEnd"/>
      <w:r>
        <w:t xml:space="preserve"> W., </w:t>
      </w:r>
      <w:proofErr w:type="spellStart"/>
      <w:r>
        <w:t>Callahan</w:t>
      </w:r>
      <w:proofErr w:type="spellEnd"/>
      <w:r>
        <w:t xml:space="preserve"> C.M. et al., «Collaborative care management of late-life </w:t>
      </w:r>
      <w:proofErr w:type="spellStart"/>
      <w:r>
        <w:t>depression</w:t>
      </w:r>
      <w:proofErr w:type="spellEnd"/>
      <w:r>
        <w:t xml:space="preserve"> in the </w:t>
      </w:r>
      <w:proofErr w:type="spellStart"/>
      <w:r>
        <w:t>primary</w:t>
      </w:r>
      <w:proofErr w:type="spellEnd"/>
      <w:r>
        <w:t xml:space="preserve"> care </w:t>
      </w:r>
      <w:proofErr w:type="spellStart"/>
      <w:r>
        <w:t>setting</w:t>
      </w:r>
      <w:proofErr w:type="spellEnd"/>
      <w:r>
        <w:t xml:space="preserve">: a </w:t>
      </w:r>
      <w:proofErr w:type="spellStart"/>
      <w:r>
        <w:t>randomized</w:t>
      </w:r>
      <w:proofErr w:type="spellEnd"/>
      <w:r>
        <w:t xml:space="preserve"> </w:t>
      </w:r>
      <w:proofErr w:type="spellStart"/>
      <w:r>
        <w:t>controlled</w:t>
      </w:r>
      <w:proofErr w:type="spellEnd"/>
      <w:r>
        <w:t xml:space="preserve"> trial», JAMA, vol. 288, n. 22, 2002, pp. 2836-2845. Trial IMPACT: tasso di risposta circa doppio rispetto alla cura abituale, con miglioramento di funzionalità e qualità della vita.</w:t>
      </w:r>
    </w:p>
    <w:p w14:paraId="0D156978" w14:textId="77777777" w:rsidR="007C4598" w:rsidRDefault="00000000">
      <w:pPr>
        <w:jc w:val="both"/>
      </w:pPr>
      <w:r>
        <w:rPr>
          <w:color w:val="555555"/>
          <w:sz w:val="16"/>
          <w:szCs w:val="16"/>
          <w:vertAlign w:val="superscript"/>
        </w:rPr>
        <w:t>[13]</w:t>
      </w:r>
      <w:r>
        <w:t xml:space="preserve">: </w:t>
      </w:r>
      <w:proofErr w:type="spellStart"/>
      <w:r>
        <w:t>Katon</w:t>
      </w:r>
      <w:proofErr w:type="spellEnd"/>
      <w:r>
        <w:t xml:space="preserve"> W.J., </w:t>
      </w:r>
      <w:proofErr w:type="spellStart"/>
      <w:r>
        <w:t>Schoenbaum</w:t>
      </w:r>
      <w:proofErr w:type="spellEnd"/>
      <w:r>
        <w:t xml:space="preserve"> M., Fan M.-Y. et al., «</w:t>
      </w:r>
      <w:proofErr w:type="spellStart"/>
      <w:r>
        <w:t>Cost-effectiveness</w:t>
      </w:r>
      <w:proofErr w:type="spellEnd"/>
      <w:r>
        <w:t xml:space="preserve"> of </w:t>
      </w:r>
      <w:proofErr w:type="spellStart"/>
      <w:r>
        <w:t>improving</w:t>
      </w:r>
      <w:proofErr w:type="spellEnd"/>
      <w:r>
        <w:t xml:space="preserve"> </w:t>
      </w:r>
      <w:proofErr w:type="spellStart"/>
      <w:r>
        <w:t>primary</w:t>
      </w:r>
      <w:proofErr w:type="spellEnd"/>
      <w:r>
        <w:t xml:space="preserve"> care treatment of late-life </w:t>
      </w:r>
      <w:proofErr w:type="spellStart"/>
      <w:r>
        <w:t>depression</w:t>
      </w:r>
      <w:proofErr w:type="spellEnd"/>
      <w:r>
        <w:t xml:space="preserve">», Archives of General </w:t>
      </w:r>
      <w:proofErr w:type="spellStart"/>
      <w:r>
        <w:t>Psychiatry</w:t>
      </w:r>
      <w:proofErr w:type="spellEnd"/>
      <w:r>
        <w:t xml:space="preserve">, vol. 62, 2005, e successive analisi economiche di lungo periodo del programma IMPACT: la tendenza al risparmio sui costi sanitari complessivi non raggiunge la significatività statistica (l’intervallo di confidenza al 95 per cento attraversa lo zero). </w:t>
      </w:r>
      <w:proofErr w:type="spellStart"/>
      <w:r>
        <w:t>Caveat</w:t>
      </w:r>
      <w:proofErr w:type="spellEnd"/>
      <w:r>
        <w:t xml:space="preserve"> preservato come vincolo invariante dell’opera.</w:t>
      </w:r>
    </w:p>
    <w:p w14:paraId="097BE05D" w14:textId="77777777" w:rsidR="007C4598" w:rsidRDefault="00000000">
      <w:pPr>
        <w:jc w:val="both"/>
      </w:pPr>
      <w:r>
        <w:rPr>
          <w:color w:val="555555"/>
          <w:sz w:val="16"/>
          <w:szCs w:val="16"/>
          <w:vertAlign w:val="superscript"/>
        </w:rPr>
        <w:t>[14]</w:t>
      </w:r>
      <w:r>
        <w:t xml:space="preserve">: </w:t>
      </w:r>
      <w:proofErr w:type="spellStart"/>
      <w:r>
        <w:t>Katon</w:t>
      </w:r>
      <w:proofErr w:type="spellEnd"/>
      <w:r>
        <w:t xml:space="preserve"> W., Von </w:t>
      </w:r>
      <w:proofErr w:type="spellStart"/>
      <w:r>
        <w:t>Korff</w:t>
      </w:r>
      <w:proofErr w:type="spellEnd"/>
      <w:r>
        <w:t xml:space="preserve"> M., </w:t>
      </w:r>
      <w:proofErr w:type="spellStart"/>
      <w:r>
        <w:t>Lin</w:t>
      </w:r>
      <w:proofErr w:type="spellEnd"/>
      <w:r>
        <w:t xml:space="preserve"> E. et al., «</w:t>
      </w:r>
      <w:proofErr w:type="spellStart"/>
      <w:r>
        <w:t>Stepped</w:t>
      </w:r>
      <w:proofErr w:type="spellEnd"/>
      <w:r>
        <w:t xml:space="preserve"> collaborative care for </w:t>
      </w:r>
      <w:proofErr w:type="spellStart"/>
      <w:r>
        <w:t>primary</w:t>
      </w:r>
      <w:proofErr w:type="spellEnd"/>
      <w:r>
        <w:t xml:space="preserve"> care </w:t>
      </w:r>
      <w:proofErr w:type="spellStart"/>
      <w:r>
        <w:t>patients</w:t>
      </w:r>
      <w:proofErr w:type="spellEnd"/>
      <w:r>
        <w:t xml:space="preserve"> with </w:t>
      </w:r>
      <w:proofErr w:type="spellStart"/>
      <w:r>
        <w:t>persistent</w:t>
      </w:r>
      <w:proofErr w:type="spellEnd"/>
      <w:r>
        <w:t xml:space="preserve"> </w:t>
      </w:r>
      <w:proofErr w:type="spellStart"/>
      <w:r>
        <w:t>symptoms</w:t>
      </w:r>
      <w:proofErr w:type="spellEnd"/>
      <w:r>
        <w:t xml:space="preserve"> of </w:t>
      </w:r>
      <w:proofErr w:type="spellStart"/>
      <w:r>
        <w:t>depression</w:t>
      </w:r>
      <w:proofErr w:type="spellEnd"/>
      <w:r>
        <w:t xml:space="preserve">», Archives of General </w:t>
      </w:r>
      <w:proofErr w:type="spellStart"/>
      <w:r>
        <w:t>Psychiatry</w:t>
      </w:r>
      <w:proofErr w:type="spellEnd"/>
      <w:r>
        <w:t>, vol. 56, n. 12, 1999, pp. 1109-1115.</w:t>
      </w:r>
    </w:p>
    <w:p w14:paraId="705AF300" w14:textId="77777777" w:rsidR="007C4598" w:rsidRDefault="00000000">
      <w:pPr>
        <w:jc w:val="both"/>
      </w:pPr>
      <w:r>
        <w:rPr>
          <w:color w:val="555555"/>
          <w:sz w:val="16"/>
          <w:szCs w:val="16"/>
          <w:vertAlign w:val="superscript"/>
        </w:rPr>
        <w:t>[15]</w:t>
      </w:r>
      <w:r>
        <w:t xml:space="preserve">: van </w:t>
      </w:r>
      <w:proofErr w:type="spellStart"/>
      <w:r>
        <w:t>Straten</w:t>
      </w:r>
      <w:proofErr w:type="spellEnd"/>
      <w:r>
        <w:t xml:space="preserve"> A., Hill J., Richards D.A., </w:t>
      </w:r>
      <w:proofErr w:type="spellStart"/>
      <w:r>
        <w:t>Cuijpers</w:t>
      </w:r>
      <w:proofErr w:type="spellEnd"/>
      <w:r>
        <w:t xml:space="preserve"> P., «</w:t>
      </w:r>
      <w:proofErr w:type="spellStart"/>
      <w:r>
        <w:t>Stepped</w:t>
      </w:r>
      <w:proofErr w:type="spellEnd"/>
      <w:r>
        <w:t xml:space="preserve"> care treatment delivery for </w:t>
      </w:r>
      <w:proofErr w:type="spellStart"/>
      <w:r>
        <w:t>depression</w:t>
      </w:r>
      <w:proofErr w:type="spellEnd"/>
      <w:r>
        <w:t xml:space="preserve">: a </w:t>
      </w:r>
      <w:proofErr w:type="spellStart"/>
      <w:r>
        <w:t>systematic</w:t>
      </w:r>
      <w:proofErr w:type="spellEnd"/>
      <w:r>
        <w:t xml:space="preserve"> </w:t>
      </w:r>
      <w:proofErr w:type="spellStart"/>
      <w:r>
        <w:t>review</w:t>
      </w:r>
      <w:proofErr w:type="spellEnd"/>
      <w:r>
        <w:t xml:space="preserve"> and meta-</w:t>
      </w:r>
      <w:proofErr w:type="spellStart"/>
      <w:r>
        <w:t>analysis</w:t>
      </w:r>
      <w:proofErr w:type="spellEnd"/>
      <w:r>
        <w:t xml:space="preserve">», </w:t>
      </w:r>
      <w:proofErr w:type="spellStart"/>
      <w:r>
        <w:t>Psychological</w:t>
      </w:r>
      <w:proofErr w:type="spellEnd"/>
      <w:r>
        <w:t xml:space="preserve"> Medicine, vol. 45, n. 2, 2015, pp. 231-246. Efficacia coerente con la cura collaborativa e impiego più efficiente delle prestazioni intensive; certezza GRADE moderata.</w:t>
      </w:r>
    </w:p>
    <w:p w14:paraId="6C292F13" w14:textId="77777777" w:rsidR="007C4598" w:rsidRDefault="00000000">
      <w:pPr>
        <w:jc w:val="both"/>
      </w:pPr>
      <w:r>
        <w:rPr>
          <w:color w:val="555555"/>
          <w:sz w:val="16"/>
          <w:szCs w:val="16"/>
          <w:vertAlign w:val="superscript"/>
        </w:rPr>
        <w:t>[16]</w:t>
      </w:r>
      <w:r>
        <w:t xml:space="preserve">: Sulla significatività clinica intesa come numero di pazienti portati al di sopra della soglia di risposta si veda </w:t>
      </w:r>
      <w:proofErr w:type="spellStart"/>
      <w:r>
        <w:t>Thota</w:t>
      </w:r>
      <w:proofErr w:type="spellEnd"/>
      <w:r>
        <w:t xml:space="preserve"> A.B., </w:t>
      </w:r>
      <w:proofErr w:type="spellStart"/>
      <w:r>
        <w:t>Sipe</w:t>
      </w:r>
      <w:proofErr w:type="spellEnd"/>
      <w:r>
        <w:t xml:space="preserve"> T.A., </w:t>
      </w:r>
      <w:proofErr w:type="spellStart"/>
      <w:r>
        <w:t>Byard</w:t>
      </w:r>
      <w:proofErr w:type="spellEnd"/>
      <w:r>
        <w:t xml:space="preserve"> G.J. et al., «Collaborative care to </w:t>
      </w:r>
      <w:proofErr w:type="spellStart"/>
      <w:r>
        <w:t>improve</w:t>
      </w:r>
      <w:proofErr w:type="spellEnd"/>
      <w:r>
        <w:t xml:space="preserve"> the management of depressive </w:t>
      </w:r>
      <w:proofErr w:type="spellStart"/>
      <w:r>
        <w:t>disorders</w:t>
      </w:r>
      <w:proofErr w:type="spellEnd"/>
      <w:r>
        <w:t xml:space="preserve">: a community guide </w:t>
      </w:r>
      <w:proofErr w:type="spellStart"/>
      <w:r>
        <w:t>systematic</w:t>
      </w:r>
      <w:proofErr w:type="spellEnd"/>
      <w:r>
        <w:t xml:space="preserve"> </w:t>
      </w:r>
      <w:proofErr w:type="spellStart"/>
      <w:r>
        <w:t>review</w:t>
      </w:r>
      <w:proofErr w:type="spellEnd"/>
      <w:r>
        <w:t xml:space="preserve"> and meta-</w:t>
      </w:r>
      <w:proofErr w:type="spellStart"/>
      <w:r>
        <w:t>analysis</w:t>
      </w:r>
      <w:proofErr w:type="spellEnd"/>
      <w:r>
        <w:t>», American Journal of Preventive Medicine, vol. 42, n. 5, 2012, pp. 525-538.</w:t>
      </w:r>
    </w:p>
    <w:p w14:paraId="02FFD149" w14:textId="77777777" w:rsidR="007C4598" w:rsidRDefault="00000000">
      <w:r>
        <w:br w:type="page"/>
      </w:r>
    </w:p>
    <w:p w14:paraId="2B0C87DB" w14:textId="77777777" w:rsidR="007C4598" w:rsidRDefault="00000000">
      <w:pPr>
        <w:spacing w:before="1200" w:after="200"/>
        <w:jc w:val="center"/>
      </w:pPr>
      <w:r>
        <w:rPr>
          <w:b/>
          <w:bCs/>
          <w:color w:val="C49A48"/>
          <w:sz w:val="64"/>
          <w:szCs w:val="64"/>
        </w:rPr>
        <w:t>PARTE VII</w:t>
      </w:r>
    </w:p>
    <w:p w14:paraId="1AC4A817" w14:textId="77777777" w:rsidR="007C4598" w:rsidRDefault="00000000">
      <w:pPr>
        <w:spacing w:after="600"/>
        <w:jc w:val="center"/>
      </w:pPr>
      <w:r>
        <w:rPr>
          <w:b/>
          <w:bCs/>
          <w:color w:val="16264B"/>
          <w:sz w:val="32"/>
          <w:szCs w:val="32"/>
        </w:rPr>
        <w:t>Costi diretti (rinegoziazione integrale)</w:t>
      </w:r>
    </w:p>
    <w:p w14:paraId="0571486F" w14:textId="77777777" w:rsidR="007C4598" w:rsidRDefault="007C4598">
      <w:pPr>
        <w:pBdr>
          <w:bottom w:val="single" w:sz="6" w:space="1" w:color="C49A48"/>
        </w:pBdr>
        <w:spacing w:after="200"/>
      </w:pPr>
    </w:p>
    <w:p w14:paraId="65F48823" w14:textId="77777777" w:rsidR="007C4598" w:rsidRDefault="00000000">
      <w:pPr>
        <w:jc w:val="both"/>
      </w:pPr>
      <w:r>
        <w:rPr>
          <w:i/>
          <w:iCs/>
        </w:rPr>
        <w:t>Studio Integrale, Finale e Definitivo · Parte VII · Progetto «Psicologo di Base» · Puglia</w:t>
      </w:r>
    </w:p>
    <w:p w14:paraId="7117A14B" w14:textId="77777777" w:rsidR="007C4598" w:rsidRDefault="007C4598"/>
    <w:p w14:paraId="3293C0BE" w14:textId="77777777" w:rsidR="007C4598" w:rsidRDefault="00000000">
      <w:pPr>
        <w:jc w:val="both"/>
      </w:pPr>
      <w:r>
        <w:rPr>
          <w:i/>
          <w:iCs/>
        </w:rPr>
        <w:t>Studio Integrale, Finale e Definitivo  ·  Parte VII  ·  Progetto «Psicologo di Base» · Puglia</w:t>
      </w:r>
    </w:p>
    <w:p w14:paraId="695614A9" w14:textId="77777777" w:rsidR="007C4598" w:rsidRDefault="007C4598"/>
    <w:p w14:paraId="266376DB" w14:textId="77777777" w:rsidR="007C4598" w:rsidRDefault="00000000">
      <w:pPr>
        <w:jc w:val="both"/>
      </w:pPr>
      <w:r>
        <w:rPr>
          <w:b/>
          <w:bCs/>
        </w:rPr>
        <w:t>PROGETTO «PSICOLOGO DI BASE» · REGIONE PUGLIA</w:t>
      </w:r>
    </w:p>
    <w:p w14:paraId="50D372C5" w14:textId="77777777" w:rsidR="007C4598" w:rsidRDefault="007C4598"/>
    <w:p w14:paraId="5AE6C6C8" w14:textId="77777777" w:rsidR="007C4598" w:rsidRDefault="00000000">
      <w:pPr>
        <w:jc w:val="both"/>
      </w:pPr>
      <w:r>
        <w:rPr>
          <w:b/>
          <w:bCs/>
        </w:rPr>
        <w:t>Parte VII</w:t>
      </w:r>
    </w:p>
    <w:p w14:paraId="6264D0FA" w14:textId="77777777" w:rsidR="007C4598" w:rsidRDefault="007C4598"/>
    <w:p w14:paraId="50B1FD5B" w14:textId="77777777" w:rsidR="007C4598" w:rsidRDefault="00000000">
      <w:pPr>
        <w:jc w:val="both"/>
      </w:pPr>
      <w:r>
        <w:rPr>
          <w:b/>
          <w:bCs/>
        </w:rPr>
        <w:t>Costi diretti della riforma</w:t>
      </w:r>
    </w:p>
    <w:p w14:paraId="57517389" w14:textId="77777777" w:rsidR="007C4598" w:rsidRDefault="007C4598"/>
    <w:p w14:paraId="6ACA22B0" w14:textId="77777777" w:rsidR="007C4598" w:rsidRDefault="00000000">
      <w:pPr>
        <w:jc w:val="both"/>
      </w:pPr>
      <w:r>
        <w:t>rinegoziazione integrale lungo la cascata delle figure</w:t>
      </w:r>
    </w:p>
    <w:p w14:paraId="67A1A48F" w14:textId="77777777" w:rsidR="007C4598" w:rsidRDefault="007C4598"/>
    <w:p w14:paraId="3F32EE12" w14:textId="77777777" w:rsidR="007C4598" w:rsidRDefault="00000000">
      <w:pPr>
        <w:jc w:val="both"/>
      </w:pPr>
      <w:r>
        <w:rPr>
          <w:i/>
          <w:iCs/>
        </w:rPr>
        <w:t>Il costo del personale, della struttura e del coordinamento, della leva digitale e dell’Intelligenza Artificiale e della formazione, ricostruito e rinegoziato lungo la cascata gerarchica piramidale che muove dallo Psicologo di Base</w:t>
      </w:r>
    </w:p>
    <w:p w14:paraId="1FE40680" w14:textId="77777777" w:rsidR="007C4598" w:rsidRDefault="007C4598"/>
    <w:p w14:paraId="09DA2DCD" w14:textId="77777777" w:rsidR="007C4598" w:rsidRDefault="00000000">
      <w:pPr>
        <w:jc w:val="both"/>
      </w:pPr>
      <w:r>
        <w:t>Perimetro multidisciplinare integrale  ·  Cascata gerarchica piramidale dallo Psicologo di Base</w:t>
      </w:r>
    </w:p>
    <w:p w14:paraId="121BC806" w14:textId="77777777" w:rsidR="007C4598" w:rsidRDefault="007C4598"/>
    <w:p w14:paraId="4ED54AA5" w14:textId="77777777" w:rsidR="007C4598" w:rsidRDefault="00000000">
      <w:pPr>
        <w:jc w:val="both"/>
      </w:pPr>
      <w:r>
        <w:t>L’Intelligenza Artificiale come leva abilitante, non come oggetto centrale</w:t>
      </w:r>
    </w:p>
    <w:p w14:paraId="679D8C2F" w14:textId="77777777" w:rsidR="007C4598" w:rsidRDefault="007C4598"/>
    <w:p w14:paraId="2217C4A9" w14:textId="77777777" w:rsidR="007C4598" w:rsidRDefault="00000000">
      <w:pPr>
        <w:jc w:val="both"/>
      </w:pPr>
      <w:r>
        <w:t xml:space="preserve">Telaio HTA · </w:t>
      </w:r>
      <w:proofErr w:type="spellStart"/>
      <w:r>
        <w:t>Five</w:t>
      </w:r>
      <w:proofErr w:type="spellEnd"/>
      <w:r>
        <w:t xml:space="preserve"> Case Model · CHEERS 2022 · criteri OCSE-DAC</w:t>
      </w:r>
    </w:p>
    <w:p w14:paraId="04E05C38" w14:textId="77777777" w:rsidR="007C4598" w:rsidRDefault="007C4598"/>
    <w:p w14:paraId="2E3E7523" w14:textId="77777777" w:rsidR="007C4598" w:rsidRDefault="00000000">
      <w:pPr>
        <w:jc w:val="both"/>
      </w:pPr>
      <w:r>
        <w:t>Autore intellettuale della riforma: Luigi De Michele</w:t>
      </w:r>
    </w:p>
    <w:p w14:paraId="2D207A4F" w14:textId="77777777" w:rsidR="007C4598" w:rsidRDefault="007C4598"/>
    <w:p w14:paraId="52010430" w14:textId="77777777" w:rsidR="007C4598" w:rsidRDefault="00000000">
      <w:pPr>
        <w:jc w:val="both"/>
      </w:pPr>
      <w:r>
        <w:t>Codice fiscale DMCLGU82E11Z112C · PEC luigidemichele@legalmail.it</w:t>
      </w:r>
    </w:p>
    <w:p w14:paraId="0C0A76F7" w14:textId="77777777" w:rsidR="007C4598" w:rsidRDefault="007C4598"/>
    <w:p w14:paraId="088286D3" w14:textId="77777777" w:rsidR="007C4598" w:rsidRDefault="00000000">
      <w:pPr>
        <w:jc w:val="both"/>
      </w:pPr>
      <w:r>
        <w:t>Giugno 2026</w:t>
      </w:r>
    </w:p>
    <w:p w14:paraId="127AFCC2" w14:textId="77777777" w:rsidR="007C4598" w:rsidRDefault="007C4598"/>
    <w:p w14:paraId="133F697C" w14:textId="77777777" w:rsidR="007C4598" w:rsidRDefault="00000000">
      <w:pPr>
        <w:pStyle w:val="Titolo1"/>
        <w:pageBreakBefore/>
      </w:pPr>
      <w:r>
        <w:rPr>
          <w:sz w:val="22"/>
          <w:szCs w:val="22"/>
        </w:rPr>
        <w:t>Avvertenza sui vincoli metodologici invarianti</w:t>
      </w:r>
    </w:p>
    <w:p w14:paraId="02BE66B5" w14:textId="77777777" w:rsidR="007C4598" w:rsidRDefault="007C4598"/>
    <w:p w14:paraId="5D76EB1E" w14:textId="77777777" w:rsidR="007C4598" w:rsidRDefault="00000000">
      <w:pPr>
        <w:jc w:val="both"/>
      </w:pPr>
      <w:r>
        <w:t>La presente Parte è soggetta, in ogni sua stima, ai vincoli metodologici invarianti che governano l’intero studio integrale e che qui si richiamano perché nessuna quantificazione di costo possa, neppure indirettamente, contraddirli. Il rendimento economico degli investimenti in salute mentale è espresso nei soli intervalli validati dalla letteratura, compresi tra 2,3 e 3,0 a 1 per i soli benefici economici e tra 3,3 e 5,7 a 1 con l’inclusione dei ritorni in salute, e il riferimento divulgativo al rapporto di quattro a uno è inteso unicamente entro questi limiti.</w:t>
      </w:r>
      <w:r>
        <w:rPr>
          <w:color w:val="555555"/>
          <w:sz w:val="16"/>
          <w:szCs w:val="16"/>
          <w:vertAlign w:val="superscript"/>
        </w:rPr>
        <w:t>[1]</w:t>
      </w:r>
      <w:r>
        <w:t xml:space="preserve"> Il monito dell’IMPACT trial, secondo cui il risparmio sui costi sanitari diretti, considerato isolatamente, non raggiunge in tutti gli studi la significatività statistica, è preservato e richiamato ogni volta che la trattazione tocchi il nesso tra costo sostenuto e risparmio atteso.</w:t>
      </w:r>
      <w:r>
        <w:rPr>
          <w:color w:val="555555"/>
          <w:sz w:val="16"/>
          <w:szCs w:val="16"/>
          <w:vertAlign w:val="superscript"/>
        </w:rPr>
        <w:t>[2]</w:t>
      </w:r>
      <w:r>
        <w:t xml:space="preserve"> Le grandezze fiscali dirette e quelle sociali e indirette sono mantenute rigorosamente distinte, senza alcuna duplicazione tra le categorie, e la presente Parte si occupa esclusivamente dei costi diretti, rinviando alle Parti ottava e nona la trattazione, rispettivamente, dei risparmi diretti e dei costi e benefici indiretti.</w:t>
      </w:r>
    </w:p>
    <w:p w14:paraId="3626D50A" w14:textId="77777777" w:rsidR="007C4598" w:rsidRDefault="007C4598"/>
    <w:p w14:paraId="0AC7A3C6" w14:textId="77777777" w:rsidR="007C4598" w:rsidRDefault="00000000">
      <w:pPr>
        <w:jc w:val="both"/>
      </w:pPr>
      <w:r>
        <w:t>Ogni grandezza di costo è costruita per scenari e corredata di bande prudenziali, ed è soggetta a una correzione esplicita per la tendenza sistematica all’ottimismo nelle stime, che in materia di costi si traduce in una maggiorazione cautelativa anziché in una riduzione.</w:t>
      </w:r>
      <w:r>
        <w:rPr>
          <w:color w:val="555555"/>
          <w:sz w:val="16"/>
          <w:szCs w:val="16"/>
          <w:vertAlign w:val="superscript"/>
        </w:rPr>
        <w:t>[3]</w:t>
      </w:r>
      <w:r>
        <w:t xml:space="preserve"> L’evidenza che sostiene l’efficacia delle figure e degli strumenti, compresa quella relativa all’Intelligenza Artificiale, è graduata secondo la sua qualità con il medesimo rigore applicato alle affermazioni cliniche, e l’Intelligenza Artificiale è mantenuta, una volta per tutte, nella posizione di leva abilitante subordinata alla supervisione umana, e non di oggetto autonomo dell’analisi.</w:t>
      </w:r>
      <w:r>
        <w:rPr>
          <w:color w:val="555555"/>
          <w:sz w:val="16"/>
          <w:szCs w:val="16"/>
          <w:vertAlign w:val="superscript"/>
        </w:rPr>
        <w:t>[4]</w:t>
      </w:r>
      <w:r>
        <w:t xml:space="preserve"> La rendicontazione dei costi aderisce, infine, allo standard internazionale di trasparenza della valutazione economica, che impone di dichiarare le fonti, le assunzioni e i limiti di ciascuna stima.</w:t>
      </w:r>
      <w:r>
        <w:rPr>
          <w:color w:val="555555"/>
          <w:sz w:val="16"/>
          <w:szCs w:val="16"/>
          <w:vertAlign w:val="superscript"/>
        </w:rPr>
        <w:t>[5]</w:t>
      </w:r>
    </w:p>
    <w:p w14:paraId="27E28CD1" w14:textId="77777777" w:rsidR="007C4598" w:rsidRDefault="007C4598"/>
    <w:p w14:paraId="3940F602" w14:textId="77777777" w:rsidR="007C4598" w:rsidRDefault="00000000">
      <w:pPr>
        <w:pStyle w:val="Titolo1"/>
        <w:pageBreakBefore/>
      </w:pPr>
      <w:r>
        <w:rPr>
          <w:sz w:val="22"/>
          <w:szCs w:val="22"/>
        </w:rPr>
        <w:t>Indice della Parte VII</w:t>
      </w:r>
    </w:p>
    <w:p w14:paraId="0C2A7A87" w14:textId="77777777" w:rsidR="007C4598" w:rsidRDefault="007C4598"/>
    <w:p w14:paraId="54AB51AD" w14:textId="77777777" w:rsidR="007C4598" w:rsidRDefault="00000000">
      <w:pPr>
        <w:jc w:val="both"/>
      </w:pPr>
      <w:r>
        <w:rPr>
          <w:b/>
          <w:bCs/>
        </w:rPr>
        <w:t>Premessa e criterio ordinatore della Parte</w:t>
      </w:r>
    </w:p>
    <w:p w14:paraId="4B69425F" w14:textId="77777777" w:rsidR="007C4598" w:rsidRDefault="007C4598"/>
    <w:p w14:paraId="20241F44" w14:textId="77777777" w:rsidR="007C4598" w:rsidRDefault="00000000">
      <w:pPr>
        <w:jc w:val="both"/>
      </w:pPr>
      <w:r>
        <w:rPr>
          <w:b/>
          <w:bCs/>
        </w:rPr>
        <w:t>Introduzione: i principi del calcolo dei costi diretti e l’ordinamento dei costi lungo la cascata</w:t>
      </w:r>
    </w:p>
    <w:p w14:paraId="24D024A2" w14:textId="77777777" w:rsidR="007C4598" w:rsidRDefault="007C4598"/>
    <w:p w14:paraId="601A25C7" w14:textId="77777777" w:rsidR="007C4598" w:rsidRDefault="00000000">
      <w:pPr>
        <w:jc w:val="both"/>
      </w:pPr>
      <w:r>
        <w:rPr>
          <w:b/>
          <w:bCs/>
        </w:rPr>
        <w:t xml:space="preserve">7.1   </w:t>
      </w:r>
      <w:r>
        <w:t>Il costo del personale lungo la cascata delle figure</w:t>
      </w:r>
    </w:p>
    <w:p w14:paraId="662835B5" w14:textId="77777777" w:rsidR="007C4598" w:rsidRDefault="007C4598"/>
    <w:p w14:paraId="2FA1489B" w14:textId="77777777" w:rsidR="007C4598" w:rsidRDefault="00000000">
      <w:pPr>
        <w:jc w:val="both"/>
      </w:pPr>
      <w:r>
        <w:rPr>
          <w:b/>
          <w:bCs/>
        </w:rPr>
        <w:t xml:space="preserve">7.2   </w:t>
      </w:r>
      <w:r>
        <w:t>I costi di struttura, coordinamento e organizzazione  ·  [tranche successiva]</w:t>
      </w:r>
    </w:p>
    <w:p w14:paraId="596B32B5" w14:textId="77777777" w:rsidR="007C4598" w:rsidRDefault="007C4598"/>
    <w:p w14:paraId="00851FC7" w14:textId="77777777" w:rsidR="007C4598" w:rsidRDefault="00000000">
      <w:pPr>
        <w:jc w:val="both"/>
      </w:pPr>
      <w:r>
        <w:rPr>
          <w:b/>
          <w:bCs/>
        </w:rPr>
        <w:t xml:space="preserve">7.3   </w:t>
      </w:r>
      <w:r>
        <w:t>Il costo incrementale della leva digitale e dell’Intelligenza Artificiale  ·  [tranche successiva]</w:t>
      </w:r>
    </w:p>
    <w:p w14:paraId="0E20B67D" w14:textId="77777777" w:rsidR="007C4598" w:rsidRDefault="007C4598"/>
    <w:p w14:paraId="18059ECC" w14:textId="77777777" w:rsidR="007C4598" w:rsidRDefault="00000000">
      <w:pPr>
        <w:jc w:val="both"/>
      </w:pPr>
      <w:r>
        <w:rPr>
          <w:b/>
          <w:bCs/>
        </w:rPr>
        <w:t xml:space="preserve">7.4   </w:t>
      </w:r>
      <w:r>
        <w:t>Il costo della formazione: le quattro modalità, singole e combinate  ·  [tranche successiva]</w:t>
      </w:r>
    </w:p>
    <w:p w14:paraId="2AA9BEBB" w14:textId="77777777" w:rsidR="007C4598" w:rsidRDefault="007C4598"/>
    <w:p w14:paraId="4D06DA1F" w14:textId="77777777" w:rsidR="007C4598" w:rsidRDefault="00000000">
      <w:pPr>
        <w:jc w:val="both"/>
      </w:pPr>
      <w:r>
        <w:rPr>
          <w:b/>
          <w:bCs/>
        </w:rPr>
        <w:t xml:space="preserve">7.5   </w:t>
      </w:r>
      <w:r>
        <w:t>Il costo diretto complessivo per scenario di dimensionamento  ·  [tranche successiva]</w:t>
      </w:r>
    </w:p>
    <w:p w14:paraId="1AEAB2B7" w14:textId="77777777" w:rsidR="007C4598" w:rsidRDefault="007C4598"/>
    <w:p w14:paraId="38D6D160" w14:textId="77777777" w:rsidR="007C4598" w:rsidRDefault="00000000">
      <w:pPr>
        <w:jc w:val="both"/>
      </w:pPr>
      <w:r>
        <w:rPr>
          <w:b/>
          <w:bCs/>
        </w:rPr>
        <w:t>Quadro conclusivo economico-sociale e multidisciplinare integrale  ·  [tranche successiva]</w:t>
      </w:r>
    </w:p>
    <w:p w14:paraId="242B20E0" w14:textId="77777777" w:rsidR="007C4598" w:rsidRDefault="007C4598"/>
    <w:p w14:paraId="2598F26A" w14:textId="77777777" w:rsidR="007C4598" w:rsidRDefault="00000000">
      <w:pPr>
        <w:jc w:val="both"/>
      </w:pPr>
      <w:r>
        <w:rPr>
          <w:b/>
          <w:bCs/>
        </w:rPr>
        <w:t>Conclusione  ·  [tranche successiva]</w:t>
      </w:r>
    </w:p>
    <w:p w14:paraId="77989975" w14:textId="77777777" w:rsidR="007C4598" w:rsidRDefault="007C4598"/>
    <w:p w14:paraId="34440C40" w14:textId="77777777" w:rsidR="007C4598" w:rsidRDefault="00000000">
      <w:pPr>
        <w:jc w:val="both"/>
      </w:pPr>
      <w:r>
        <w:rPr>
          <w:b/>
          <w:bCs/>
        </w:rPr>
        <w:t>Note bibliografiche integrali con mini-riassunto  ·  [tranche successiva]</w:t>
      </w:r>
    </w:p>
    <w:p w14:paraId="3196B88F" w14:textId="77777777" w:rsidR="007C4598" w:rsidRDefault="007C4598"/>
    <w:p w14:paraId="7E332076" w14:textId="77777777" w:rsidR="007C4598" w:rsidRDefault="00000000">
      <w:pPr>
        <w:pStyle w:val="Titolo1"/>
        <w:pageBreakBefore/>
      </w:pPr>
      <w:r>
        <w:rPr>
          <w:sz w:val="22"/>
          <w:szCs w:val="22"/>
        </w:rPr>
        <w:t>Parte VII — Costi diretti (rinegoziazione integrale)</w:t>
      </w:r>
    </w:p>
    <w:p w14:paraId="0A7138E5" w14:textId="77777777" w:rsidR="007C4598" w:rsidRDefault="007C4598"/>
    <w:p w14:paraId="34A05D91" w14:textId="77777777" w:rsidR="007C4598" w:rsidRDefault="00000000">
      <w:pPr>
        <w:pStyle w:val="Titolo2"/>
        <w:spacing w:before="200" w:after="100"/>
      </w:pPr>
      <w:r>
        <w:rPr>
          <w:sz w:val="22"/>
          <w:szCs w:val="22"/>
        </w:rPr>
        <w:t>Premessa e criterio ordinatore della Parte</w:t>
      </w:r>
    </w:p>
    <w:p w14:paraId="07325C3F" w14:textId="77777777" w:rsidR="007C4598" w:rsidRDefault="007C4598"/>
    <w:p w14:paraId="320984D3" w14:textId="77777777" w:rsidR="007C4598" w:rsidRDefault="00000000">
      <w:pPr>
        <w:jc w:val="both"/>
      </w:pPr>
      <w:r>
        <w:t>La settima Parte dello studio apre il versante economico dell’opera e ne costituisce il primo dei due capitoli dedicati alla rinegoziazione delle grandezze monetarie della riforma. Mentre le Parti precedenti hanno fissato il mandato e il metodo, ricostruito il bisogno e il contesto, ordinato le figure lungo la cascata gerarchica piramidale, descritto il modello organizzativo e le sue leve abilitanti e graduato l’evidenza di efficacia, la presente Parte assume il compito di quantificare ciò che la riforma costa, nella sua dimensione diretta, lungo l’intera cascata delle figure e secondo gli scenari di dimensionamento adottati. La Parte ottava ne costituirà il complemento speculare, quantificando i risparmi diretti che la medesima riforma genera; e la Parte nona estenderà l’analisi all’intero perimetro multidisciplinare integrale, sul versante dei costi e dei benefici indiretti. La presente Parte, dunque, non esaurisce la valutazione economica, ma ne pone il primo fondamento, ricostruendo con rigore il costo che il bilancio pubblico regionale deve sostenere perché il servizio esista e operi a regime.</w:t>
      </w:r>
    </w:p>
    <w:p w14:paraId="32396560" w14:textId="77777777" w:rsidR="007C4598" w:rsidRDefault="007C4598"/>
    <w:p w14:paraId="5EF2DBBB" w14:textId="77777777" w:rsidR="007C4598" w:rsidRDefault="00000000">
      <w:pPr>
        <w:jc w:val="both"/>
      </w:pPr>
      <w:r>
        <w:t>La distinzione tra costo diretto e costo indiretto, che la Parte prima ha stabilito come cardine dell’intera architettura economica, governa interamente la presente trattazione e merita di essere richiamata con precisione, poiché è dalla sua corretta applicazione che dipende la credibilità dell’intero impianto. Per costo diretto si intende, in questa sede, l’esborso monetario che il Servizio Sanitario Regionale e, in subordine, il bilancio pubblico regionale nel suo insieme devono sostenere per realizzare e far funzionare il servizio: il costo del personale che lo eroga, il costo delle strutture, del coordinamento e dell’organizzazione che lo sorreggono, il costo incrementale degli strumenti digitali e dell’Intelligenza Artificiale che lo potenziano, il costo della formazione che ne abilita le competenze. Tali grandezze sono di natura affatto diversa rispetto ai costi indiretti — la perdita di produttività, il carico assistenziale sulle famiglie, gli oneri previdenziali e sociali — che la riforma riduce e che la Parte nona quantificherà sul versante dei benefici, e la cui confusione con i costi diretti costituisce una delle fonti più frequenti di errore nelle valutazioni dei programmi sanitari. La presente Parte mantiene perciò una separazione assoluta tra ciò che la riforma costa al bilancio pubblico e ciò che essa libera per la collettività, e ogni grandezza qui esposta è un esborso effettivo, non un beneficio mancato né un costo sociale evitato.</w:t>
      </w:r>
    </w:p>
    <w:p w14:paraId="25E47631" w14:textId="77777777" w:rsidR="007C4598" w:rsidRDefault="007C4598"/>
    <w:p w14:paraId="489706CC" w14:textId="77777777" w:rsidR="007C4598" w:rsidRDefault="00000000">
      <w:pPr>
        <w:jc w:val="both"/>
      </w:pPr>
      <w:r>
        <w:t>Il termine «rinegoziazione», che figura nel titolo della Parte e che ne designa la funzione specifica, richiede a sua volta una definizione esatta. Rinegoziare i costi diretti non significa ricalcolarli ex novo prescindendo dal lavoro già svolto, né alterarne la sostanza per piegarli a una conclusione predeterminata. Significa ridefinirli alla luce di due acquisizioni che le Parti precedenti hanno introdotto e che modificano il quadro entro cui i costi vanno letti: da un lato il perimetro integrale, che impone di considerare non più le sole quattro figure del nucleo originario, ma l’intera cascata professionale, socio-sanitaria, educativa e istituzionale che la riforma mette in movimento; dall’altro le leve abilitanti, e segnatamente la leva digitale e la formazione, che incidono sulla struttura dei costi non solo aggiungendovi voci nuove, ma modificando il costo delle voci preesistenti. La rinegoziazione consiste, in questo senso preciso, nel ricostruire i costi diretti entro il perimetro ampliato e alla luce delle leve, mantenendo invariati i principi del calcolo e i vincoli metodologici, e restituendo per ciascuno scenario di dimensionamento un costo diretto complessivo che il decisore possa confrontare con i risparmi diretti della Parte ottava e con il saldo consolidato della Parte decima.</w:t>
      </w:r>
    </w:p>
    <w:p w14:paraId="64ECA782" w14:textId="77777777" w:rsidR="007C4598" w:rsidRDefault="007C4598"/>
    <w:p w14:paraId="65E3198A" w14:textId="77777777" w:rsidR="007C4598" w:rsidRDefault="00000000">
      <w:pPr>
        <w:jc w:val="both"/>
      </w:pPr>
      <w:r>
        <w:t>Nel telaio metodologico validato, la presente Parte sviluppa il lato dei costi della valutazione economica, corrispondente alla componente di costo della Parte E del corpus regionale, e adotta i principi del calcolo dei costi propri della disciplina, fondati sul metodo analitico di costruzione dal basso e sulla distinzione esplicita delle prospettive di analisi.</w:t>
      </w:r>
      <w:r>
        <w:rPr>
          <w:color w:val="555555"/>
          <w:sz w:val="16"/>
          <w:szCs w:val="16"/>
          <w:vertAlign w:val="superscript"/>
        </w:rPr>
        <w:t>[6]</w:t>
      </w:r>
      <w:r>
        <w:t xml:space="preserve"> L’ordine espositivo della Parte riflette l’ordine della cascata e la struttura in strati del programma. La sezione 7.1 ricostruisce il costo del personale lungo la cascata delle figure, che costituisce la voce di gran lunga preponderante del costo diretto; la sezione 7.2 quantifica i costi di struttura, coordinamento e organizzazione; la sezione 7.3 isola il costo incrementale della leva digitale e dell’Intelligenza Artificiale; la sezione 7.4 ricostruisce il costo della formazione nelle sue quattro modalità, considerate sia singolarmente sia in combinazione; la sezione 7.5 ricompone le voci in un costo diretto complessivo per ciascuno scenario di dimensionamento. Il quadro conclusivo, la conclusione e le note bibliografiche integrali chiudono la Parte.</w:t>
      </w:r>
    </w:p>
    <w:p w14:paraId="5457B1E0" w14:textId="77777777" w:rsidR="007C4598" w:rsidRDefault="007C4598"/>
    <w:p w14:paraId="434FCA0C" w14:textId="77777777" w:rsidR="007C4598" w:rsidRDefault="00000000">
      <w:pPr>
        <w:jc w:val="both"/>
      </w:pPr>
      <w:r>
        <w:t xml:space="preserve">È opportuno anticipare, sin da questa premessa, l’ordine di grandezza cui la rinegoziazione perverrà, affinché il lettore disponga del termine di riferimento entro cui collocare le quantificazioni analitiche delle sezioni successive. Il costo diretto del modello base, ossia della riforma organizzativa che integra lo Psicologo di Base nelle cure primarie a piena copertura e a regime, si colloca nell’ordine di quaranta milioni di euro annui, all’interno di un intervallo prudenziale compreso tra trentotto e quarantuno milioni; a esso si aggiungono il costo incrementale della componente di Intelligenza Artificiale, dell’ordine di un milione e mezzo annuo a regime, e il costo del programma formativo integrato, dell’ordine di quattro milioni annui, per un costo diretto complessivo del programma integrato dell’ordine di quarantacinque-quarantasei milioni di euro annui a regime, a fronte di un </w:t>
      </w:r>
      <w:proofErr w:type="spellStart"/>
      <w:r>
        <w:t>sovraccosto</w:t>
      </w:r>
      <w:proofErr w:type="spellEnd"/>
      <w:r>
        <w:t xml:space="preserve"> di avvio concentrato nei primi due esercizi. Le sezioni che seguono ricostruiscono analiticamente ciascuna di queste grandezze, ne esplicitano le assunzioni e le distribuiscono lungo la cascata e nel tempo, restituendo al decisore non un dato aggregato indifferenziato, ma la struttura interna del costo che la riforma comporta.</w:t>
      </w:r>
    </w:p>
    <w:p w14:paraId="670708DF" w14:textId="77777777" w:rsidR="007C4598" w:rsidRDefault="007C4598"/>
    <w:p w14:paraId="13EC3D0A" w14:textId="77777777" w:rsidR="007C4598" w:rsidRDefault="00000000">
      <w:pPr>
        <w:pStyle w:val="Titolo2"/>
        <w:spacing w:before="200" w:after="100"/>
      </w:pPr>
      <w:r>
        <w:rPr>
          <w:sz w:val="22"/>
          <w:szCs w:val="22"/>
        </w:rPr>
        <w:t>Introduzione: i principi del calcolo dei costi diretti e l’ordinamento dei costi lungo la cascata</w:t>
      </w:r>
    </w:p>
    <w:p w14:paraId="68EE5CEE" w14:textId="77777777" w:rsidR="007C4598" w:rsidRDefault="007C4598"/>
    <w:p w14:paraId="1B700E6C" w14:textId="77777777" w:rsidR="007C4598" w:rsidRDefault="00000000">
      <w:pPr>
        <w:jc w:val="both"/>
      </w:pPr>
      <w:r>
        <w:t>La quantificazione dei costi diretti di un programma sanitario non è un’operazione meramente contabile, ma poggia su un insieme di scelte metodologiche che ne determinano la validità e la confrontabilità, e che è necessario esplicitare prima di procedere al calcolo. La presente introduzione enuncia tali scelte nell’ordine in cui esse condizionano la trattazione: il metodo di costruzione dei costi, le prospettive di analisi, il principio di non duplicazione applicato al versante dei costi, la correzione per l’ottimismo, la struttura per scenari e per strati, e infine il criterio con cui la cascata delle figure ordina i costi distinguendo chi genera un esborso di cassa, chi un costo-opportunità e chi nessun costo per il bilancio sanitario.</w:t>
      </w:r>
    </w:p>
    <w:p w14:paraId="34E617A8" w14:textId="77777777" w:rsidR="007C4598" w:rsidRDefault="007C4598"/>
    <w:p w14:paraId="7A265A60" w14:textId="77777777" w:rsidR="007C4598" w:rsidRDefault="00000000">
      <w:pPr>
        <w:pStyle w:val="Titolo3"/>
        <w:spacing w:before="200" w:after="100"/>
      </w:pPr>
      <w:r>
        <w:rPr>
          <w:color w:val="16264B"/>
          <w:sz w:val="22"/>
          <w:szCs w:val="22"/>
        </w:rPr>
        <w:t>Il metodo di costruzione dei costi dal basso</w:t>
      </w:r>
    </w:p>
    <w:p w14:paraId="2C66069E" w14:textId="77777777" w:rsidR="007C4598" w:rsidRDefault="007C4598"/>
    <w:p w14:paraId="6118AAE5" w14:textId="77777777" w:rsidR="007C4598" w:rsidRDefault="00000000">
      <w:pPr>
        <w:jc w:val="both"/>
      </w:pPr>
      <w:r>
        <w:t>Il presente studio adotta il metodo analitico di costruzione dei costi dal basso, che la disciplina della valutazione economica indica come il più robusto e il più trasparente quando il programma da valutare è definito nelle sue componenti operative.</w:t>
      </w:r>
      <w:r>
        <w:rPr>
          <w:color w:val="555555"/>
          <w:sz w:val="16"/>
          <w:szCs w:val="16"/>
          <w:vertAlign w:val="superscript"/>
        </w:rPr>
        <w:t>[6]</w:t>
      </w:r>
      <w:r>
        <w:t xml:space="preserve"> Tale metodo procede identificando le risorse fisiche che il servizio impiega — le ore di lavoro delle figure professionali, gli spazi, le attrezzature, i sistemi informativi, le attività formative — e valorizzando ciascuna risorsa al suo costo unitario, per poi aggregare le voci risultanti nel costo complessivo. Il metodo dal basso si distingue dal metodo dall’alto, che ripartisce un costo aggregato preesistente tra le sue componenti, e gli è preferibile in questa sede perché consente di rendere esplicita ogni assunzione e di sottoporla a verifica, anziché celarla in un dato sintetico. Ogni grandezza esposta nelle sezioni successive è perciò scomposta nelle risorse fisiche che la generano e nei costi unitari che la valorizzano, secondo una catena di calcolo che il lettore può percorrere e, ove lo ritenga, contestare nei suoi singoli anelli.</w:t>
      </w:r>
    </w:p>
    <w:p w14:paraId="0A6108AF" w14:textId="77777777" w:rsidR="007C4598" w:rsidRDefault="007C4598"/>
    <w:p w14:paraId="4796CDDB" w14:textId="77777777" w:rsidR="007C4598" w:rsidRDefault="00000000">
      <w:pPr>
        <w:jc w:val="both"/>
      </w:pPr>
      <w:r>
        <w:t>L’adozione del metodo dal basso comporta una conseguenza che governa l’intera Parte: la stima del costo diretto non è un numero unico, ma un intervallo, perché ciascun costo unitario e ciascuna quantità di risorsa sono essi stessi noti entro una banda di incertezza. La trattazione restituisce perciò, per ogni voce, non soltanto un valore centrale, ma l’intervallo prudenziale entro cui il valore si colloca, e costruisce l’intervallo complessivo aggregando gli intervalli delle componenti secondo regole esplicite. Questa scelta, che accresce la complessità dell’esposizione, è imposta dal vincolo di prudenza e di falsificabilità che governa l’opera: un costo dichiarato come intervallo è un costo onesto, perché riconosce ciò che non si sa, mentre un costo dichiarato come valore puntuale è, nella materia che qui si tratta, una finzione di precisione.</w:t>
      </w:r>
    </w:p>
    <w:p w14:paraId="7F6431CE" w14:textId="77777777" w:rsidR="007C4598" w:rsidRDefault="007C4598"/>
    <w:p w14:paraId="41D7B794" w14:textId="77777777" w:rsidR="007C4598" w:rsidRDefault="00000000">
      <w:pPr>
        <w:pStyle w:val="Titolo3"/>
        <w:spacing w:before="200" w:after="100"/>
      </w:pPr>
      <w:r>
        <w:rPr>
          <w:color w:val="16264B"/>
          <w:sz w:val="22"/>
          <w:szCs w:val="22"/>
        </w:rPr>
        <w:t>Le tre prospettive di analisi applicate al versante dei costi</w:t>
      </w:r>
    </w:p>
    <w:p w14:paraId="0BAA7978" w14:textId="77777777" w:rsidR="007C4598" w:rsidRDefault="007C4598"/>
    <w:p w14:paraId="260295C3" w14:textId="77777777" w:rsidR="007C4598" w:rsidRDefault="00000000">
      <w:pPr>
        <w:jc w:val="both"/>
      </w:pPr>
      <w:r>
        <w:t>Il modello economico del progetto adotta tre prospettive di analisi distinte e complementari, la cui confusione è, come si è ricordato, una delle fonti più frequenti di errore. Sul versante dei costi, tali prospettive si traducono in tre nozioni diverse di costo, che la presente Parte mantiene rigorosamente separate. La prospettiva finanziaria considera i flussi monetari effettivi che la realizzazione e il funzionamento del servizio comportano, ed è quella propria del calcolo del costo diretto: essa registra ciò che il bilancio pubblico effettivamente eroga, in stipendi, canoni, ammortamenti e spese. La prospettiva di bilancio, propria dell’analisi di impatto, considera la quota di tali esborsi che grava specificamente sul Servizio Sanitario Regionale, distinguendola dagli oneri che ricadono su altri capitoli o su altri soggetti pubblici. La prospettiva sociale, propria dell’analisi costi-benefici economica, considera il costo-opportunità delle risorse impiegate, ossia il valore che esse avrebbero prodotto nel loro impiego alternativo migliore, e include perciò anche il costo di risorse che non transitano da un esborso monetario, quale il tempo di lavoro di figure già retribuite dal sistema.</w:t>
      </w:r>
    </w:p>
    <w:p w14:paraId="4C3810E9" w14:textId="77777777" w:rsidR="007C4598" w:rsidRDefault="007C4598"/>
    <w:p w14:paraId="1DEDA7E4" w14:textId="77777777" w:rsidR="007C4598" w:rsidRDefault="00000000">
      <w:pPr>
        <w:jc w:val="both"/>
      </w:pPr>
      <w:r>
        <w:t xml:space="preserve">La distinzione tra costo di cassa e costo-opportunità è decisiva per la corretta imputazione dei costi lungo la cascata, e merita di essere fissata sin d’ora con un esempio che le sezioni successive svilupperanno. L’introduzione dello Psicologo di Base comporta un costo di cassa, perché la figura è di nuova istituzione e la sua retribuzione costituisce un esborso aggiuntivo per il bilancio pubblico. La partecipazione del medico di medicina generale alla coppia clinica, per contro, non comporta un costo di cassa aggiuntivo, perché il medico è già retribuito dal sistema e la riforma si limita a riorientare una frazione del suo tempo; essa comporta tuttavia un costo-opportunità, perché quel tempo, dedicato al coordinamento con lo Psicologo di Base, è sottratto ad altri impieghi. La presente Parte, che ha per oggetto i costi diretti nella loro dimensione di cassa, registra il primo come esborso e tratta il secondo come costo-opportunità da segnalare separatamente, senza sommarlo all’esborso, affinché il decisore non scambi un </w:t>
      </w:r>
      <w:proofErr w:type="spellStart"/>
      <w:r>
        <w:t>riorientamento</w:t>
      </w:r>
      <w:proofErr w:type="spellEnd"/>
      <w:r>
        <w:t xml:space="preserve"> di tempo già pagato per una spesa nuova, né, all’opposto, ignori l’onere reale che esso comporta sul piano economico.</w:t>
      </w:r>
    </w:p>
    <w:p w14:paraId="414EA939" w14:textId="77777777" w:rsidR="007C4598" w:rsidRDefault="007C4598"/>
    <w:p w14:paraId="01BECFEB" w14:textId="77777777" w:rsidR="007C4598" w:rsidRDefault="00000000">
      <w:pPr>
        <w:pStyle w:val="Titolo3"/>
        <w:spacing w:before="200" w:after="100"/>
      </w:pPr>
      <w:r>
        <w:rPr>
          <w:color w:val="16264B"/>
          <w:sz w:val="22"/>
          <w:szCs w:val="22"/>
        </w:rPr>
        <w:t>Il principio di non duplicazione applicato ai costi</w:t>
      </w:r>
    </w:p>
    <w:p w14:paraId="103B268B" w14:textId="77777777" w:rsidR="007C4598" w:rsidRDefault="007C4598"/>
    <w:p w14:paraId="48425081" w14:textId="77777777" w:rsidR="007C4598" w:rsidRDefault="00000000">
      <w:pPr>
        <w:jc w:val="both"/>
      </w:pPr>
      <w:r>
        <w:t>Il principio di non duplicazione, che l’opera applica con rigore sul versante dei benefici per impedire che il medesimo risparmio sia attribuito a più cause, opera con eguale forza sul versante dei costi, dove impone di non contabilizzare due volte la medesima risorsa. La struttura in strati del programma, che distingue il modello base, l’innesto dell’Intelligenza Artificiale e il programma formativo integrato, è precisamente lo strumento che garantisce l’assenza di duplicazioni, perché ciascuno strato è definito come incremento rispetto al precedente e ne esclude per costruzione le componenti. Il costo del personale clinico, ricostruito nella sezione 7.1, appartiene al modello base e non è ricompreso nel costo della componente di Intelligenza Artificiale della sezione 7.3, che registra unicamente l’incremento tecnologico; e il costo della formazione di base, parte del modello base, è distinto dal costo del programma formativo integrato della sezione 7.4, che registra unicamente l’investimento aggiuntivo sulle competenze. La trattazione segnala esplicitamente, ogni volta che una voce potrebbe essere imputata a più strati, lo strato cui essa è attribuita e la ragione dell’attribuzione, affinché la somma finale della sezione 7.5 non comporti alcuna sovrapposizione.</w:t>
      </w:r>
    </w:p>
    <w:p w14:paraId="33174393" w14:textId="77777777" w:rsidR="007C4598" w:rsidRDefault="007C4598"/>
    <w:p w14:paraId="1E8828A9" w14:textId="77777777" w:rsidR="007C4598" w:rsidRDefault="00000000">
      <w:pPr>
        <w:pStyle w:val="Titolo3"/>
        <w:spacing w:before="200" w:after="100"/>
      </w:pPr>
      <w:r>
        <w:rPr>
          <w:color w:val="16264B"/>
          <w:sz w:val="22"/>
          <w:szCs w:val="22"/>
        </w:rPr>
        <w:t>La correzione per l’ottimismo e la struttura per scenari</w:t>
      </w:r>
    </w:p>
    <w:p w14:paraId="688C8F18" w14:textId="77777777" w:rsidR="007C4598" w:rsidRDefault="007C4598"/>
    <w:p w14:paraId="735A724B" w14:textId="77777777" w:rsidR="007C4598" w:rsidRDefault="00000000">
      <w:pPr>
        <w:jc w:val="both"/>
      </w:pPr>
      <w:r>
        <w:t>La letteratura sulla valutazione degli investimenti pubblici documenta in modo trasversale una tendenza sistematica a sottostimare i costi e a sovrastimare i benefici, che il telaio del progetto corregge mediante un dispositivo esplicito.</w:t>
      </w:r>
      <w:r>
        <w:rPr>
          <w:color w:val="555555"/>
          <w:sz w:val="16"/>
          <w:szCs w:val="16"/>
          <w:vertAlign w:val="superscript"/>
        </w:rPr>
        <w:t>[3]</w:t>
      </w:r>
      <w:r>
        <w:t xml:space="preserve"> Sul versante dei costi, la correzione per l’ottimismo si traduce in una maggiorazione cautelativa delle stime, applicata in particolare alle voci di avvio e a quelle tecnologiche, che sono soggette a maggiore incertezza e a più frequente sottostima. La presente Parte incorpora tale correzione adottando, per le conclusioni, il valore centrale o l’estremo superiore degli intervalli di costo, e maggiorando prudenzialmente le voci di prima implementazione; in tal modo, la stima del costo diretto non è una stima ottimistica che potrebbe essere smentita al rialzo, ma una stima cautelativa che lascia un margine a fronte degli imprevisti.</w:t>
      </w:r>
    </w:p>
    <w:p w14:paraId="6FDF9AA2" w14:textId="77777777" w:rsidR="007C4598" w:rsidRDefault="007C4598"/>
    <w:p w14:paraId="703C2E90" w14:textId="77777777" w:rsidR="007C4598" w:rsidRDefault="00000000">
      <w:pPr>
        <w:jc w:val="both"/>
      </w:pPr>
      <w:r>
        <w:t>Tutte le grandezze di costo sono costruite secondo tre scenari, in coerenza con l’approccio adottato nell’intera relazione e in modo speculare rispetto agli scenari dei benefici. Lo scenario conservativo, sul versante dei costi, non coincide con quello che assume i costi più bassi, bensì con quello prudenzialmente più oneroso a parità di output, perché la prudenza, in materia di costi, impone di assumere l’ipotesi più cara; esso adotta i costi unitari più elevati e un dimensionamento dell’organico al limite superiore del fabbisogno. Lo scenario centrale adotta i costi unitari e il dimensionamento prudenzialmente più probabili e costituisce il riferimento per la decisione. Lo scenario espansivo, infine, adotta i costi unitari più contenuti e un dimensionamento efficiente, e rappresenta il costo realisticamente attingibile a condizione di una buona organizzazione e di condizioni contrattuali favorevoli. Per evitare ambiguità, la trattazione esplicita per ciascuna voce quale ipotesi di costo unitario e di quantità sia associata a ciascuno scenario, e costruisce gli aggregati combinando coerentemente le ipotesi.</w:t>
      </w:r>
    </w:p>
    <w:p w14:paraId="4FD331F0" w14:textId="77777777" w:rsidR="007C4598" w:rsidRDefault="007C4598"/>
    <w:p w14:paraId="742FA61E" w14:textId="77777777" w:rsidR="007C4598" w:rsidRDefault="00000000">
      <w:pPr>
        <w:pStyle w:val="Titolo3"/>
        <w:spacing w:before="200" w:after="100"/>
      </w:pPr>
      <w:r>
        <w:rPr>
          <w:color w:val="16264B"/>
          <w:sz w:val="22"/>
          <w:szCs w:val="22"/>
        </w:rPr>
        <w:t>L’ordinamento dei costi lungo la cascata gerarchica piramidale</w:t>
      </w:r>
    </w:p>
    <w:p w14:paraId="6304B63F" w14:textId="77777777" w:rsidR="007C4598" w:rsidRDefault="007C4598"/>
    <w:p w14:paraId="46D07790" w14:textId="77777777" w:rsidR="007C4598" w:rsidRDefault="00000000">
      <w:pPr>
        <w:jc w:val="both"/>
      </w:pPr>
      <w:r>
        <w:t>Il principio ordinatore dell’intera opera, la cascata gerarchica piramidale che muove dallo Psicologo di Base, governa anche l’imputazione dei costi diretti, e lo fa secondo una logica che è necessario esplicitare perché essa rovescia, sul versante dei costi, l’ordine che la cascata possiede sul versante dei benefici. Sul versante dei benefici, come la Parte terza ha stabilito, l’apice della piramide possiede la massima influenza ma una capacità di rientro indiretta, mentre i livelli inferiori e gli attori di sistema raccolgono in aggregato la maggiore capacità di rientro economico e sociale. Sul versante dei costi, l’ordine è opposto: è l’apice della piramide, lo Psicologo di Base, a generare la quasi totalità del costo diretto di cassa, perché è la figura di nuova istituzione che la riforma deve retribuire, mentre i livelli inferiori generano costi progressivamente decrescenti — costi-opportunità di tempo per le figure di secondo livello, costi marginali o assorbiti per le figure di terzo e quarto livello — fino agli attori di sistema della base, che non generano alcun costo diretto per il bilancio sanitario regionale e che si collocano interamente sul versante dei benefici.</w:t>
      </w:r>
    </w:p>
    <w:p w14:paraId="46879FA3" w14:textId="77777777" w:rsidR="007C4598" w:rsidRDefault="007C4598"/>
    <w:p w14:paraId="5C03FF43" w14:textId="77777777" w:rsidR="007C4598" w:rsidRDefault="00000000">
      <w:pPr>
        <w:jc w:val="both"/>
      </w:pPr>
      <w:r>
        <w:t>Questa asimmetria tra la distribuzione dei costi e quella dei benefici lungo la cascata non è un’anomalia, ma la struttura stessa del valore della riforma, ed è la ragione economica per cui l’investimento è conveniente: il costo è concentrato in un’unica figura apicale di costo contenuto, mentre il valore è diffuso lungo l’intera cascata e raccolto in aggregato dagli attori di sistema. La presente Parte rende esplicita tale concentrazione del costo, ricostruendo nella sezione 7.1 il costo del personale lungo la cascata secondo quattro classi di imputazione, che distinguono le figure il cui costo è interamente incrementale, quelle il cui coinvolgimento comporta un costo-opportunità di tempo, quelle il cui costo è marginale o assorbito dal sistema esistente e quelle che non generano alcun costo diretto per il Servizio Sanitario Regionale. È precisamente questa concentrazione del costo nell’apice, congiunta alla diffusione del valore lungo la cascata, a fondare la convenienza dell’investimento che le Parti ottava, nona e decima documenteranno; e l’ordine espositivo della presente Parte ne è la traduzione analitica.</w:t>
      </w:r>
    </w:p>
    <w:p w14:paraId="20649F62" w14:textId="77777777" w:rsidR="007C4598" w:rsidRDefault="007C4598"/>
    <w:p w14:paraId="4F43379C" w14:textId="77777777" w:rsidR="007C4598" w:rsidRDefault="00000000">
      <w:pPr>
        <w:jc w:val="both"/>
      </w:pPr>
      <w:r>
        <w:t>Resta, in questa collocazione, ferma la posizione subordinata dell’Intelligenza Artificiale, che la sezione 7.3 ricostruirà sul versante dei costi con il medesimo rigore con cui le Parti precedenti l’hanno collocata sul versante dell’efficacia. Lo strumento computazionale non è un centro di costo autonomo che si aggiunge al servizio, ma una leva abilitante il cui costo incrementale è di entità contenuta rispetto al costo del personale, e il cui effetto sul versante dei costi è duplice: da un lato esso aggiunge una voce nuova, dall’altro riduce, attraverso l’automazione di compiti amministrativi, una frazione dei costi operativi del servizio, esercitando un parziale autofinanziamento che la sezione 7.3 quantificherà. La trattazione mantiene perciò l’Intelligenza Artificiale nella sua posizione di leva, e ne valuta il costo non in isolamento, ma in rapporto al costo complessivo del servizio che essa contribuisce a rendere più efficiente.</w:t>
      </w:r>
    </w:p>
    <w:p w14:paraId="60B940AC" w14:textId="77777777" w:rsidR="007C4598" w:rsidRDefault="007C4598"/>
    <w:p w14:paraId="3DF300FE" w14:textId="77777777" w:rsidR="007C4598" w:rsidRDefault="00000000">
      <w:pPr>
        <w:pStyle w:val="Titolo2"/>
        <w:spacing w:before="200" w:after="100"/>
      </w:pPr>
      <w:r>
        <w:rPr>
          <w:sz w:val="22"/>
          <w:szCs w:val="22"/>
        </w:rPr>
        <w:t>7.1  Il costo del personale lungo la cascata delle figure</w:t>
      </w:r>
    </w:p>
    <w:p w14:paraId="2E79E971" w14:textId="77777777" w:rsidR="007C4598" w:rsidRDefault="007C4598"/>
    <w:p w14:paraId="15FD4D60" w14:textId="77777777" w:rsidR="007C4598" w:rsidRDefault="00000000">
      <w:pPr>
        <w:jc w:val="both"/>
      </w:pPr>
      <w:r>
        <w:t>Il costo del personale costituisce, in ogni programma di servizi alla persona e segnatamente in un servizio clinico di prossimità quale quello che la riforma istituisce, la voce di gran lunga preponderante del costo diretto, e la sua corretta ricostruzione è perciò la condizione su cui poggia l’attendibilità dell’intera valutazione economica. La presente sezione ricostruisce tale costo lungo l’intera cascata delle figure, dall’apice occupato dallo Psicologo di Base fino agli attori di sistema della base, applicando un criterio di imputazione che distingue, per ciascuna figura, la natura del costo che essa genera e la prospettiva di analisi entro cui tale costo si manifesta. La sezione si articola, di conseguenza, in un’esposizione preliminare del criterio di imputazione, in una trattazione analitica del costo di ciascun livello della cascata, e in un consolidamento finale che ricompone il costo del personale in una stima per scenario, corredata di bande prudenziali e di una previsione falsificabile.</w:t>
      </w:r>
    </w:p>
    <w:p w14:paraId="318E0DA1" w14:textId="77777777" w:rsidR="007C4598" w:rsidRDefault="007C4598"/>
    <w:p w14:paraId="31ADA458" w14:textId="77777777" w:rsidR="007C4598" w:rsidRDefault="00000000">
      <w:pPr>
        <w:jc w:val="both"/>
      </w:pPr>
      <w:r>
        <w:t>La preponderanza del costo del personale, che le sezioni successive quantificheranno, non è una caratteristica accidentale del programma, ma il riflesso della sua natura: la riforma non acquista tecnologie costose né edifica strutture nuove, ma istituisce una funzione clinica che si esercita attraverso il tempo qualificato di professionisti. Ne discende che il costo diretto del servizio è, in misura prevalente, il costo del tempo di lavoro dello Psicologo di Base e, in misura minore, il costo del personale amministrativo che ne supporta l’attività e della supervisione clinica che ne garantisce la qualità; mentre le altre figure della cascata, già retribuite dal sistema, contribuiscono al servizio con frazioni del proprio tempo che non si traducono in esborsi nuovi. Questa struttura del costo, che concentra l’esborso di cassa nell’apice e distribuisce il contributo delle altre figure in forma di tempo riorientato, è ciò che la presente sezione rende esplicito.</w:t>
      </w:r>
    </w:p>
    <w:p w14:paraId="6D86890D" w14:textId="77777777" w:rsidR="007C4598" w:rsidRDefault="007C4598"/>
    <w:p w14:paraId="5D44A3B1" w14:textId="77777777" w:rsidR="007C4598" w:rsidRDefault="00000000">
      <w:pPr>
        <w:pStyle w:val="Titolo3"/>
        <w:spacing w:before="200" w:after="100"/>
      </w:pPr>
      <w:r>
        <w:rPr>
          <w:color w:val="16264B"/>
          <w:sz w:val="22"/>
          <w:szCs w:val="22"/>
        </w:rPr>
        <w:t>7.1.1  Il criterio di imputazione: le quattro classi di figure</w:t>
      </w:r>
    </w:p>
    <w:p w14:paraId="2D48B3C4" w14:textId="77777777" w:rsidR="007C4598" w:rsidRDefault="007C4598"/>
    <w:p w14:paraId="59252059" w14:textId="77777777" w:rsidR="007C4598" w:rsidRDefault="00000000">
      <w:pPr>
        <w:jc w:val="both"/>
      </w:pPr>
      <w:r>
        <w:t>La ricostruzione del costo del personale lungo la cascata richiede, in via preliminare, un criterio che stabilisca, per ciascuna figura, se e in quale misura il suo coinvolgimento nella riforma generi un costo diretto, e di quale natura. Il criterio che la presente sezione adotta classifica le figure della cascata in quattro classi, definite in base alla natura del costo che ciascuna genera per il bilancio pubblico regionale. La distinzione tra le classi non è una mera convenzione espositiva, ma la traduzione operativa della distinzione tra costo di cassa e costo-opportunità che l’introduzione ha stabilito, e ad essa la sezione 7.5 farà ricorso per aggregare i costi senza duplicazioni e senza omissioni.</w:t>
      </w:r>
    </w:p>
    <w:p w14:paraId="0056CE61" w14:textId="77777777" w:rsidR="007C4598" w:rsidRDefault="007C4598"/>
    <w:p w14:paraId="1D37FCC3" w14:textId="77777777" w:rsidR="007C4598" w:rsidRDefault="00000000">
      <w:pPr>
        <w:jc w:val="both"/>
      </w:pPr>
      <w:r>
        <w:t>La prima classe comprende le figure di nuova istituzione, il cui costo è interamente incrementale e si traduce in un esborso di cassa aggiuntivo per il bilancio pubblico. A questa classe appartiene, in via principale e quasi esclusiva, lo Psicologo di Base, che la riforma introduce ex novo nelle cure primarie e la cui retribuzione costituisce il nucleo del costo diretto; vi appartengono altresì, in misura minore, il personale amministrativo di supporto specificamente assunto per il servizio e la quota di supervisione clinica che il servizio richiede in aggiunta a quella preesistente. Il costo delle figure di questa classe è registrato per intero come esborso di cassa nella prospettiva finanziaria e di bilancio, ed è la componente che la sezione 7.1 ricostruisce con il maggiore dettaglio.</w:t>
      </w:r>
    </w:p>
    <w:p w14:paraId="07E88E0D" w14:textId="77777777" w:rsidR="007C4598" w:rsidRDefault="007C4598"/>
    <w:p w14:paraId="7F9E35FA" w14:textId="77777777" w:rsidR="007C4598" w:rsidRDefault="00000000">
      <w:pPr>
        <w:jc w:val="both"/>
      </w:pPr>
      <w:r>
        <w:t xml:space="preserve">La seconda classe comprende le figure già retribuite dal sistema, il cui coinvolgimento nella riforma non comporta un esborso di cassa aggiuntivo, ma un costo-opportunità derivante dal </w:t>
      </w:r>
      <w:proofErr w:type="spellStart"/>
      <w:r>
        <w:t>riorientamento</w:t>
      </w:r>
      <w:proofErr w:type="spellEnd"/>
      <w:r>
        <w:t xml:space="preserve"> di una frazione del loro tempo. A questa classe appartengono le figure cliniche di primo contatto del secondo livello della cascata — il medico di medicina generale, il pediatra di libera scelta e il neurologo — il cui tempo è in parte riorientato verso il coordinamento con lo Psicologo di Base nella coppia clinica. Il costo delle figure di questa classe non è registrato come esborso di cassa, perché esse sono già pagate dal sistema, ma è segnalato come costo-opportunità nella prospettiva sociale, con l’avvertenza che esso è in larga parte compensato dal tempo che la riforma libera, sottraendo alle figure di primo contatto la gestione solitaria di una domanda che lo Psicologo di Base assorbe.</w:t>
      </w:r>
    </w:p>
    <w:p w14:paraId="7389ACEE" w14:textId="77777777" w:rsidR="007C4598" w:rsidRDefault="007C4598"/>
    <w:p w14:paraId="03BC2312" w14:textId="77777777" w:rsidR="007C4598" w:rsidRDefault="00000000">
      <w:pPr>
        <w:jc w:val="both"/>
      </w:pPr>
      <w:r>
        <w:t>La terza classe comprende le figure il cui coinvolgimento genera un costo marginale o è interamente assorbito dalla dotazione organica che il sistema sta già realizzando in attuazione del modello di assistenza territoriale. A questa classe appartengono, nel terzo livello della cascata, l’infermiere di famiglia e di comunità nella funzione di care manager, lo psichiatra consulente e le ulteriori figure sanitarie e socio-sanitarie, il cui contributo al servizio si esercita attraverso quote di tempo che la programmazione territoriale ha già previsto e in parte finanziato, e il cui costo incrementale per la riforma è perciò marginale o nullo, a seconda del grado di realizzazione della dotazione prevista. Il costo delle figure di questa classe è registrato come incremento marginale, ove sia necessario finanziare una quota dedicata, e come costo nullo, ove la funzione sia assorbita dall’organico esistente, con esplicita segnalazione della dipendenza della stima dal grado di realizzazione del modello territoriale.</w:t>
      </w:r>
    </w:p>
    <w:p w14:paraId="639A1FB6" w14:textId="77777777" w:rsidR="007C4598" w:rsidRDefault="007C4598"/>
    <w:p w14:paraId="2ABF6F79" w14:textId="77777777" w:rsidR="007C4598" w:rsidRDefault="00000000">
      <w:pPr>
        <w:jc w:val="both"/>
      </w:pPr>
      <w:r>
        <w:t xml:space="preserve">La quarta classe, infine, comprende gli attori che non generano alcun costo diretto per il Servizio Sanitario Regionale, vuoi perché finanziati da un diverso capitolo di spesa pubblica, vuoi perché collocati interamente sul versante dei benefici. A questa classe appartengono, nel quarto livello della cascata, le figure educative e segnatamente lo psicologo scolastico, il cui costo grava sul sistema dell’istruzione e non sul Servizio Sanitario Regionale, e gli attori istituzionali e amministrativi regionali, il cui costo di coordinamento la sezione 7.2 tratterà tra i costi di </w:t>
      </w:r>
      <w:proofErr w:type="spellStart"/>
      <w:r>
        <w:t>governance</w:t>
      </w:r>
      <w:proofErr w:type="spellEnd"/>
      <w:r>
        <w:t>; e vi appartengono, nel quinto livello della cascata, gli attori extra-sanitari — gli istituti previdenziali e assicurativi, il sistema giudiziario, le imprese, le organizzazioni sindacali, le università e il terzo settore — che non sostengono alcun costo per la riforma e che ne raccolgono invece i benefici, oggetto della Parte nona. Il costo delle figure di questa classe è registrato come nullo per il bilancio sanitario regionale, con rinvio, ove pertinente, alla sezione o alla Parte che ne tratta sotto il profilo proprio.</w:t>
      </w:r>
    </w:p>
    <w:p w14:paraId="0D242D15"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5733"/>
        <w:gridCol w:w="3293"/>
      </w:tblGrid>
      <w:tr w:rsidR="007C4598" w14:paraId="63F0E43F" w14:textId="77777777">
        <w:trPr>
          <w:gridAfter w:val="1"/>
          <w:wAfter w:w="360" w:type="dxa"/>
        </w:trPr>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FE233FA" w14:textId="77777777" w:rsidR="007C4598" w:rsidRDefault="00000000">
            <w:pPr>
              <w:spacing w:after="40"/>
            </w:pPr>
            <w:r>
              <w:rPr>
                <w:b/>
                <w:bCs/>
                <w:color w:val="FFFFFF"/>
                <w:sz w:val="18"/>
                <w:szCs w:val="18"/>
              </w:rPr>
              <w:t>7.1.1 — Le quattro classi di imputazione del costo del personale lungo la cascata</w:t>
            </w:r>
          </w:p>
        </w:tc>
      </w:tr>
      <w:tr w:rsidR="007C4598" w14:paraId="48BD1BF7"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B712A57" w14:textId="77777777" w:rsidR="007C4598" w:rsidRDefault="00000000">
            <w:pPr>
              <w:spacing w:after="40"/>
            </w:pPr>
            <w:r>
              <w:rPr>
                <w:b/>
                <w:bCs/>
              </w:rPr>
              <w:t>Prima classe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F722333" w14:textId="77777777" w:rsidR="007C4598" w:rsidRDefault="00000000">
            <w:pPr>
              <w:spacing w:after="40"/>
            </w:pPr>
            <w:r>
              <w:t>Figure di nuova istituzione, costo interamente incrementale e di cassa. Apice: Psicologo di Base (nucleo del costo diretto); personale amministrativo di supporto dedicato; quota incrementale di supervisione clinica. Registrate come esborso nella prospettiva finanziaria e di bilancio.</w:t>
            </w:r>
          </w:p>
        </w:tc>
      </w:tr>
      <w:tr w:rsidR="007C4598" w14:paraId="19FC81B3"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9E6B4AA" w14:textId="77777777" w:rsidR="007C4598" w:rsidRDefault="00000000">
            <w:pPr>
              <w:spacing w:after="40"/>
            </w:pPr>
            <w:r>
              <w:rPr>
                <w:b/>
                <w:bCs/>
              </w:rPr>
              <w:t>Seconda classe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2ADA0BE" w14:textId="77777777" w:rsidR="007C4598" w:rsidRDefault="00000000">
            <w:pPr>
              <w:spacing w:after="40"/>
            </w:pPr>
            <w:r>
              <w:t xml:space="preserve">Figure già retribuite dal sistema, costo-opportunità da </w:t>
            </w:r>
            <w:proofErr w:type="spellStart"/>
            <w:r>
              <w:t>riorientamento</w:t>
            </w:r>
            <w:proofErr w:type="spellEnd"/>
            <w:r>
              <w:t xml:space="preserve"> di tempo, senza esborso aggiuntivo. Secondo livello: medico di medicina generale, pediatra di libera scelta, neurologo. Segnalate nella prospettiva sociale, con compensazione dal tempo liberato.</w:t>
            </w:r>
          </w:p>
        </w:tc>
      </w:tr>
      <w:tr w:rsidR="007C4598" w14:paraId="27052A11"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708805B" w14:textId="77777777" w:rsidR="007C4598" w:rsidRDefault="00000000">
            <w:pPr>
              <w:spacing w:after="40"/>
            </w:pPr>
            <w:r>
              <w:rPr>
                <w:b/>
                <w:bCs/>
              </w:rPr>
              <w:t>Terza classe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C30CBBE" w14:textId="77777777" w:rsidR="007C4598" w:rsidRDefault="00000000">
            <w:pPr>
              <w:spacing w:after="40"/>
            </w:pPr>
            <w:r>
              <w:t>Figure a costo marginale o assorbito dalla dotazione del modello territoriale. Terzo livello: infermiere di famiglia e di comunità (care manager), psichiatra consulente, ulteriori figure socio-sanitarie. Incremento marginale ove serva una quota dedicata; nullo ove assorbito dall’organico previsto.</w:t>
            </w:r>
          </w:p>
        </w:tc>
      </w:tr>
      <w:tr w:rsidR="007C4598" w14:paraId="4DAB6E69"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C2B9330" w14:textId="77777777" w:rsidR="007C4598" w:rsidRDefault="00000000">
            <w:pPr>
              <w:spacing w:after="40"/>
            </w:pPr>
            <w:r>
              <w:rPr>
                <w:b/>
                <w:bCs/>
              </w:rPr>
              <w:t>Quarta classe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EBA5713" w14:textId="77777777" w:rsidR="007C4598" w:rsidRDefault="00000000">
            <w:pPr>
              <w:spacing w:after="40"/>
            </w:pPr>
            <w:r>
              <w:t>Attori senza costo diretto per il Servizio Sanitario Regionale. Quarto livello: figure educative (a carico del sistema dell’istruzione) e attori istituzionali (coordinamento in 7.2). Quinto livello: attori extra-sanitari, collocati sul versante dei benefici (Parte nona).</w:t>
            </w:r>
          </w:p>
        </w:tc>
      </w:tr>
    </w:tbl>
    <w:p w14:paraId="44B78B62" w14:textId="77777777" w:rsidR="007C4598" w:rsidRDefault="007C4598"/>
    <w:p w14:paraId="506B1541" w14:textId="77777777" w:rsidR="007C4598" w:rsidRDefault="00000000">
      <w:pPr>
        <w:jc w:val="both"/>
      </w:pPr>
      <w:r>
        <w:rPr>
          <w:b/>
          <w:bCs/>
        </w:rPr>
        <w:t>Schema 7.1.1</w:t>
      </w:r>
      <w:r>
        <w:rPr>
          <w:i/>
          <w:iCs/>
        </w:rPr>
        <w:t xml:space="preserve"> — Il criterio di imputazione del costo del personale distingue quattro classi di figure secondo la natura del costo generato per il bilancio pubblico regionale. La prima classe concentra l’esborso di cassa; le classi successive generano costi progressivamente decrescenti, fino al costo nullo della quarta.</w:t>
      </w:r>
    </w:p>
    <w:p w14:paraId="371B329C" w14:textId="77777777" w:rsidR="007C4598" w:rsidRDefault="007C4598"/>
    <w:p w14:paraId="297155E7" w14:textId="77777777" w:rsidR="007C4598" w:rsidRDefault="00000000">
      <w:pPr>
        <w:pStyle w:val="Titolo3"/>
        <w:spacing w:before="200" w:after="100"/>
      </w:pPr>
      <w:r>
        <w:rPr>
          <w:color w:val="16264B"/>
          <w:sz w:val="22"/>
          <w:szCs w:val="22"/>
        </w:rPr>
        <w:t>7.1.2  L’apice della cascata: il costo dello Psicologo di Base</w:t>
      </w:r>
    </w:p>
    <w:p w14:paraId="7BF9407A" w14:textId="77777777" w:rsidR="007C4598" w:rsidRDefault="007C4598"/>
    <w:p w14:paraId="242B860D" w14:textId="77777777" w:rsidR="007C4598" w:rsidRDefault="00000000">
      <w:pPr>
        <w:jc w:val="both"/>
      </w:pPr>
      <w:r>
        <w:t>Lo Psicologo di Base, che la cascata colloca all’apice e che la prima classe di imputazione identifica come figura di nuova istituzione, genera la quasi totalità del costo diretto di cassa della riforma, e la ricostruzione del suo costo è perciò il nucleo della presente sezione. Tale ricostruzione procede secondo il metodo dal basso, identificando dapprima il fabbisogno di tempo clinico che il servizio richiede a regime, traducendo poi tale fabbisogno in un numero di professionisti a tempo pieno equivalente, e valorizzando infine il professionista al suo costo unitario lordo per il datore di lavoro, secondo le diverse ipotesi contrattuali che il modello pugliese può adottare. Ciascuno di questi passaggi è esposto separatamente, con le sue assunzioni e il suo intervallo di incertezza, e il costo complessivo è costruito aggregando i passaggi secondo gli scenari.</w:t>
      </w:r>
    </w:p>
    <w:p w14:paraId="34C2729F" w14:textId="77777777" w:rsidR="007C4598" w:rsidRDefault="007C4598"/>
    <w:p w14:paraId="22B405B2" w14:textId="77777777" w:rsidR="007C4598" w:rsidRDefault="00000000">
      <w:pPr>
        <w:jc w:val="both"/>
      </w:pPr>
      <w:r>
        <w:t xml:space="preserve">Il fabbisogno di tempo clinico a regime discende dal volume di pazienti che il servizio è dimensionato per trattare e dall’intensità del trattamento che ciascun paziente riceve. Il modello del progetto dimensiona il servizio, a regime e nello scenario centrale, per trattare un volume dell’ordine di centosettantamila pazienti all’anno, all’interno di un intervallo compreso tra centocinquantamila e </w:t>
      </w:r>
      <w:proofErr w:type="spellStart"/>
      <w:r>
        <w:t>centonovantacinquemila</w:t>
      </w:r>
      <w:proofErr w:type="spellEnd"/>
      <w:r>
        <w:t xml:space="preserve">, corrispondente alla quota della popolazione regionale che, nel corso di un anno, presenta un disturbo psicologico comune di intensità lieve o moderata suscettibile di trattamento efficace al primo livello. A ciascun paziente il servizio eroga, secondo la logica della cura per intensità crescente che la Parte quarta ha descritto, un ciclo di intervento breve a bassa intensità, la cui durata media è prudenzialmente fissata in sei sedute, all’interno di un intervallo compreso tra cinque e otto, di durata pari a cinquanta minuti ciascuna. Il tempo clinico diretto a regime risulta pertanto, nello scenario centrale, dell’ordine di </w:t>
      </w:r>
      <w:proofErr w:type="spellStart"/>
      <w:r>
        <w:t>ottocentoquarantasettemila</w:t>
      </w:r>
      <w:proofErr w:type="spellEnd"/>
      <w:r>
        <w:t xml:space="preserve"> ore annue, prodotto del volume dei pazienti, del numero medio di sedute e della durata della seduta espressa in frazione di ora.</w:t>
      </w:r>
    </w:p>
    <w:p w14:paraId="6F4B3F86" w14:textId="77777777" w:rsidR="007C4598" w:rsidRDefault="007C4598"/>
    <w:p w14:paraId="34D0EAEC" w14:textId="77777777" w:rsidR="007C4598" w:rsidRDefault="00000000">
      <w:pPr>
        <w:jc w:val="both"/>
      </w:pPr>
      <w:r>
        <w:t>Al tempo clinico diretto occorre aggiungere il tempo che il servizio richiede per le attività indirette ma necessarie all’erogazione: la documentazione clinica, il coordinamento con il medico di medicina generale nella coppia clinica, la partecipazione alla supervisione, la gestione delle mancate presentazioni e dei ricontatti. La letteratura sulla produttività dei servizi clinici di prossimità colloca tale maggiorazione in una misura dell’ordine del trenta per cento del tempo clinico diretto, sicché il tempo complessivo a regime risulta, nello scenario centrale, dell’ordine di un milione e centomila ore annue. Questo tempo complessivo costituisce la prima grandezza fisica del calcolo, ed è esso che, valorizzato al costo del lavoro, genera il costo del personale clinico apicale.</w:t>
      </w:r>
    </w:p>
    <w:p w14:paraId="4DD12125" w14:textId="77777777" w:rsidR="007C4598" w:rsidRDefault="007C4598"/>
    <w:p w14:paraId="6AF1783B" w14:textId="77777777" w:rsidR="007C4598" w:rsidRDefault="00000000">
      <w:pPr>
        <w:jc w:val="both"/>
      </w:pPr>
      <w:r>
        <w:t xml:space="preserve">La traduzione del tempo complessivo in un numero di professionisti a tempo pieno equivalente richiede la definizione delle ore annue che un professionista a tempo pieno effettivamente dedica all’attività, al netto delle ferie, delle festività, dei permessi e della formazione obbligatoria. Tale grandezza, che la disciplina del costo del lavoro indica come monte ore produttivo, si colloca per una figura clinica a tempo pieno in una misura dell’ordine di </w:t>
      </w:r>
      <w:proofErr w:type="spellStart"/>
      <w:r>
        <w:t>millecinquecentocinquanta</w:t>
      </w:r>
      <w:proofErr w:type="spellEnd"/>
      <w:r>
        <w:t xml:space="preserve"> ore annue. Dividendo il tempo complessivo di un milione e centomila ore per il monte ore produttivo di </w:t>
      </w:r>
      <w:proofErr w:type="spellStart"/>
      <w:r>
        <w:t>millecinquecentocinquanta</w:t>
      </w:r>
      <w:proofErr w:type="spellEnd"/>
      <w:r>
        <w:t xml:space="preserve"> ore, si ottiene un fabbisogno di personale a tempo pieno equivalente dell’ordine di </w:t>
      </w:r>
      <w:proofErr w:type="spellStart"/>
      <w:r>
        <w:t>settecentodieci</w:t>
      </w:r>
      <w:proofErr w:type="spellEnd"/>
      <w:r>
        <w:t xml:space="preserve"> unità nello scenario centrale, all’interno di un intervallo compreso, nei tre scenari, tra settecento e </w:t>
      </w:r>
      <w:proofErr w:type="spellStart"/>
      <w:r>
        <w:t>settecentoquaranta</w:t>
      </w:r>
      <w:proofErr w:type="spellEnd"/>
      <w:r>
        <w:t xml:space="preserve"> unità a tempo pieno equivalente.</w:t>
      </w:r>
    </w:p>
    <w:p w14:paraId="4C9E6FEF" w14:textId="77777777" w:rsidR="007C4598" w:rsidRDefault="007C4598"/>
    <w:p w14:paraId="75391171" w14:textId="77777777" w:rsidR="007C4598" w:rsidRDefault="00000000">
      <w:pPr>
        <w:jc w:val="both"/>
      </w:pPr>
      <w:r>
        <w:t xml:space="preserve">Il fabbisogno espresso in unità a tempo pieno equivalente non coincide con il numero di professionisti che il servizio impiega, perché il modello pugliese, in coerenza con la sua vocazione alla prossimità territoriale, distribuisce il servizio su un organico più ampio, in cui ciascun professionista opera in misura mediamente parziale. La distribuzione su un organico ampio risponde all’esigenza di garantire la presenza dello Psicologo di Base nei quarantacinque distretti e nelle Case della Comunità in cui il Servizio sanitario regionale si articola, evitando la concentrazione del servizio in pochi presidi e assicurando la prossimità che ne costituisce il tratto distintivo. Adottando un rapporto di copertura compreso tra uno psicologo di base ogni </w:t>
      </w:r>
      <w:proofErr w:type="spellStart"/>
      <w:r>
        <w:t>quattromilaquattrocento</w:t>
      </w:r>
      <w:proofErr w:type="spellEnd"/>
      <w:r>
        <w:t xml:space="preserve"> e uno ogni </w:t>
      </w:r>
      <w:proofErr w:type="spellStart"/>
      <w:r>
        <w:t>quattromilanovecento</w:t>
      </w:r>
      <w:proofErr w:type="spellEnd"/>
      <w:r>
        <w:t xml:space="preserve"> abitanti, sulla popolazione residente regionale prossima a tre milioni e novecentomila abitanti, l’organico in testa a regime si colloca in un intervallo compreso tra ottocento e </w:t>
      </w:r>
      <w:proofErr w:type="spellStart"/>
      <w:r>
        <w:t>ottocentottanta</w:t>
      </w:r>
      <w:proofErr w:type="spellEnd"/>
      <w:r>
        <w:t xml:space="preserve"> professionisti, con valore centrale dell’ordine di </w:t>
      </w:r>
      <w:proofErr w:type="spellStart"/>
      <w:r>
        <w:t>ottocentoquaranta</w:t>
      </w:r>
      <w:proofErr w:type="spellEnd"/>
      <w:r>
        <w:t>, ciascuno dei quali opera in misura mediamente pari a circa quattro quinti di un impegno a tempo pieno.</w:t>
      </w:r>
      <w:r>
        <w:rPr>
          <w:color w:val="555555"/>
          <w:sz w:val="16"/>
          <w:szCs w:val="16"/>
          <w:vertAlign w:val="superscript"/>
        </w:rPr>
        <w:t>[7][8]</w:t>
      </w:r>
    </w:p>
    <w:p w14:paraId="295F124A" w14:textId="77777777" w:rsidR="007C4598" w:rsidRDefault="007C4598"/>
    <w:p w14:paraId="3F4D6C7C" w14:textId="77777777" w:rsidR="007C4598" w:rsidRDefault="00000000">
      <w:pPr>
        <w:jc w:val="both"/>
      </w:pPr>
      <w:r>
        <w:t>Il costo unitario lordo per il datore di lavoro di uno psicologo di base a tempo pieno equivalente dipende in misura determinante dalla forma contrattuale che il modello pugliese adotta, e il presente studio ricostruisce il costo secondo le tre ipotesi contrattuali principali, riconducendole agli scenari. La prima ipotesi è quella del modello convenzionale, analogo a quello che disciplina i rapporti con i medici di medicina generale, in cui il professionista è remunerato a quota oraria onnicomprensiva: a un costo orario lordo dell’ordine di ventiquattro-ventotto euro corrisponde, sul monte ore produttivo, un costo annuo per unità a tempo pieno equivalente dell’ordine di trentasette-quarantatremila euro.</w:t>
      </w:r>
      <w:r>
        <w:rPr>
          <w:color w:val="555555"/>
          <w:sz w:val="16"/>
          <w:szCs w:val="16"/>
          <w:vertAlign w:val="superscript"/>
        </w:rPr>
        <w:t>[9]</w:t>
      </w:r>
      <w:r>
        <w:t xml:space="preserve"> La seconda ipotesi è quella del rapporto di dipendenza nel comparto sanità, in cui il costo annuo lordo per il datore di lavoro, comprensivo degli oneri riflessi, si colloca per la figura dello psicologo in una misura dell’ordine di trentottomila-quarantaseimila euro.</w:t>
      </w:r>
      <w:r>
        <w:rPr>
          <w:color w:val="555555"/>
          <w:sz w:val="16"/>
          <w:szCs w:val="16"/>
          <w:vertAlign w:val="superscript"/>
        </w:rPr>
        <w:t>[10]</w:t>
      </w:r>
      <w:r>
        <w:t xml:space="preserve"> La terza ipotesi è quella del rapporto di dipendenza nell’area della dirigenza sanitaria, in cui il costo annuo lordo si colloca su valori più elevati, dell’ordine di cinquantamila-</w:t>
      </w:r>
      <w:proofErr w:type="spellStart"/>
      <w:r>
        <w:t>cinquantottomila</w:t>
      </w:r>
      <w:proofErr w:type="spellEnd"/>
      <w:r>
        <w:t xml:space="preserve"> euro.</w:t>
      </w:r>
    </w:p>
    <w:p w14:paraId="1847B574" w14:textId="77777777" w:rsidR="007C4598" w:rsidRDefault="007C4598"/>
    <w:p w14:paraId="1208E5E8" w14:textId="77777777" w:rsidR="007C4598" w:rsidRDefault="00000000">
      <w:pPr>
        <w:jc w:val="both"/>
      </w:pPr>
      <w:r>
        <w:t>Riconducendo le ipotesi contrattuali agli scenari secondo il principio di prudenza, e ricordando che lo scenario conservativo, sul versante dei costi, è quello prudenzialmente più oneroso, il presente studio adotta un costo unitario lordo per unità a tempo pieno equivalente dell’ordine di trentottomila euro nello scenario espansivo, fondato su un modello prevalentemente convenzionale; dell’ordine di quarantaquattromila euro nello scenario centrale, fondato su un modello misto convenzionale e di dipendenza nel comparto; e dell’ordine di cinquantamila euro nello scenario conservativo, fondato su un’ipotesi prudenziale di maggiore ricorso alla dipendenza e alla dirigenza. Si rileva, perché il dato non sia equivocato, che il costo unitario più elevato è associato allo scenario conservativo non perché tale scenario sia più probabile, ma perché la prudenza impone di verificare la tenuta del programma anche nell’ipotesi contrattuale più cara.</w:t>
      </w:r>
    </w:p>
    <w:p w14:paraId="7A68A2AF" w14:textId="77777777" w:rsidR="007C4598" w:rsidRDefault="007C4598"/>
    <w:p w14:paraId="1B3616A0" w14:textId="77777777" w:rsidR="007C4598" w:rsidRDefault="00000000">
      <w:pPr>
        <w:jc w:val="both"/>
      </w:pPr>
      <w:r>
        <w:t xml:space="preserve">Il costo del personale clinico apicale a regime risulta, dalla combinazione del fabbisogno di unità a tempo pieno equivalente e del costo unitario, dell’ordine di trentuno milioni e mezzo di euro annui nello scenario centrale, ottenuto moltiplicando le </w:t>
      </w:r>
      <w:proofErr w:type="spellStart"/>
      <w:r>
        <w:t>settecentoquindici</w:t>
      </w:r>
      <w:proofErr w:type="spellEnd"/>
      <w:r>
        <w:t xml:space="preserve"> unità a tempo pieno equivalente per il costo unitario di quarantaquattromila euro. Nello scenario espansivo, in cui il minore costo unitario di trentottomila euro si combina con un dimensionamento efficiente di settecento unità a tempo pieno equivalente, il costo si colloca dell’ordine di ventisei milioni e seicentomila euro; nello scenario conservativo, in cui il maggiore costo unitario di cinquantamila euro si combina con un dimensionamento al limite superiore di </w:t>
      </w:r>
      <w:proofErr w:type="spellStart"/>
      <w:r>
        <w:t>settecentoquaranta</w:t>
      </w:r>
      <w:proofErr w:type="spellEnd"/>
      <w:r>
        <w:t xml:space="preserve"> unità, il costo si colloca dell’ordine di trentasette milioni di euro. Il costo del personale clinico apicale a regime si colloca pertanto, nei tre scenari, in un intervallo compreso tra ventisei milioni e seicentomila e trentasette milioni di euro annui, con valore centrale dell’ordine di trentuno milioni e mezzo.</w:t>
      </w:r>
    </w:p>
    <w:p w14:paraId="050EC621"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2C0A6F75"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2D396D7" w14:textId="77777777" w:rsidR="007C4598" w:rsidRDefault="00000000">
            <w:pPr>
              <w:spacing w:after="40"/>
            </w:pPr>
            <w:r>
              <w:rPr>
                <w:b/>
                <w:bCs/>
                <w:color w:val="FFFFFF"/>
                <w:sz w:val="18"/>
                <w:szCs w:val="18"/>
              </w:rPr>
              <w:t>Passaggio del calcolo (a regime)</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A4E6816" w14:textId="77777777" w:rsidR="007C4598" w:rsidRDefault="00000000">
            <w:pPr>
              <w:spacing w:after="40"/>
            </w:pPr>
            <w:r>
              <w:rPr>
                <w:b/>
                <w:bCs/>
                <w:color w:val="FFFFFF"/>
                <w:sz w:val="18"/>
                <w:szCs w:val="18"/>
              </w:rPr>
              <w:t>Conservativo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CFBCD64" w14:textId="77777777" w:rsidR="007C4598" w:rsidRDefault="00000000">
            <w:pPr>
              <w:spacing w:after="40"/>
            </w:pPr>
            <w:r>
              <w:rPr>
                <w:b/>
                <w:bCs/>
                <w:color w:val="FFFFFF"/>
                <w:sz w:val="18"/>
                <w:szCs w:val="18"/>
              </w:rPr>
              <w:t>Centrale</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3032E0E" w14:textId="77777777" w:rsidR="007C4598" w:rsidRDefault="00000000">
            <w:pPr>
              <w:spacing w:after="40"/>
            </w:pPr>
            <w:r>
              <w:rPr>
                <w:b/>
                <w:bCs/>
                <w:color w:val="FFFFFF"/>
                <w:sz w:val="18"/>
                <w:szCs w:val="18"/>
              </w:rPr>
              <w:t>Espansivo</w:t>
            </w:r>
          </w:p>
        </w:tc>
      </w:tr>
      <w:tr w:rsidR="007C4598" w14:paraId="7F801D7F"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762A0F7" w14:textId="77777777" w:rsidR="007C4598" w:rsidRDefault="00000000">
            <w:pPr>
              <w:spacing w:after="40"/>
            </w:pPr>
            <w:r>
              <w:t>Pazienti trattati / anno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DC5FCD3" w14:textId="77777777" w:rsidR="007C4598" w:rsidRDefault="00000000">
            <w:pPr>
              <w:spacing w:after="40"/>
            </w:pPr>
            <w:r>
              <w:t>150.000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F80DD00" w14:textId="77777777" w:rsidR="007C4598" w:rsidRDefault="00000000">
            <w:pPr>
              <w:spacing w:after="40"/>
            </w:pPr>
            <w:r>
              <w:t>170.000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DAB4B9A" w14:textId="77777777" w:rsidR="007C4598" w:rsidRDefault="00000000">
            <w:pPr>
              <w:spacing w:after="40"/>
            </w:pPr>
            <w:r>
              <w:t>195.000</w:t>
            </w:r>
          </w:p>
        </w:tc>
      </w:tr>
      <w:tr w:rsidR="007C4598" w14:paraId="3E502010"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0F88712" w14:textId="77777777" w:rsidR="007C4598" w:rsidRDefault="00000000">
            <w:pPr>
              <w:spacing w:after="40"/>
            </w:pPr>
            <w:r>
              <w:t>Sedute medie per ciclo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962BA00" w14:textId="77777777" w:rsidR="007C4598" w:rsidRDefault="00000000">
            <w:pPr>
              <w:spacing w:after="40"/>
            </w:pPr>
            <w:r>
              <w:t>8</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B863A3D" w14:textId="77777777" w:rsidR="007C4598" w:rsidRDefault="00000000">
            <w:pPr>
              <w:spacing w:after="40"/>
            </w:pPr>
            <w:r>
              <w:t>6</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774FE64" w14:textId="77777777" w:rsidR="007C4598" w:rsidRDefault="00000000">
            <w:pPr>
              <w:spacing w:after="40"/>
            </w:pPr>
            <w:r>
              <w:t>5</w:t>
            </w:r>
          </w:p>
        </w:tc>
      </w:tr>
      <w:tr w:rsidR="007C4598" w14:paraId="273533F3"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2EAE892" w14:textId="77777777" w:rsidR="007C4598" w:rsidRDefault="00000000">
            <w:pPr>
              <w:spacing w:after="40"/>
            </w:pPr>
            <w:r>
              <w:t>Durata seduta (minuti)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8E8EBF4" w14:textId="77777777" w:rsidR="007C4598" w:rsidRDefault="00000000">
            <w:pPr>
              <w:spacing w:after="40"/>
            </w:pPr>
            <w:r>
              <w:t>50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AB0AAFD" w14:textId="77777777" w:rsidR="007C4598" w:rsidRDefault="00000000">
            <w:pPr>
              <w:spacing w:after="40"/>
            </w:pPr>
            <w:r>
              <w:t>50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69C59FE" w14:textId="77777777" w:rsidR="007C4598" w:rsidRDefault="00000000">
            <w:pPr>
              <w:spacing w:after="40"/>
            </w:pPr>
            <w:r>
              <w:t>50</w:t>
            </w:r>
          </w:p>
        </w:tc>
      </w:tr>
      <w:tr w:rsidR="007C4598" w14:paraId="6331BDCA"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F16C07A" w14:textId="77777777" w:rsidR="007C4598" w:rsidRDefault="00000000">
            <w:pPr>
              <w:spacing w:after="40"/>
            </w:pPr>
            <w:r>
              <w:t>Tempo clinico diretto (ore/anno)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6E2E1EF" w14:textId="77777777" w:rsidR="007C4598" w:rsidRDefault="00000000">
            <w:pPr>
              <w:spacing w:after="40"/>
            </w:pPr>
            <w:r>
              <w:t>≈ 1.000.000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90270F5" w14:textId="77777777" w:rsidR="007C4598" w:rsidRDefault="00000000">
            <w:pPr>
              <w:spacing w:after="40"/>
            </w:pPr>
            <w:r>
              <w:t>≈ 847.000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DB42664" w14:textId="77777777" w:rsidR="007C4598" w:rsidRDefault="00000000">
            <w:pPr>
              <w:spacing w:after="40"/>
            </w:pPr>
            <w:r>
              <w:t>≈ 812.000</w:t>
            </w:r>
          </w:p>
        </w:tc>
      </w:tr>
      <w:tr w:rsidR="007C4598" w14:paraId="5FB7FDD1"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64AEB11" w14:textId="77777777" w:rsidR="007C4598" w:rsidRDefault="00000000">
            <w:pPr>
              <w:spacing w:after="40"/>
            </w:pPr>
            <w:r>
              <w:t>Maggiorazione attività indirette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328A83F" w14:textId="77777777" w:rsidR="007C4598" w:rsidRDefault="00000000">
            <w:pPr>
              <w:spacing w:after="40"/>
            </w:pPr>
            <w:r>
              <w:t>+30%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9CB2DC9" w14:textId="77777777" w:rsidR="007C4598" w:rsidRDefault="00000000">
            <w:pPr>
              <w:spacing w:after="40"/>
            </w:pPr>
            <w:r>
              <w:t>+30%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2A85B01" w14:textId="77777777" w:rsidR="007C4598" w:rsidRDefault="00000000">
            <w:pPr>
              <w:spacing w:after="40"/>
            </w:pPr>
            <w:r>
              <w:t>+25%</w:t>
            </w:r>
          </w:p>
        </w:tc>
      </w:tr>
      <w:tr w:rsidR="007C4598" w14:paraId="129795EE"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0912D91" w14:textId="77777777" w:rsidR="007C4598" w:rsidRDefault="00000000">
            <w:pPr>
              <w:spacing w:after="40"/>
            </w:pPr>
            <w:r>
              <w:t>Tempo complessivo (ore/anno)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C8DEA11" w14:textId="77777777" w:rsidR="007C4598" w:rsidRDefault="00000000">
            <w:pPr>
              <w:spacing w:after="40"/>
            </w:pPr>
            <w:r>
              <w:t>≈ 1.300.000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B597892" w14:textId="77777777" w:rsidR="007C4598" w:rsidRDefault="00000000">
            <w:pPr>
              <w:spacing w:after="40"/>
            </w:pPr>
            <w:r>
              <w:t>≈ 1.101.000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273768C" w14:textId="77777777" w:rsidR="007C4598" w:rsidRDefault="00000000">
            <w:pPr>
              <w:spacing w:after="40"/>
            </w:pPr>
            <w:r>
              <w:t>≈ 1.015.000</w:t>
            </w:r>
          </w:p>
        </w:tc>
      </w:tr>
      <w:tr w:rsidR="007C4598" w14:paraId="4A4D7CB9"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C5F805C" w14:textId="77777777" w:rsidR="007C4598" w:rsidRDefault="00000000">
            <w:pPr>
              <w:spacing w:after="40"/>
            </w:pPr>
            <w:r>
              <w:t>Monte ore produttivo per FTE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6CC2C67" w14:textId="77777777" w:rsidR="007C4598" w:rsidRDefault="00000000">
            <w:pPr>
              <w:spacing w:after="40"/>
            </w:pPr>
            <w:r>
              <w:t>1.500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1D0433B" w14:textId="77777777" w:rsidR="007C4598" w:rsidRDefault="00000000">
            <w:pPr>
              <w:spacing w:after="40"/>
            </w:pPr>
            <w:r>
              <w:t>1.550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DB02A24" w14:textId="77777777" w:rsidR="007C4598" w:rsidRDefault="00000000">
            <w:pPr>
              <w:spacing w:after="40"/>
            </w:pPr>
            <w:r>
              <w:t>1.600</w:t>
            </w:r>
          </w:p>
        </w:tc>
      </w:tr>
      <w:tr w:rsidR="007C4598" w14:paraId="06243FCE"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9B6904A" w14:textId="77777777" w:rsidR="007C4598" w:rsidRDefault="00000000">
            <w:pPr>
              <w:spacing w:after="40"/>
            </w:pPr>
            <w:r>
              <w:t>Fabbisogno FTE clinici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BCA1A83" w14:textId="77777777" w:rsidR="007C4598" w:rsidRDefault="00000000">
            <w:pPr>
              <w:spacing w:after="40"/>
            </w:pPr>
            <w:r>
              <w:t>≈ 740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367CCD5" w14:textId="77777777" w:rsidR="007C4598" w:rsidRDefault="00000000">
            <w:pPr>
              <w:spacing w:after="40"/>
            </w:pPr>
            <w:r>
              <w:t>≈ 715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029FEE4" w14:textId="77777777" w:rsidR="007C4598" w:rsidRDefault="00000000">
            <w:pPr>
              <w:spacing w:after="40"/>
            </w:pPr>
            <w:r>
              <w:t>≈ 700</w:t>
            </w:r>
          </w:p>
        </w:tc>
      </w:tr>
      <w:tr w:rsidR="007C4598" w14:paraId="5D18C3E1"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7B0868C" w14:textId="77777777" w:rsidR="007C4598" w:rsidRDefault="00000000">
            <w:pPr>
              <w:spacing w:after="40"/>
            </w:pPr>
            <w:r>
              <w:t>Organico in testa (unità)</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A2671FE" w14:textId="77777777" w:rsidR="007C4598" w:rsidRDefault="00000000">
            <w:pPr>
              <w:spacing w:after="40"/>
            </w:pPr>
            <w:r>
              <w:t>880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FEFDB89" w14:textId="77777777" w:rsidR="007C4598" w:rsidRDefault="00000000">
            <w:pPr>
              <w:spacing w:after="40"/>
            </w:pPr>
            <w:r>
              <w:t>840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FC614CD" w14:textId="77777777" w:rsidR="007C4598" w:rsidRDefault="00000000">
            <w:pPr>
              <w:spacing w:after="40"/>
            </w:pPr>
            <w:r>
              <w:t>800</w:t>
            </w:r>
          </w:p>
        </w:tc>
      </w:tr>
      <w:tr w:rsidR="007C4598" w14:paraId="32D8D215"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A1F6C8D" w14:textId="77777777" w:rsidR="007C4598" w:rsidRDefault="00000000">
            <w:pPr>
              <w:spacing w:after="40"/>
            </w:pPr>
            <w:r>
              <w:t>Costo unitario lordo / FTE (€)</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2942095" w14:textId="77777777" w:rsidR="007C4598" w:rsidRDefault="00000000">
            <w:pPr>
              <w:spacing w:after="40"/>
            </w:pPr>
            <w:r>
              <w:t>50.000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7B2D948" w14:textId="77777777" w:rsidR="007C4598" w:rsidRDefault="00000000">
            <w:pPr>
              <w:spacing w:after="40"/>
            </w:pPr>
            <w:r>
              <w:t>44.000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346813D" w14:textId="77777777" w:rsidR="007C4598" w:rsidRDefault="00000000">
            <w:pPr>
              <w:spacing w:after="40"/>
            </w:pPr>
            <w:r>
              <w:t>38.000</w:t>
            </w:r>
          </w:p>
        </w:tc>
      </w:tr>
      <w:tr w:rsidR="007C4598" w14:paraId="636C7A02"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3005010" w14:textId="77777777" w:rsidR="007C4598" w:rsidRDefault="00000000">
            <w:pPr>
              <w:spacing w:after="40"/>
            </w:pPr>
            <w:r>
              <w:rPr>
                <w:b/>
                <w:bCs/>
              </w:rPr>
              <w:t>Costo personale clinico apicale (mln/anno)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E0C46E2" w14:textId="77777777" w:rsidR="007C4598" w:rsidRDefault="00000000">
            <w:pPr>
              <w:spacing w:after="40"/>
            </w:pPr>
            <w:r>
              <w:rPr>
                <w:b/>
                <w:bCs/>
              </w:rPr>
              <w:t>≈ 37,0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8083A79" w14:textId="77777777" w:rsidR="007C4598" w:rsidRDefault="00000000">
            <w:pPr>
              <w:spacing w:after="40"/>
            </w:pPr>
            <w:r>
              <w:rPr>
                <w:b/>
                <w:bCs/>
              </w:rPr>
              <w:t>≈ 31,5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EB7FCDD" w14:textId="77777777" w:rsidR="007C4598" w:rsidRDefault="00000000">
            <w:pPr>
              <w:spacing w:after="40"/>
            </w:pPr>
            <w:r>
              <w:rPr>
                <w:b/>
                <w:bCs/>
              </w:rPr>
              <w:t>≈ 26,6</w:t>
            </w:r>
          </w:p>
        </w:tc>
      </w:tr>
    </w:tbl>
    <w:p w14:paraId="539182C1" w14:textId="77777777" w:rsidR="007C4598" w:rsidRDefault="007C4598"/>
    <w:p w14:paraId="105212C3" w14:textId="77777777" w:rsidR="007C4598" w:rsidRDefault="00000000">
      <w:pPr>
        <w:jc w:val="both"/>
      </w:pPr>
      <w:r>
        <w:rPr>
          <w:b/>
          <w:bCs/>
        </w:rPr>
        <w:t>Tabella 7.1.2</w:t>
      </w:r>
      <w:r>
        <w:rPr>
          <w:i/>
          <w:iCs/>
        </w:rPr>
        <w:t xml:space="preserve"> — Costruzione dal basso del costo del personale clinico apicale (Psicologo di Base) a regime, per scenario. Lo scenario conservativo è il prudenzialmente più oneroso: maggior numero di sedute, maggior costo unitario, dimensionamento al limite superiore. Valori arrotondati; i totali non sono la somma aritmetica esatta dei fattori per effetto degli arrotondamenti intermedi.</w:t>
      </w:r>
    </w:p>
    <w:p w14:paraId="37A684DA" w14:textId="77777777" w:rsidR="007C4598" w:rsidRDefault="007C4598"/>
    <w:p w14:paraId="0A437A03" w14:textId="77777777" w:rsidR="007C4598" w:rsidRDefault="00000000">
      <w:pPr>
        <w:jc w:val="both"/>
      </w:pPr>
      <w:r>
        <w:t>Il profilo temporale del costo del personale clinico apicale segue la curva di adozione che il modello del progetto adotta, e che porta la copertura del servizio dal trenta per cento circa nel primo anno al pieno regime a partire dal quinto, con un valore intermedio dell’ordine del sessanta per cento al terzo anno. Ne consegue che il costo del personale clinico apicale, lungi dal gravare per intero sin dal primo esercizio, cresce progressivamente con l’estensione della copertura e con l’assunzione e la formazione dei professionisti: esso si colloca, nello scenario centrale, dell’ordine di nove-dieci milioni di euro nel primo anno, sale a circa diciannove milioni al terzo e raggiunge il valore a regime di trentuno milioni e mezzo dal quinto anno in avanti. Questa progressione, che la sezione 7.5 ricomporrà con quella delle altre voci nel profilo temporale del costo diretto complessivo, è ciò che consente alla riforma di non richiedere l’intero stanziamento sin dall’avvio, ma di accompagnarne la crescita con l’estensione del servizio.</w:t>
      </w:r>
    </w:p>
    <w:p w14:paraId="59AC7E42" w14:textId="77777777" w:rsidR="007C4598" w:rsidRDefault="007C4598"/>
    <w:p w14:paraId="49749A85" w14:textId="77777777" w:rsidR="007C4598" w:rsidRDefault="00000000">
      <w:pPr>
        <w:jc w:val="both"/>
      </w:pPr>
      <w:r>
        <w:t>Sulla base della ricostruzione del costo del personale clinico apicale è possibile formulare una prima previsione falsificabile, che le Parti undicesima e quindicesima sottoporranno a verifica nel sistema di monitoraggio regionale. A regime e a piena copertura, il costo del personale clinico apicale del servizio non dovrebbe eccedere i trentasette milioni di euro annui nello scenario prudenzialmente più oneroso, né collocarsi al di sotto dei ventisei milioni e seicentomila euro nello scenario efficiente, e dovrebbe attestarsi attorno al valore centrale di trentuno milioni e mezzo nell’ipotesi contrattuale mista più probabile. La previsione è enunciata in forma di banda, con indicazione degli estremi il cui superamento ne segnalerebbe la confutazione, e sarà verificata sui dati effettivi del costo del personale del servizio a regime, in coerenza con il vincolo di falsificabilità che governa l’opera.</w:t>
      </w:r>
    </w:p>
    <w:p w14:paraId="1958B36A"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5779"/>
        <w:gridCol w:w="3247"/>
      </w:tblGrid>
      <w:tr w:rsidR="007C4598" w14:paraId="2505041F" w14:textId="77777777">
        <w:trPr>
          <w:gridAfter w:val="1"/>
          <w:wAfter w:w="360" w:type="dxa"/>
        </w:trPr>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AE7ADD7" w14:textId="77777777" w:rsidR="007C4598" w:rsidRDefault="00000000">
            <w:pPr>
              <w:spacing w:after="40"/>
            </w:pPr>
            <w:r>
              <w:rPr>
                <w:b/>
                <w:bCs/>
                <w:color w:val="FFFFFF"/>
                <w:sz w:val="18"/>
                <w:szCs w:val="18"/>
              </w:rPr>
              <w:t>7.1.2 — Profilo di costo dell’apice: lo Psicologo di Base</w:t>
            </w:r>
          </w:p>
        </w:tc>
      </w:tr>
      <w:tr w:rsidR="007C4598" w14:paraId="26B89059"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C7BEC35" w14:textId="77777777" w:rsidR="007C4598" w:rsidRDefault="00000000">
            <w:pPr>
              <w:spacing w:after="40"/>
            </w:pPr>
            <w:r>
              <w:rPr>
                <w:b/>
                <w:bCs/>
              </w:rPr>
              <w:t>Classe di imputazione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9218A04" w14:textId="77777777" w:rsidR="007C4598" w:rsidRDefault="00000000">
            <w:pPr>
              <w:spacing w:after="40"/>
            </w:pPr>
            <w:r>
              <w:t>Prima classe: figura di nuova istituzione, costo interamente incrementale e di cassa. Nucleo del costo diretto della riforma.</w:t>
            </w:r>
          </w:p>
        </w:tc>
      </w:tr>
      <w:tr w:rsidR="007C4598" w14:paraId="038F10B0"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1867875" w14:textId="77777777" w:rsidR="007C4598" w:rsidRDefault="00000000">
            <w:pPr>
              <w:spacing w:after="40"/>
            </w:pPr>
            <w:r>
              <w:rPr>
                <w:b/>
                <w:bCs/>
              </w:rPr>
              <w:t>Grandezza fisica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EC7D6F9" w14:textId="77777777" w:rsidR="007C4598" w:rsidRDefault="00000000">
            <w:pPr>
              <w:spacing w:after="40"/>
            </w:pPr>
            <w:r>
              <w:t>Tempo complessivo a regime ≈ 1,1 milioni di ore/anno (centrale), da ≈ 1,0 a ≈ 1,3 milioni nei tre scenari; fabbisogno ≈ 700-740 FTE clinici, distribuiti su 800-880 professionisti in testa.</w:t>
            </w:r>
          </w:p>
        </w:tc>
      </w:tr>
      <w:tr w:rsidR="007C4598" w14:paraId="05C40261"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27FD794" w14:textId="77777777" w:rsidR="007C4598" w:rsidRDefault="00000000">
            <w:pPr>
              <w:spacing w:after="40"/>
            </w:pPr>
            <w:r>
              <w:rPr>
                <w:b/>
                <w:bCs/>
              </w:rPr>
              <w:t>Costo unitario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D7DFF9E" w14:textId="77777777" w:rsidR="007C4598" w:rsidRDefault="00000000">
            <w:pPr>
              <w:spacing w:after="40"/>
            </w:pPr>
            <w:r>
              <w:t>Costo lordo datore per FTE: 38.000 € (espansivo, modello convenzionale) · 44.000 € (centrale, modello misto) · 50.000 € (conservativo, maggiore ricorso a dipendenza e dirigenza).</w:t>
            </w:r>
          </w:p>
        </w:tc>
      </w:tr>
      <w:tr w:rsidR="007C4598" w14:paraId="05B20AEC"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B9BFCA2" w14:textId="77777777" w:rsidR="007C4598" w:rsidRDefault="00000000">
            <w:pPr>
              <w:spacing w:after="40"/>
            </w:pPr>
            <w:r>
              <w:rPr>
                <w:b/>
                <w:bCs/>
              </w:rPr>
              <w:t>Costo a regime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A37B1F0" w14:textId="77777777" w:rsidR="007C4598" w:rsidRDefault="00000000">
            <w:pPr>
              <w:spacing w:after="40"/>
            </w:pPr>
            <w:r>
              <w:t>≈ 31,5 mln/anno (centrale); intervallo ≈ 26,6-37,0 mln/anno. Voce di gran lunga preponderante del costo diretto.</w:t>
            </w:r>
          </w:p>
        </w:tc>
      </w:tr>
      <w:tr w:rsidR="007C4598" w14:paraId="64DE6608"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A59C532" w14:textId="77777777" w:rsidR="007C4598" w:rsidRDefault="00000000">
            <w:pPr>
              <w:spacing w:after="40"/>
            </w:pPr>
            <w:r>
              <w:rPr>
                <w:b/>
                <w:bCs/>
              </w:rPr>
              <w:t>Profilo temporale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0EED141" w14:textId="77777777" w:rsidR="007C4598" w:rsidRDefault="00000000">
            <w:pPr>
              <w:spacing w:after="40"/>
            </w:pPr>
            <w:r>
              <w:t>≈ 9-10 mln (anno 1, copertura 30%) · ≈ 19 mln (anno 3, copertura 60%) · ≈ 31,5 mln (dal 5° anno, pieno regime).</w:t>
            </w:r>
          </w:p>
        </w:tc>
      </w:tr>
      <w:tr w:rsidR="007C4598" w14:paraId="084D0BC2"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2FD1C52" w14:textId="77777777" w:rsidR="007C4598" w:rsidRDefault="00000000">
            <w:pPr>
              <w:spacing w:after="40"/>
            </w:pPr>
            <w:r>
              <w:rPr>
                <w:b/>
                <w:bCs/>
              </w:rPr>
              <w:t>Previsione falsificabile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3344BD0" w14:textId="77777777" w:rsidR="007C4598" w:rsidRDefault="00000000">
            <w:pPr>
              <w:spacing w:after="40"/>
            </w:pPr>
            <w:r>
              <w:t>Costo del personale clinico apicale a regime non eccedente 37 mln né inferiore a 26,6 mln; valore atteso ≈ 31,5 mln. Verifica nel sistema di monitoraggio regionale.</w:t>
            </w:r>
          </w:p>
        </w:tc>
      </w:tr>
    </w:tbl>
    <w:p w14:paraId="0EC8D6DE" w14:textId="77777777" w:rsidR="007C4598" w:rsidRDefault="007C4598"/>
    <w:p w14:paraId="49E7AE66" w14:textId="77777777" w:rsidR="007C4598" w:rsidRDefault="00000000">
      <w:pPr>
        <w:pStyle w:val="Titolo3"/>
        <w:spacing w:before="200" w:after="100"/>
      </w:pPr>
      <w:r>
        <w:rPr>
          <w:color w:val="16264B"/>
          <w:sz w:val="22"/>
          <w:szCs w:val="22"/>
        </w:rPr>
        <w:t>7.1.3  Il secondo livello: il costo-opportunità del tempo clinico di medico, pediatra e neurologo</w:t>
      </w:r>
    </w:p>
    <w:p w14:paraId="581A4CA4" w14:textId="77777777" w:rsidR="007C4598" w:rsidRDefault="007C4598"/>
    <w:p w14:paraId="03FB200D" w14:textId="77777777" w:rsidR="007C4598" w:rsidRDefault="00000000">
      <w:pPr>
        <w:jc w:val="both"/>
      </w:pPr>
      <w:r>
        <w:t xml:space="preserve">Le figure cliniche di primo contatto del secondo livello della cascata — il medico di medicina generale, il pediatra di libera scelta e il neurologo — appartengono alla seconda classe di imputazione, e il loro coinvolgimento nella riforma genera non un esborso di cassa, ma un costo-opportunità derivante dal </w:t>
      </w:r>
      <w:proofErr w:type="spellStart"/>
      <w:r>
        <w:t>riorientamento</w:t>
      </w:r>
      <w:proofErr w:type="spellEnd"/>
      <w:r>
        <w:t xml:space="preserve"> di una frazione del loro tempo verso il coordinamento con lo Psicologo di Base. La corretta trattazione di tale costo è uno dei punti in cui il rigore metodologico della presente Parte si manifesta con maggiore evidenza, perché l’errore di registrare come esborso nuovo ciò che è un </w:t>
      </w:r>
      <w:proofErr w:type="spellStart"/>
      <w:r>
        <w:t>riorientamento</w:t>
      </w:r>
      <w:proofErr w:type="spellEnd"/>
      <w:r>
        <w:t xml:space="preserve"> di tempo già pagato gonfierebbe il costo diretto e ne falserebbe il confronto con i risparmi. La presente sezione tratta perciò il costo del secondo livello come costo-opportunità nella prospettiva sociale, lo quantifica prudenzialmente, e ne segnala la larga compensazione.</w:t>
      </w:r>
    </w:p>
    <w:p w14:paraId="5409387C" w14:textId="77777777" w:rsidR="007C4598" w:rsidRDefault="007C4598"/>
    <w:p w14:paraId="00C8DBDF" w14:textId="77777777" w:rsidR="007C4598" w:rsidRDefault="00000000">
      <w:pPr>
        <w:jc w:val="both"/>
      </w:pPr>
      <w:r>
        <w:t>Il medico di medicina generale, che la Parte terza ha collocato accanto allo Psicologo di Base come fulcro operativo della riforma, è già retribuito dal sistema secondo l’accordo collettivo nazionale che ne disciplina il rapporto, e la riforma non aggiunge alcuna remunerazione nuova al suo compenso, ma riorienta una frazione del suo tempo verso il coordinamento con lo Psicologo di Base nella coppia clinica.</w:t>
      </w:r>
      <w:r>
        <w:rPr>
          <w:color w:val="555555"/>
          <w:sz w:val="16"/>
          <w:szCs w:val="16"/>
          <w:vertAlign w:val="superscript"/>
        </w:rPr>
        <w:t>[9]</w:t>
      </w:r>
      <w:r>
        <w:t xml:space="preserve"> Tale frazione di tempo non è un’aggiunta netta al carico del medico, ma in larga parte una sostituzione: il medico di medicina generale dedica oggi, nell’assetto privo di una figura psicologica, una quota non trascurabile del proprio tempo alla gestione solitaria della domanda di disagio psichico comune, che esercita con i mezzi di cui dispone — la prescrizione e l’invio — e che la coppia clinica gli consente di trasferire allo Psicologo di Base. Il tempo che la coppia clinica richiede al medico per il coordinamento è perciò in larga misura compensato dal tempo che essa gli libera, sottraendogli la gestione di una domanda che lo Psicologo di Base assorbe.</w:t>
      </w:r>
    </w:p>
    <w:p w14:paraId="34A79FED" w14:textId="77777777" w:rsidR="007C4598" w:rsidRDefault="007C4598"/>
    <w:p w14:paraId="1DAF1D7E" w14:textId="77777777" w:rsidR="007C4598" w:rsidRDefault="00000000">
      <w:pPr>
        <w:jc w:val="both"/>
      </w:pPr>
      <w:r>
        <w:t>La quantificazione prudenziale del costo-opportunità netto del secondo livello procede stimando il tempo aggiuntivo netto che la coppia clinica richiede alle figure di primo contatto, una volta scomputato il tempo liberato. Assumendo che ciascun episodio di presa in carico condivisa richieda al medico di medicina generale, al pediatra o al neurologo un tempo netto di coordinamento dell’ordine di sette minuti — comprensivi della segnalazione, della condivisione delle informazioni cliniche e del raccordo sul percorso, al netto del tempo che la coppia clinica sottrae alla gestione solitaria — e applicando tale tempo ai centosettantamila episodi annui dello scenario centrale, il tempo aggiuntivo netto complessivo si colloca dell’ordine di ventimila ore annue. Valorizzando tale tempo al costo-opportunità orario delle figure di primo contatto, dell’ordine di quaranta-cinquanta euro l’ora, il costo-opportunità netto del secondo livello si colloca, nella prospettiva sociale, dell’ordine di ottocentomila-un milione di euro annui a regime.</w:t>
      </w:r>
      <w:r>
        <w:rPr>
          <w:color w:val="555555"/>
          <w:sz w:val="16"/>
          <w:szCs w:val="16"/>
          <w:vertAlign w:val="superscript"/>
        </w:rPr>
        <w:t>[11]</w:t>
      </w:r>
    </w:p>
    <w:p w14:paraId="620B3A4F" w14:textId="77777777" w:rsidR="007C4598" w:rsidRDefault="007C4598"/>
    <w:p w14:paraId="63C8CE7D" w14:textId="77777777" w:rsidR="007C4598" w:rsidRDefault="00000000">
      <w:pPr>
        <w:jc w:val="both"/>
      </w:pPr>
      <w:r>
        <w:t>Questa grandezza, che la prospettiva sociale registra come costo-opportunità, non è un esborso di cassa e non grava sul bilancio del Servizio Sanitario Regionale, che continua a retribuire le figure di primo contatto secondo i rispettivi accordi indipendentemente dalla riforma. Essa è inoltre, come si è osservato, una stima prudenzialmente cautelativa, perché assume che il tempo di coordinamento sia interamente aggiuntivo e non già in parte compensato dal tempo liberato, laddove l’evidenza sull’efficacia della coppia clinica suggerisce che, a regime, il bilancio netto del tempo delle figure di primo contatto possa risultare addirittura favorevole, liberando più tempo di quanto ne assorba. La presente Parte adotta tuttavia, in ossequio al principio di prudenza, la stima cautelativa del costo-opportunità netto positivo, e la segnala separatamente, senza sommarla all’esborso di cassa del costo diretto, affinché il decisore disponga di entrambe le grandezze nella loro distinta natura.</w:t>
      </w:r>
    </w:p>
    <w:p w14:paraId="29A67537" w14:textId="77777777" w:rsidR="007C4598" w:rsidRDefault="007C4598"/>
    <w:p w14:paraId="71EB96B8" w14:textId="77777777" w:rsidR="007C4598" w:rsidRDefault="00000000">
      <w:pPr>
        <w:jc w:val="both"/>
      </w:pPr>
      <w:r>
        <w:t>La medesima logica si applica, con le specificità di ciascuna figura, al pediatra di libera scelta e al neurologo. Il pediatra, che la Parte terza ha collocato come presidio dell’età evolutiva, riorienta verso la coppia clinica orientata al sostegno alla genitorialità una frazione del proprio tempo, in larga parte compensata dal tempo che la disponibilità di una risposta psicologica gli libera nella gestione del disagio dell’età evolutiva. Il neurologo, che presidia il confine tra l’organico e il funzionale, riorienta verso il raccordo con lo Psicologo di Base una frazione del tempo dedicato alla domanda funzionale, in larga parte compensata dalla riduzione delle valutazioni reiterate per condizioni a prevalente fondamento psicologico. In entrambi i casi, il costo-opportunità netto è ricompreso nella stima complessiva del secondo livello, dell’ordine di ottocentomila-un milione di euro annui nella prospettiva sociale, e non genera alcun esborso di cassa per il Servizio Sanitario Regionale.</w:t>
      </w:r>
    </w:p>
    <w:p w14:paraId="76020594"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5688"/>
        <w:gridCol w:w="3338"/>
      </w:tblGrid>
      <w:tr w:rsidR="007C4598" w14:paraId="0FE8821A" w14:textId="77777777">
        <w:trPr>
          <w:gridAfter w:val="1"/>
          <w:wAfter w:w="360" w:type="dxa"/>
        </w:trPr>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69CFED1" w14:textId="77777777" w:rsidR="007C4598" w:rsidRDefault="00000000">
            <w:pPr>
              <w:spacing w:after="40"/>
            </w:pPr>
            <w:r>
              <w:rPr>
                <w:b/>
                <w:bCs/>
                <w:color w:val="FFFFFF"/>
                <w:sz w:val="18"/>
                <w:szCs w:val="18"/>
              </w:rPr>
              <w:t>7.1.3 — Profilo di costo del secondo livello: medico, pediatra, neurologo</w:t>
            </w:r>
          </w:p>
        </w:tc>
      </w:tr>
      <w:tr w:rsidR="007C4598" w14:paraId="0220E0A3"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5D3E1AE" w14:textId="77777777" w:rsidR="007C4598" w:rsidRDefault="00000000">
            <w:pPr>
              <w:spacing w:after="40"/>
            </w:pPr>
            <w:r>
              <w:rPr>
                <w:b/>
                <w:bCs/>
              </w:rPr>
              <w:t>Classe di imputazione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C85BFEF" w14:textId="77777777" w:rsidR="007C4598" w:rsidRDefault="00000000">
            <w:pPr>
              <w:spacing w:after="40"/>
            </w:pPr>
            <w:r>
              <w:t xml:space="preserve">Seconda classe: figure già retribuite dal sistema. Costo-opportunità da </w:t>
            </w:r>
            <w:proofErr w:type="spellStart"/>
            <w:r>
              <w:t>riorientamento</w:t>
            </w:r>
            <w:proofErr w:type="spellEnd"/>
            <w:r>
              <w:t xml:space="preserve"> di tempo, senza esborso di cassa aggiuntivo per il Servizio Sanitario Regionale.</w:t>
            </w:r>
          </w:p>
        </w:tc>
      </w:tr>
      <w:tr w:rsidR="007C4598" w14:paraId="30751D10"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2567228" w14:textId="77777777" w:rsidR="007C4598" w:rsidRDefault="00000000">
            <w:pPr>
              <w:spacing w:after="40"/>
            </w:pPr>
            <w:r>
              <w:rPr>
                <w:b/>
                <w:bCs/>
              </w:rPr>
              <w:t>Natura del coinvolgimento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9663111" w14:textId="77777777" w:rsidR="007C4598" w:rsidRDefault="00000000">
            <w:pPr>
              <w:spacing w:after="40"/>
            </w:pPr>
            <w:proofErr w:type="spellStart"/>
            <w:r>
              <w:t>Riorientamento</w:t>
            </w:r>
            <w:proofErr w:type="spellEnd"/>
            <w:r>
              <w:t xml:space="preserve"> di una frazione di tempo verso il coordinamento nella coppia clinica, in larga parte compensato dal tempo liberato dall’assorbimento della domanda da parte dello Psicologo di Base.</w:t>
            </w:r>
          </w:p>
        </w:tc>
      </w:tr>
      <w:tr w:rsidR="007C4598" w14:paraId="4E468F44"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7E8B805" w14:textId="77777777" w:rsidR="007C4598" w:rsidRDefault="00000000">
            <w:pPr>
              <w:spacing w:after="40"/>
            </w:pPr>
            <w:r>
              <w:rPr>
                <w:b/>
                <w:bCs/>
              </w:rPr>
              <w:t>Grandezza fisica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5E85D0D" w14:textId="77777777" w:rsidR="007C4598" w:rsidRDefault="00000000">
            <w:pPr>
              <w:spacing w:after="40"/>
            </w:pPr>
            <w:r>
              <w:t>Tempo netto di coordinamento ≈ 7 minuti per episodio condiviso; ≈ 20.000 ore/anno complessive a regime (scenario centrale, al netto del tempo liberato).</w:t>
            </w:r>
          </w:p>
        </w:tc>
      </w:tr>
      <w:tr w:rsidR="007C4598" w14:paraId="730C5661"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3F311DA" w14:textId="77777777" w:rsidR="007C4598" w:rsidRDefault="00000000">
            <w:pPr>
              <w:spacing w:after="40"/>
            </w:pPr>
            <w:r>
              <w:rPr>
                <w:b/>
                <w:bCs/>
              </w:rPr>
              <w:t>Costo-opportunità (prospettiva sociale)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F008C1F" w14:textId="77777777" w:rsidR="007C4598" w:rsidRDefault="00000000">
            <w:pPr>
              <w:spacing w:after="40"/>
            </w:pPr>
            <w:r>
              <w:t>≈ 0,8-1,0 mln/anno a regime, valorizzato a 40-50 €/h. Stima prudenzialmente cautelativa: a regime il bilancio netto del tempo può risultare favorevole.</w:t>
            </w:r>
          </w:p>
        </w:tc>
      </w:tr>
      <w:tr w:rsidR="007C4598" w14:paraId="3B407634"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B5AAE44" w14:textId="77777777" w:rsidR="007C4598" w:rsidRDefault="00000000">
            <w:pPr>
              <w:spacing w:after="40"/>
            </w:pPr>
            <w:r>
              <w:rPr>
                <w:b/>
                <w:bCs/>
              </w:rPr>
              <w:t>Costo di cassa (prospettiva di bilancio)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0DC3741" w14:textId="77777777" w:rsidR="007C4598" w:rsidRDefault="00000000">
            <w:pPr>
              <w:spacing w:after="40"/>
            </w:pPr>
            <w:r>
              <w:t>Nullo: le figure sono retribuite secondo i rispettivi accordi indipendentemente dalla riforma. Non sommato al costo diretto.</w:t>
            </w:r>
          </w:p>
        </w:tc>
      </w:tr>
    </w:tbl>
    <w:p w14:paraId="33038E92" w14:textId="77777777" w:rsidR="007C4598" w:rsidRDefault="007C4598"/>
    <w:p w14:paraId="2A813D2C" w14:textId="77777777" w:rsidR="007C4598" w:rsidRDefault="00000000">
      <w:pPr>
        <w:pStyle w:val="Titolo3"/>
        <w:spacing w:before="200" w:after="100"/>
      </w:pPr>
      <w:r>
        <w:rPr>
          <w:color w:val="16264B"/>
          <w:sz w:val="22"/>
          <w:szCs w:val="22"/>
        </w:rPr>
        <w:t>7.1.4  Il terzo livello: care manager, psichiatra consulente e ulteriori figure socio-sanitarie</w:t>
      </w:r>
    </w:p>
    <w:p w14:paraId="3B149B6C" w14:textId="77777777" w:rsidR="007C4598" w:rsidRDefault="007C4598"/>
    <w:p w14:paraId="209B614B" w14:textId="77777777" w:rsidR="007C4598" w:rsidRDefault="00000000">
      <w:pPr>
        <w:jc w:val="both"/>
      </w:pPr>
      <w:r>
        <w:t>Il terzo livello della cascata raccoglie le ulteriori figure sanitarie e socio-sanitarie la cui connessione con lo Psicologo di Base è mediata ma essenziale alla continuità del percorso, e che la terza classe di imputazione identifica come figure a costo marginale o assorbito dalla dotazione organica che il sistema sta già realizzando in attuazione del modello di assistenza territoriale. La trattazione del costo di questo livello richiede particolare cautela, perché esso dipende in misura determinante dal grado di realizzazione della dotazione che la programmazione territoriale ha previsto, e la stima va perciò ancorata a tale dipendenza ed espressa in forma condizionale.</w:t>
      </w:r>
    </w:p>
    <w:p w14:paraId="03F032AC" w14:textId="77777777" w:rsidR="007C4598" w:rsidRDefault="007C4598"/>
    <w:p w14:paraId="30D49B58" w14:textId="77777777" w:rsidR="007C4598" w:rsidRDefault="00000000">
      <w:pPr>
        <w:jc w:val="both"/>
      </w:pPr>
      <w:r>
        <w:t>L’infermiere di famiglia e di comunità, che la Parte terza ha collocato come care manager del percorso e che la normativa nazionale di riforma dell’assistenza territoriale ha istituito quale figura di prossimità della comunità, costituisce il caso emblematico di questa classe.</w:t>
      </w:r>
      <w:r>
        <w:rPr>
          <w:color w:val="555555"/>
          <w:sz w:val="16"/>
          <w:szCs w:val="16"/>
          <w:vertAlign w:val="superscript"/>
        </w:rPr>
        <w:t>[12]</w:t>
      </w:r>
      <w:r>
        <w:t xml:space="preserve"> La funzione di care manager, che la letteratura sul modello di assistenza collaborativa identifica come uno dei componenti più solidi ed efficaci del modello, si esercita attraverso quote di tempo che la programmazione territoriale ha già previsto e in parte finanziato nell’ambito della dotazione degli infermieri di famiglia e di comunità.</w:t>
      </w:r>
      <w:r>
        <w:rPr>
          <w:color w:val="555555"/>
          <w:sz w:val="16"/>
          <w:szCs w:val="16"/>
          <w:vertAlign w:val="superscript"/>
        </w:rPr>
        <w:t>[13]</w:t>
      </w:r>
      <w:r>
        <w:t xml:space="preserve"> Ne consegue che il costo incrementale della funzione di care manager per la riforma dipende dal grado di realizzazione di tale dotazione: ove la dotazione prevista sia pienamente realizzata, la funzione di care manager dedicata al percorso psicologico è assorbita dall’organico esistente e il suo costo incrementale per la riforma è prossimo allo zero; ove la dotazione sia solo parzialmente realizzata, la riforma deve finanziare una quota dedicata di tempo, il cui costo incrementale si colloca, prudenzialmente, dell’ordine di ottocentomila-un milione e mezzo di euro annui a regime.</w:t>
      </w:r>
    </w:p>
    <w:p w14:paraId="675854E9" w14:textId="77777777" w:rsidR="007C4598" w:rsidRDefault="007C4598"/>
    <w:p w14:paraId="42BE5599" w14:textId="77777777" w:rsidR="007C4598" w:rsidRDefault="00000000">
      <w:pPr>
        <w:jc w:val="both"/>
      </w:pPr>
      <w:r>
        <w:t>La trattazione adotta, in ossequio al principio di prudenza, l’ipotesi intermedia di una realizzazione parziale della dotazione, e registra perciò un costo incrementale del care management dedicato dell’ordine di un milione di euro annui a regime nello scenario centrale, con esplicita segnalazione che tale costo si annulla ove la dotazione del modello territoriale sia pienamente realizzata e sale al limite superiore ove la realizzazione sia minima. Questa registrazione condizionale, lungi dall’essere un’incertezza da occultare, è la rappresentazione fedele di una grandezza che dipende da una variabile esterna alla riforma, ossia dal grado di attuazione del modello territoriale, e la sua esplicitazione consente al decisore di valutare il costo della riforma in funzione del contesto in cui essa si innesta.</w:t>
      </w:r>
    </w:p>
    <w:p w14:paraId="1AE69817" w14:textId="77777777" w:rsidR="007C4598" w:rsidRDefault="007C4598"/>
    <w:p w14:paraId="1B65651A" w14:textId="77777777" w:rsidR="007C4598" w:rsidRDefault="00000000">
      <w:pPr>
        <w:jc w:val="both"/>
      </w:pPr>
      <w:r>
        <w:t>Lo psichiatra consulente, che la Parte terza ha collocato nel terzo livello con una funzione ridefinita rispetto all’assetto attuale, appartiene anch’esso alla terza classe di imputazione, e il suo contributo alla riforma si esercita attraverso tempo di consulenza e di supervisione organizzata della casistica gestita al primo livello, che la riforma non aggiunge come remunerazione nuova, ma riorienta dall’attività dei Centri di Salute Mentale esistenti. Poiché la riforma alleggerisce i Centri di Salute Mentale della domanda di disagio comune che oggi vi affluisce impropriamente, restituendoli alla loro funzione propria di presa in carico della psicopatologia grave, il tempo che lo psichiatra dedica alla consulenza del primo livello è in larga parte compensato dal tempo che la riforma gli libera, e il suo costo incrementale per la riforma è perciò marginale o nullo. La trattazione registra il costo dello psichiatra consulente come costo-opportunità marginale nella prospettiva sociale, e come costo di cassa nullo nella prospettiva di bilancio, in coerenza con la natura della sua partecipazione.</w:t>
      </w:r>
    </w:p>
    <w:p w14:paraId="1BE45982" w14:textId="77777777" w:rsidR="007C4598" w:rsidRDefault="007C4598"/>
    <w:p w14:paraId="224A9982" w14:textId="77777777" w:rsidR="007C4598" w:rsidRDefault="00000000">
      <w:pPr>
        <w:jc w:val="both"/>
      </w:pPr>
      <w:r>
        <w:t>Le ulteriori figure sanitarie e socio-sanitarie che la Parte terza ha collocato nel terzo livello — il farmacista di comunità, l’operatore socio-sanitario, il logopedista, il terapista della riabilitazione, l’ostetrica — appartengono parimenti alla terza classe di imputazione, e il loro contributo alla riforma si esercita attraverso quote marginali di tempo che la dotazione esistente assorbe. Nessuna di tali figure è di nuova istituzione, e nessuna richiede alla riforma una remunerazione aggiuntiva; il loro coinvolgimento si traduce in un raccordo funzionale con lo Psicologo di Base che non genera esborso di cassa e il cui costo-opportunità è di entità trascurabile rispetto alle grandezze del servizio. La trattazione registra il costo di tali figure come marginale e assorbito, senza attribuirgli un valore monetario distinto, in coerenza con la natura del loro contributo e con il principio di non duplicazione, che impedisce di imputare alla riforma il costo di figure già finanziate dal sistema per le loro funzioni proprie.</w:t>
      </w:r>
    </w:p>
    <w:p w14:paraId="22EFDC6E" w14:textId="77777777" w:rsidR="007C4598" w:rsidRDefault="007C4598"/>
    <w:p w14:paraId="66E83762" w14:textId="77777777" w:rsidR="007C4598" w:rsidRDefault="00000000">
      <w:pPr>
        <w:jc w:val="both"/>
      </w:pPr>
      <w:r>
        <w:t>Il costo complessivo del terzo livello, nella prospettiva di bilancio e nello scenario centrale, si colloca pertanto dell’ordine di un milione di euro annui a regime, interamente imputabile alla quota dedicata di care management nell’ipotesi prudenziale di realizzazione parziale della dotazione territoriale, e si annulla nell’ipotesi di piena realizzazione. Nella prospettiva sociale, a tale grandezza si aggiunge un costo-opportunità marginale per il tempo di consulenza dello psichiatra e per il raccordo delle ulteriori figure, di entità trascurabile e in larga parte compensato. La trattazione segnala la dipendenza della stima dal grado di realizzazione del modello territoriale, e la riprende nella sezione 7.5, dove il costo del terzo livello concorre al costo diretto complessivo nella sua misura condizionale.</w:t>
      </w:r>
    </w:p>
    <w:p w14:paraId="75A1991E"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5814"/>
        <w:gridCol w:w="3212"/>
      </w:tblGrid>
      <w:tr w:rsidR="007C4598" w14:paraId="59A6206B" w14:textId="77777777">
        <w:trPr>
          <w:gridAfter w:val="1"/>
          <w:wAfter w:w="360" w:type="dxa"/>
        </w:trPr>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37C1107" w14:textId="77777777" w:rsidR="007C4598" w:rsidRDefault="00000000">
            <w:pPr>
              <w:spacing w:after="40"/>
            </w:pPr>
            <w:r>
              <w:rPr>
                <w:b/>
                <w:bCs/>
                <w:color w:val="FFFFFF"/>
                <w:sz w:val="18"/>
                <w:szCs w:val="18"/>
              </w:rPr>
              <w:t>7.1.4 — Profilo di costo del terzo livello: figure sanitarie e socio-sanitarie</w:t>
            </w:r>
          </w:p>
        </w:tc>
      </w:tr>
      <w:tr w:rsidR="007C4598" w14:paraId="2534AFCC"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53691C5" w14:textId="77777777" w:rsidR="007C4598" w:rsidRDefault="00000000">
            <w:pPr>
              <w:spacing w:after="40"/>
            </w:pPr>
            <w:r>
              <w:rPr>
                <w:b/>
                <w:bCs/>
              </w:rPr>
              <w:t>Classe di imputazione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98317CC" w14:textId="77777777" w:rsidR="007C4598" w:rsidRDefault="00000000">
            <w:pPr>
              <w:spacing w:after="40"/>
            </w:pPr>
            <w:r>
              <w:t>Terza classe: figure a costo marginale o assorbito dalla dotazione del modello di assistenza territoriale. Costo condizionale al grado di realizzazione della dotazione prevista.</w:t>
            </w:r>
          </w:p>
        </w:tc>
      </w:tr>
      <w:tr w:rsidR="007C4598" w14:paraId="2ECF27B1"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148F1E8" w14:textId="77777777" w:rsidR="007C4598" w:rsidRDefault="00000000">
            <w:pPr>
              <w:spacing w:after="40"/>
            </w:pPr>
            <w:r>
              <w:rPr>
                <w:b/>
                <w:bCs/>
              </w:rPr>
              <w:t>Infermiere di famiglia e di comunità (care manager)</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6755874" w14:textId="77777777" w:rsidR="007C4598" w:rsidRDefault="00000000">
            <w:pPr>
              <w:spacing w:after="40"/>
            </w:pPr>
            <w:r>
              <w:t>Funzione tra le più efficaci del modello collaborativo. Costo incrementale ≈ 1 mln/anno (centrale, realizzazione parziale della dotazione); ≈ 0 se la dotazione è pienamente realizzata; fino a ≈ 1,5 mln se minima.</w:t>
            </w:r>
          </w:p>
        </w:tc>
      </w:tr>
      <w:tr w:rsidR="007C4598" w14:paraId="1FD2F640"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C328B10" w14:textId="77777777" w:rsidR="007C4598" w:rsidRDefault="00000000">
            <w:pPr>
              <w:spacing w:after="40"/>
            </w:pPr>
            <w:r>
              <w:rPr>
                <w:b/>
                <w:bCs/>
              </w:rPr>
              <w:t>Psichiatra consulente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A0DD5E2" w14:textId="77777777" w:rsidR="007C4598" w:rsidRDefault="00000000">
            <w:pPr>
              <w:spacing w:after="40"/>
            </w:pPr>
            <w:r>
              <w:t>Tempo di consulenza e supervisione riorientato dai Centri di Salute Mentale, alleggeriti della domanda comune. Costo-opportunità marginale; costo di cassa nullo.</w:t>
            </w:r>
          </w:p>
        </w:tc>
      </w:tr>
      <w:tr w:rsidR="007C4598" w14:paraId="4466F26D"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B3DC319" w14:textId="77777777" w:rsidR="007C4598" w:rsidRDefault="00000000">
            <w:pPr>
              <w:spacing w:after="40"/>
            </w:pPr>
            <w:r>
              <w:rPr>
                <w:b/>
                <w:bCs/>
              </w:rPr>
              <w:t>Ulteriori figure socio-sanitarie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B728BB9" w14:textId="77777777" w:rsidR="007C4598" w:rsidRDefault="00000000">
            <w:pPr>
              <w:spacing w:after="40"/>
            </w:pPr>
            <w:r>
              <w:t>Farmacista di comunità, operatore socio-sanitario, logopedista, terapista della riabilitazione, ostetrica: raccordo funzionale a costo marginale e assorbito, senza esborso.</w:t>
            </w:r>
          </w:p>
        </w:tc>
      </w:tr>
      <w:tr w:rsidR="007C4598" w14:paraId="3261C045"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C6F1E9B" w14:textId="77777777" w:rsidR="007C4598" w:rsidRDefault="00000000">
            <w:pPr>
              <w:spacing w:after="40"/>
            </w:pPr>
            <w:r>
              <w:rPr>
                <w:b/>
                <w:bCs/>
              </w:rPr>
              <w:t>Costo del livello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DF60670" w14:textId="77777777" w:rsidR="007C4598" w:rsidRDefault="00000000">
            <w:pPr>
              <w:spacing w:after="40"/>
            </w:pPr>
            <w:r>
              <w:t>≈ 1 mln/anno (prospettiva di bilancio, scenario centrale, realizzazione parziale); condizionale al grado di attuazione del modello territoriale. Segnalato e ripreso in 7.5.</w:t>
            </w:r>
          </w:p>
        </w:tc>
      </w:tr>
    </w:tbl>
    <w:p w14:paraId="6B19D8C7" w14:textId="77777777" w:rsidR="007C4598" w:rsidRDefault="007C4598"/>
    <w:p w14:paraId="599E2F98" w14:textId="77777777" w:rsidR="007C4598" w:rsidRDefault="00000000">
      <w:pPr>
        <w:pStyle w:val="Titolo3"/>
        <w:spacing w:before="200" w:after="100"/>
      </w:pPr>
      <w:r>
        <w:rPr>
          <w:color w:val="16264B"/>
          <w:sz w:val="22"/>
          <w:szCs w:val="22"/>
        </w:rPr>
        <w:t>7.1.5  Il quarto livello: figure educative e attori istituzionali e amministrativi</w:t>
      </w:r>
    </w:p>
    <w:p w14:paraId="2494CA3D" w14:textId="77777777" w:rsidR="007C4598" w:rsidRDefault="007C4598"/>
    <w:p w14:paraId="7B1F4ED6" w14:textId="77777777" w:rsidR="007C4598" w:rsidRDefault="00000000">
      <w:pPr>
        <w:jc w:val="both"/>
      </w:pPr>
      <w:r>
        <w:t xml:space="preserve">Il quarto livello della cascata raccoglie le figure educative e gli attori istituzionali e amministrativi regionali, che la quarta classe di imputazione identifica come attori privi di costo diretto per il Servizio Sanitario Regionale, vuoi perché finanziati da un diverso capitolo di spesa pubblica, vuoi perché il loro costo è di coordinamento e ricade tra i costi di </w:t>
      </w:r>
      <w:proofErr w:type="spellStart"/>
      <w:r>
        <w:t>governance</w:t>
      </w:r>
      <w:proofErr w:type="spellEnd"/>
      <w:r>
        <w:t xml:space="preserve"> che la sezione 7.2 tratterà. La distinzione è importante perché impedisce di imputare alla riforma sanitaria costi che gravano su altri bilanci pubblici, e di gonfiare il costo diretto con voci che non incidono sul bilancio del Servizio Sanitario Regionale.</w:t>
      </w:r>
    </w:p>
    <w:p w14:paraId="7B206F49" w14:textId="77777777" w:rsidR="007C4598" w:rsidRDefault="007C4598"/>
    <w:p w14:paraId="265A33FD" w14:textId="77777777" w:rsidR="007C4598" w:rsidRDefault="00000000">
      <w:pPr>
        <w:jc w:val="both"/>
      </w:pPr>
      <w:r>
        <w:t>Le figure educative, e segnatamente lo psicologo scolastico che la Parte terza ha collocato nel quarto livello come presidio del benessere e delle difficoltà del minore in ambito scolastico, costituiscono il caso più chiaro di questa classe. Il costo dello psicologo scolastico, ove la sua presenza sia istituita o potenziata, grava sul sistema dell’istruzione e non sul Servizio Sanitario Regionale, e la riforma sanitaria non lo sostiene, ma se ne avvale come nodo di raccordo per l’osservazione del benessere del minore e per il collegamento con la coppia clinica del pediatra e dello Psicologo di Base. Il costo di tale raccordo per il Servizio Sanitario Regionale è nullo, perché lo psicologo scolastico è finanziato dal sistema dell’istruzione, e la trattazione lo registra come tale, rinviando alla Parte nona la valutazione del valore che la collaborazione tra il sistema sanitario e il sistema scolastico genera nel dominio pedagogico e scolastico.</w:t>
      </w:r>
    </w:p>
    <w:p w14:paraId="6D893D1C" w14:textId="77777777" w:rsidR="007C4598" w:rsidRDefault="007C4598"/>
    <w:p w14:paraId="44FA50F6" w14:textId="77777777" w:rsidR="007C4598" w:rsidRDefault="00000000">
      <w:pPr>
        <w:jc w:val="both"/>
      </w:pPr>
      <w:r>
        <w:t>Il corpo docente e la dirigenza scolastica, che la Parte terza ha collocato accanto allo psicologo scolastico nel quarto livello, appartengono parimenti alla quarta classe di imputazione, e il loro contributo alla riforma si esercita attraverso l’osservazione e la segnalazione del disagio del minore, che non genera alcun costo per il Servizio Sanitario Regionale. La trattazione registra il costo di tali figure come nullo per il bilancio sanitario regionale, in coerenza con la loro collocazione nel sistema dell’istruzione, e ne rinvia la valutazione, sul versante del valore generato, alla Parte nona.</w:t>
      </w:r>
    </w:p>
    <w:p w14:paraId="5200B586" w14:textId="77777777" w:rsidR="007C4598" w:rsidRDefault="007C4598"/>
    <w:p w14:paraId="0040AC73" w14:textId="77777777" w:rsidR="007C4598" w:rsidRDefault="00000000">
      <w:pPr>
        <w:jc w:val="both"/>
      </w:pPr>
      <w:r>
        <w:t xml:space="preserve">Gli attori istituzionali e amministrativi regionali — le aziende sanitarie locali, i distretti, l’Azienda Zero e la Regione — che la Parte terza ha collocato nel quarto livello come responsabili della </w:t>
      </w:r>
      <w:proofErr w:type="spellStart"/>
      <w:r>
        <w:t>governance</w:t>
      </w:r>
      <w:proofErr w:type="spellEnd"/>
      <w:r>
        <w:t xml:space="preserve"> e dell’attuazione della riforma, generano un costo che non è di personale clinico, ma di coordinamento, programmazione, monitoraggio e </w:t>
      </w:r>
      <w:proofErr w:type="spellStart"/>
      <w:r>
        <w:t>governance</w:t>
      </w:r>
      <w:proofErr w:type="spellEnd"/>
      <w:r>
        <w:t xml:space="preserve"> del servizio. Tale costo, di natura diversa dal costo del personale che la presente sezione ricostruisce, è trattato nella sezione 7.2 tra i costi di struttura, coordinamento e organizzazione, e non è perciò imputato al costo del personale della presente sezione, per evitare la duplicazione. La trattazione segnala la collocazione del costo degli attori istituzionali nella sezione 7.2, e ne esclude la registrazione nella presente sezione, in coerenza con il criterio di imputazione e con il principio di non duplicazione.</w:t>
      </w:r>
    </w:p>
    <w:p w14:paraId="4C24784A" w14:textId="77777777" w:rsidR="007C4598" w:rsidRDefault="007C4598"/>
    <w:p w14:paraId="2E2797C9" w14:textId="77777777" w:rsidR="007C4598" w:rsidRDefault="00000000">
      <w:pPr>
        <w:jc w:val="both"/>
      </w:pPr>
      <w:r>
        <w:t>Il costo del quarto livello, nella prospettiva del costo del personale che la presente sezione ricostruisce, è pertanto nullo, perché le figure educative gravano sul sistema dell’istruzione e gli attori istituzionali generano un costo di coordinamento trattato altrove. La trattazione registra tale costo nullo non come un’omissione, ma come il risultato di una corretta imputazione, che attribuisce ciascun costo al bilancio che lo sostiene e alla sezione che lo tratta, e che impedisce di gonfiare il costo diretto della riforma sanitaria con voci estranee al bilancio del Servizio Sanitario Regionale.</w:t>
      </w:r>
    </w:p>
    <w:p w14:paraId="3FF6C745"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5796"/>
        <w:gridCol w:w="3230"/>
      </w:tblGrid>
      <w:tr w:rsidR="007C4598" w14:paraId="47F8D2FA" w14:textId="77777777">
        <w:trPr>
          <w:gridAfter w:val="1"/>
          <w:wAfter w:w="360" w:type="dxa"/>
        </w:trPr>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9478651" w14:textId="77777777" w:rsidR="007C4598" w:rsidRDefault="00000000">
            <w:pPr>
              <w:spacing w:after="40"/>
            </w:pPr>
            <w:r>
              <w:rPr>
                <w:b/>
                <w:bCs/>
                <w:color w:val="FFFFFF"/>
                <w:sz w:val="18"/>
                <w:szCs w:val="18"/>
              </w:rPr>
              <w:t>7.1.5 — Profilo di costo del quarto livello: figure educative e attori istituzionali</w:t>
            </w:r>
          </w:p>
        </w:tc>
      </w:tr>
      <w:tr w:rsidR="007C4598" w14:paraId="1F26294A"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FC29CE9" w14:textId="77777777" w:rsidR="007C4598" w:rsidRDefault="00000000">
            <w:pPr>
              <w:spacing w:after="40"/>
            </w:pPr>
            <w:r>
              <w:rPr>
                <w:b/>
                <w:bCs/>
              </w:rPr>
              <w:t>Classe di imputazione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80A532F" w14:textId="77777777" w:rsidR="007C4598" w:rsidRDefault="00000000">
            <w:pPr>
              <w:spacing w:after="40"/>
            </w:pPr>
            <w:r>
              <w:t>Quarta classe: attori privi di costo diretto per il Servizio Sanitario Regionale, finanziati da diverso capitolo di spesa o con costo di coordinamento trattato in 7.2.</w:t>
            </w:r>
          </w:p>
        </w:tc>
      </w:tr>
      <w:tr w:rsidR="007C4598" w14:paraId="01F316A9"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60AAEFD" w14:textId="77777777" w:rsidR="007C4598" w:rsidRDefault="00000000">
            <w:pPr>
              <w:spacing w:after="40"/>
            </w:pPr>
            <w:r>
              <w:rPr>
                <w:b/>
                <w:bCs/>
              </w:rPr>
              <w:t>Psicologo scolastico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2E7CEBE" w14:textId="77777777" w:rsidR="007C4598" w:rsidRDefault="00000000">
            <w:pPr>
              <w:spacing w:after="40"/>
            </w:pPr>
            <w:r>
              <w:t>Finanziato dal sistema dell’istruzione, non dal Servizio Sanitario Regionale. Nodo di raccordo per l’osservazione del benessere del minore. Costo nullo per il bilancio sanitario; valore in Parte nona.</w:t>
            </w:r>
          </w:p>
        </w:tc>
      </w:tr>
      <w:tr w:rsidR="007C4598" w14:paraId="4090A5A6"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5B8F762" w14:textId="77777777" w:rsidR="007C4598" w:rsidRDefault="00000000">
            <w:pPr>
              <w:spacing w:after="40"/>
            </w:pPr>
            <w:r>
              <w:rPr>
                <w:b/>
                <w:bCs/>
              </w:rPr>
              <w:t>Corpo docente e dirigenza scolastica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3F747F8" w14:textId="77777777" w:rsidR="007C4598" w:rsidRDefault="00000000">
            <w:pPr>
              <w:spacing w:after="40"/>
            </w:pPr>
            <w:r>
              <w:t>Osservazione e segnalazione del disagio del minore. Costo nullo per il Servizio Sanitario Regionale; collocazione nel sistema dell’istruzione.</w:t>
            </w:r>
          </w:p>
        </w:tc>
      </w:tr>
      <w:tr w:rsidR="007C4598" w14:paraId="64685E8B"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82F9FC2" w14:textId="77777777" w:rsidR="007C4598" w:rsidRDefault="00000000">
            <w:pPr>
              <w:spacing w:after="40"/>
            </w:pPr>
            <w:r>
              <w:rPr>
                <w:b/>
                <w:bCs/>
              </w:rPr>
              <w:t>Attori istituzionali e amministrativi</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6108FC6" w14:textId="77777777" w:rsidR="007C4598" w:rsidRDefault="00000000">
            <w:pPr>
              <w:spacing w:after="40"/>
            </w:pPr>
            <w:r>
              <w:t xml:space="preserve">Aziende sanitarie locali, distretti, Azienda Zero, Regione: costo di coordinamento e </w:t>
            </w:r>
            <w:proofErr w:type="spellStart"/>
            <w:r>
              <w:t>governance</w:t>
            </w:r>
            <w:proofErr w:type="spellEnd"/>
            <w:r>
              <w:t>, non di personale clinico. Trattato in 7.2, non imputato qui (non duplicazione).</w:t>
            </w:r>
          </w:p>
        </w:tc>
      </w:tr>
      <w:tr w:rsidR="007C4598" w14:paraId="2E9AD87B"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2FFDC81" w14:textId="77777777" w:rsidR="007C4598" w:rsidRDefault="00000000">
            <w:pPr>
              <w:spacing w:after="40"/>
            </w:pPr>
            <w:r>
              <w:rPr>
                <w:b/>
                <w:bCs/>
              </w:rPr>
              <w:t>Costo del livello (personale)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CBB0AD0" w14:textId="77777777" w:rsidR="007C4598" w:rsidRDefault="00000000">
            <w:pPr>
              <w:spacing w:after="40"/>
            </w:pPr>
            <w:r>
              <w:t>Nullo per il costo del personale della presente sezione. Imputazione corretta, non omissione.</w:t>
            </w:r>
          </w:p>
        </w:tc>
      </w:tr>
    </w:tbl>
    <w:p w14:paraId="056FB763" w14:textId="77777777" w:rsidR="007C4598" w:rsidRDefault="007C4598"/>
    <w:p w14:paraId="29DAF622" w14:textId="77777777" w:rsidR="007C4598" w:rsidRDefault="00000000">
      <w:pPr>
        <w:pStyle w:val="Titolo3"/>
        <w:spacing w:before="200" w:after="100"/>
      </w:pPr>
      <w:r>
        <w:rPr>
          <w:color w:val="16264B"/>
          <w:sz w:val="22"/>
          <w:szCs w:val="22"/>
        </w:rPr>
        <w:t>7.1.6  Il quinto livello: gli attori extra-sanitari e l’assenza di costo diretto</w:t>
      </w:r>
    </w:p>
    <w:p w14:paraId="50212D6C" w14:textId="77777777" w:rsidR="007C4598" w:rsidRDefault="007C4598"/>
    <w:p w14:paraId="23D8757B" w14:textId="77777777" w:rsidR="007C4598" w:rsidRDefault="00000000">
      <w:pPr>
        <w:jc w:val="both"/>
      </w:pPr>
      <w:r>
        <w:t>Il quinto livello della cascata, la base della piramide, raccoglie gli attori extra-sanitari che la riforma mette in movimento e che la quarta classe di imputazione identifica come attori interamente privi di costo diretto per il Servizio Sanitario Regionale, collocati sul versante dei benefici e non dei costi. La trattazione di questo livello è breve, perché la sua collocazione economica è netta: gli attori extra-sanitari non sostengono alcun costo per la riforma, e ne raccolgono invece i benefici, che la Parte nona quantificherà nei rispettivi domini del perimetro multidisciplinare integrale.</w:t>
      </w:r>
    </w:p>
    <w:p w14:paraId="421FC314" w14:textId="77777777" w:rsidR="007C4598" w:rsidRDefault="007C4598"/>
    <w:p w14:paraId="578BB679" w14:textId="77777777" w:rsidR="007C4598" w:rsidRDefault="00000000">
      <w:pPr>
        <w:jc w:val="both"/>
      </w:pPr>
      <w:r>
        <w:t xml:space="preserve">Gli istituti previdenziali e assicurativi — l’Istituto nazionale della previdenza sociale e l’Istituto nazionale per l’assicurazione contro gli infortuni sul lavoro — che la Parte terza ha collocato alla base della cascata, non sostengono alcun costo per la riforma sanitaria, e ne raccolgono i benefici sotto forma di minori oneri per invalidità, inabilità e pensionamento anticipato per cause psichiche, che la Parte nona quantificherà nei domini pensionistico e </w:t>
      </w:r>
      <w:proofErr w:type="spellStart"/>
      <w:r>
        <w:t>welfaristico</w:t>
      </w:r>
      <w:proofErr w:type="spellEnd"/>
      <w:r>
        <w:t>. La trattazione registra il costo di tali attori per il Servizio Sanitario Regionale come nullo, e ne rinvia la valutazione, sul versante del valore generato, alla Parte nona.</w:t>
      </w:r>
    </w:p>
    <w:p w14:paraId="25E4227D" w14:textId="77777777" w:rsidR="007C4598" w:rsidRDefault="007C4598"/>
    <w:p w14:paraId="3C0BE9C8" w14:textId="77777777" w:rsidR="007C4598" w:rsidRDefault="00000000">
      <w:pPr>
        <w:jc w:val="both"/>
      </w:pPr>
      <w:r>
        <w:t>Il sistema giudiziario, le imprese, le organizzazioni sindacali, le università e il terzo settore, che la Parte terza ha collocato accanto agli istituti previdenziali nel quinto livello, appartengono parimenti alla classe degli attori privi di costo diretto per il Servizio Sanitario Regionale. Il sistema giudiziario raccoglie i benefici della riforma nel dominio criminologico, sotto forma di minori costi della giustizia connessi alla relazione tra disagio psichico e devianza; le imprese nei domini lavorativo, produttivistico e industriale, sotto forma di minore assenteismo e maggiore produttività; le organizzazioni sindacali nel dominio della tutela dei lavoratori; le università nel dominio accademico, della ricerca e dell’innovazione; il terzo settore nel dominio sociale e del capitale sociale. Nessuno di tali attori sostiene un costo per la riforma sanitaria, e la trattazione ne registra il costo come nullo, rinviando alla Parte nona la valutazione dei benefici che essi raccolgono.</w:t>
      </w:r>
    </w:p>
    <w:p w14:paraId="3014655D" w14:textId="77777777" w:rsidR="007C4598" w:rsidRDefault="007C4598"/>
    <w:p w14:paraId="1981741C" w14:textId="77777777" w:rsidR="007C4598" w:rsidRDefault="00000000">
      <w:pPr>
        <w:jc w:val="both"/>
      </w:pPr>
      <w:r>
        <w:t>Il costo del quinto livello per il Servizio Sanitario Regionale è pertanto nullo, e tale registrazione completa la ricostruzione del costo del personale lungo la cascata, confermando l’asimmetria che l’introduzione ha enunciato: il costo diretto di cassa è concentrato nell’apice della piramide, decresce attraverso i livelli intermedi fino al costo marginale del terzo livello, e si annulla nei livelli quarto e quinto, dove gli attori sono finanziati da altri bilanci o collocati interamente sul versante dei benefici. È questa concentrazione del costo nell’apice, congiunta alla diffusione del valore lungo l’intera cascata, a fondare la convenienza dell’investimento, e la presente sezione ne ha reso esplicita la struttura, ricostruendo il costo di ciascun livello secondo la sua natura e la sua collocazione nelle prospettive di analisi.</w:t>
      </w:r>
    </w:p>
    <w:p w14:paraId="1650090D" w14:textId="77777777" w:rsidR="007C4598" w:rsidRDefault="007C4598"/>
    <w:p w14:paraId="1777F804" w14:textId="77777777" w:rsidR="007C4598" w:rsidRDefault="00000000">
      <w:pPr>
        <w:pStyle w:val="Titolo3"/>
        <w:spacing w:before="200" w:after="100"/>
      </w:pPr>
      <w:r>
        <w:rPr>
          <w:color w:val="16264B"/>
          <w:sz w:val="22"/>
          <w:szCs w:val="22"/>
        </w:rPr>
        <w:t>7.1.7  Il personale amministrativo di supporto e la supervisione clinica di base</w:t>
      </w:r>
    </w:p>
    <w:p w14:paraId="70725F15" w14:textId="77777777" w:rsidR="007C4598" w:rsidRDefault="007C4598"/>
    <w:p w14:paraId="6EB69A38" w14:textId="77777777" w:rsidR="007C4598" w:rsidRDefault="00000000">
      <w:pPr>
        <w:jc w:val="both"/>
      </w:pPr>
      <w:r>
        <w:t>Accanto al costo del personale clinico apicale, che ne costituisce il nucleo, il costo del personale del servizio comprende due voci ulteriori, di entità minore ma non trascurabile, che la prima classe di imputazione identifica come costi incrementali e di cassa: il costo del personale amministrativo di supporto e il costo della supervisione clinica di base. La presente sezione ricostruisce tali voci con il medesimo metodo dal basso applicato al costo del personale clinico, e ne distingue la natura dalla formazione strutturata, che la sezione 7.4 tratterà come strato autonomo del programma.</w:t>
      </w:r>
    </w:p>
    <w:p w14:paraId="6E473E44" w14:textId="77777777" w:rsidR="007C4598" w:rsidRDefault="007C4598"/>
    <w:p w14:paraId="3E2CB482" w14:textId="77777777" w:rsidR="007C4598" w:rsidRDefault="00000000">
      <w:pPr>
        <w:jc w:val="both"/>
      </w:pPr>
      <w:r>
        <w:t>Il personale amministrativo di supporto è costituito dalle figure che assicurano il funzionamento amministrativo e organizzativo del servizio al livello operativo: la gestione delle agende, l’accoglienza e l’orientamento dell’utenza, la tenuta della documentazione amministrativa, il raccordo con i sistemi informativi. Tali figure, che la riforma deve finanziare in aggiunta all’organico esistente perché il servizio è di nuova istituzione, appartengono alla prima classe di imputazione e generano un costo di cassa. Dimensionando il personale amministrativo di supporto in proporzione all’organico clinico, secondo un rapporto prudenziale dell’ordine di una figura di supporto ogni dieci-dodici professionisti clinici, e valorizzandolo al costo lordo del comparto amministrativo, dell’ordine di trentaduemila-trentottomila euro annui per unità a tempo pieno, il costo del personale amministrativo di supporto a regime si colloca dell’ordine di due milioni e trecentomila euro annui nello scenario centrale, all’interno di un intervallo compreso tra un milione e ottocentomila e due milioni e ottocentomila euro nei tre scenari.</w:t>
      </w:r>
      <w:r>
        <w:rPr>
          <w:color w:val="555555"/>
          <w:sz w:val="16"/>
          <w:szCs w:val="16"/>
          <w:vertAlign w:val="superscript"/>
        </w:rPr>
        <w:t>[10]</w:t>
      </w:r>
    </w:p>
    <w:p w14:paraId="5415B82A" w14:textId="77777777" w:rsidR="007C4598" w:rsidRDefault="007C4598"/>
    <w:p w14:paraId="60471466" w14:textId="77777777" w:rsidR="007C4598" w:rsidRDefault="00000000">
      <w:pPr>
        <w:jc w:val="both"/>
      </w:pPr>
      <w:r>
        <w:t>La supervisione clinica di base è costituita dall’attività di supervisione e di confronto clinico che il servizio richiede per garantire la qualità e l’appropriatezza dell’intervento dello Psicologo di Base, e che si distingue dalla formazione strutturata perché non mira ad accrescere le competenze in vista di un loro mutamento, ma a mantenere la qualità dell’esercizio professionale corrente. Tale attività, che la disciplina dell’esercizio della professione psicologica richiede e che il modello di assistenza collaborativa pone tra le condizioni della sua efficacia, appartiene alla prima classe di imputazione nella misura in cui eccede la supervisione preesistente, e genera un costo di cassa. Dimensionando la supervisione clinica di base in proporzione al tempo clinico erogato, secondo una quota prudenziale dell’ordine di un’ora di supervisione ogni venti-venticinque ore di attività clinica, e valorizzandola al costo del supervisore, il costo della supervisione clinica di base a regime si colloca dell’ordine di un milione di euro annui nello scenario centrale, all’interno di un intervallo compreso tra settecentomila e un milione e quattrocentomila euro nei tre scenari.</w:t>
      </w:r>
    </w:p>
    <w:p w14:paraId="21E67189" w14:textId="77777777" w:rsidR="007C4598" w:rsidRDefault="007C4598"/>
    <w:p w14:paraId="209E5E80" w14:textId="77777777" w:rsidR="007C4598" w:rsidRDefault="00000000">
      <w:pPr>
        <w:jc w:val="both"/>
      </w:pPr>
      <w:r>
        <w:t xml:space="preserve">Il costo complessivo delle due voci ulteriori del personale — amministrativo di supporto e supervisione clinica di base — si colloca pertanto dell’ordine di tre milioni e trecentomila euro annui a regime nello scenario centrale, all’interno di un intervallo compreso tra due milioni e cinquecentomila e quattro milioni e duecentomila euro nei tre scenari. Tale costo, sommato al costo del personale clinico apicale e al costo marginale del terzo livello, concorre a comporre il costo del personale del servizio, che la sezione successiva consolida in una stima per scenario. La trattazione segnala, in coerenza con il principio di non duplicazione, che la supervisione clinica di base qui considerata è distinta dalla formazione strutturata della sezione 7.4, e che il costo del personale amministrativo di supporto è distinto dal costo della </w:t>
      </w:r>
      <w:proofErr w:type="spellStart"/>
      <w:r>
        <w:t>governance</w:t>
      </w:r>
      <w:proofErr w:type="spellEnd"/>
      <w:r>
        <w:t xml:space="preserve"> e del coordinamento istituzionale della sezione 7.2, affinché la somma finale non comporti sovrapposizioni.</w:t>
      </w:r>
    </w:p>
    <w:p w14:paraId="769C2425" w14:textId="77777777" w:rsidR="007C4598" w:rsidRDefault="007C4598"/>
    <w:p w14:paraId="5F23A2DD" w14:textId="77777777" w:rsidR="007C4598" w:rsidRDefault="00000000">
      <w:pPr>
        <w:pStyle w:val="Titolo3"/>
        <w:spacing w:before="200" w:after="100"/>
      </w:pPr>
      <w:r>
        <w:rPr>
          <w:color w:val="16264B"/>
          <w:sz w:val="22"/>
          <w:szCs w:val="22"/>
        </w:rPr>
        <w:t>7.1.8  Il consolidamento del costo del personale lungo la cascata</w:t>
      </w:r>
    </w:p>
    <w:p w14:paraId="752BE90D" w14:textId="77777777" w:rsidR="007C4598" w:rsidRDefault="007C4598"/>
    <w:p w14:paraId="30987FB9" w14:textId="77777777" w:rsidR="007C4598" w:rsidRDefault="00000000">
      <w:pPr>
        <w:jc w:val="both"/>
      </w:pPr>
      <w:r>
        <w:t>La ricostruzione del costo del personale lungo la cascata, condotta livello per livello secondo il criterio delle quattro classi di imputazione, perviene ora al consolidamento, che ricompone le grandezze esposte in una stima complessiva del costo del personale del servizio, distinta per scenario e per prospettiva di analisi, e corredata della banda prudenziale e della previsione falsificabile che l’opera richiede. Il consolidamento mantiene la distinzione tra il costo di cassa, che grava sul bilancio del Servizio Sanitario Regionale, e il costo-opportunità, che la prospettiva sociale registra separatamente, e ne restituisce entrambe le grandezze nella loro distinta natura.</w:t>
      </w:r>
    </w:p>
    <w:p w14:paraId="6568BA8A" w14:textId="77777777" w:rsidR="007C4598" w:rsidRDefault="007C4598"/>
    <w:p w14:paraId="7DC93445" w14:textId="77777777" w:rsidR="007C4598" w:rsidRDefault="00000000">
      <w:pPr>
        <w:jc w:val="both"/>
      </w:pPr>
      <w:r>
        <w:t>Il costo del personale di cassa del servizio, che grava sul bilancio del Servizio Sanitario Regionale, è composto dal costo del personale clinico apicale, dal costo marginale del terzo livello e dal costo del personale amministrativo di supporto e della supervisione clinica di base. Nello scenario centrale, esso si colloca dell’ordine di trentacinque milioni e ottocentomila euro annui a regime, somma dei trentuno milioni e mezzo del personale clinico apicale, del milione del terzo livello nell’ipotesi prudenziale di realizzazione parziale della dotazione territoriale, e dei tre milioni e trecentomila euro del personale amministrativo di supporto e della supervisione clinica di base. Nei tre scenari, il costo del personale di cassa si colloca in un intervallo compreso tra trenta milioni e mezzo e quarantadue milioni e duecentomila euro annui a regime, dove l’estremo superiore corrisponde allo scenario prudenzialmente più oneroso e l’estremo inferiore allo scenario efficiente.</w:t>
      </w:r>
    </w:p>
    <w:p w14:paraId="2AE729BD" w14:textId="77777777" w:rsidR="007C4598" w:rsidRDefault="007C4598"/>
    <w:p w14:paraId="0138F614" w14:textId="77777777" w:rsidR="007C4598" w:rsidRDefault="00000000">
      <w:pPr>
        <w:jc w:val="both"/>
      </w:pPr>
      <w:r>
        <w:t xml:space="preserve">Il costo-opportunità del personale, che la prospettiva sociale registra separatamente e che non grava sul bilancio del Servizio Sanitario Regionale, è composto dal costo-opportunità netto del secondo livello e dal costo-opportunità marginale dello psichiatra consulente e delle ulteriori figure del terzo livello. Esso si colloca, nello scenario centrale, dell’ordine di ottocentomila-un milione di euro annui a regime, ed è una grandezza prudenzialmente cautelativa, perché a regime il bilancio netto del tempo delle figure di primo contatto può risultare favorevole. La trattazione segnala tale costo-opportunità separatamente, senza sommarlo al costo di cassa, affinché il decisore disponga di entrambe le grandezze e non scambi un </w:t>
      </w:r>
      <w:proofErr w:type="spellStart"/>
      <w:r>
        <w:t>riorientamento</w:t>
      </w:r>
      <w:proofErr w:type="spellEnd"/>
      <w:r>
        <w:t xml:space="preserve"> di tempo già pagato per una spesa nuova.</w:t>
      </w:r>
    </w:p>
    <w:p w14:paraId="01451C82"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806"/>
        <w:gridCol w:w="1805"/>
        <w:gridCol w:w="1805"/>
        <w:gridCol w:w="1805"/>
        <w:gridCol w:w="1805"/>
      </w:tblGrid>
      <w:tr w:rsidR="007C4598" w14:paraId="462F000B" w14:textId="77777777">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3636664" w14:textId="77777777" w:rsidR="007C4598" w:rsidRDefault="00000000">
            <w:pPr>
              <w:spacing w:after="40"/>
            </w:pPr>
            <w:r>
              <w:rPr>
                <w:b/>
                <w:bCs/>
                <w:color w:val="FFFFFF"/>
                <w:sz w:val="18"/>
                <w:szCs w:val="18"/>
              </w:rPr>
              <w:t>Componente del costo del personale (a regime)</w:t>
            </w:r>
          </w:p>
        </w:tc>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75BF463" w14:textId="77777777" w:rsidR="007C4598" w:rsidRDefault="00000000">
            <w:pPr>
              <w:spacing w:after="40"/>
            </w:pPr>
            <w:r>
              <w:rPr>
                <w:b/>
                <w:bCs/>
                <w:color w:val="FFFFFF"/>
                <w:sz w:val="18"/>
                <w:szCs w:val="18"/>
              </w:rPr>
              <w:t>Conservativo</w:t>
            </w:r>
          </w:p>
        </w:tc>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DBB5455" w14:textId="77777777" w:rsidR="007C4598" w:rsidRDefault="00000000">
            <w:pPr>
              <w:spacing w:after="40"/>
            </w:pPr>
            <w:r>
              <w:rPr>
                <w:b/>
                <w:bCs/>
                <w:color w:val="FFFFFF"/>
                <w:sz w:val="18"/>
                <w:szCs w:val="18"/>
              </w:rPr>
              <w:t>Centrale</w:t>
            </w:r>
          </w:p>
        </w:tc>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69EF69A" w14:textId="77777777" w:rsidR="007C4598" w:rsidRDefault="00000000">
            <w:pPr>
              <w:spacing w:after="40"/>
            </w:pPr>
            <w:r>
              <w:rPr>
                <w:b/>
                <w:bCs/>
                <w:color w:val="FFFFFF"/>
                <w:sz w:val="18"/>
                <w:szCs w:val="18"/>
              </w:rPr>
              <w:t>Espansivo</w:t>
            </w:r>
          </w:p>
        </w:tc>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B6754D9" w14:textId="77777777" w:rsidR="007C4598" w:rsidRDefault="00000000">
            <w:pPr>
              <w:spacing w:after="40"/>
            </w:pPr>
            <w:r>
              <w:rPr>
                <w:b/>
                <w:bCs/>
                <w:color w:val="FFFFFF"/>
                <w:sz w:val="18"/>
                <w:szCs w:val="18"/>
              </w:rPr>
              <w:t>Natura</w:t>
            </w:r>
          </w:p>
        </w:tc>
      </w:tr>
      <w:tr w:rsidR="007C4598" w14:paraId="321B6A7F"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4217F8A" w14:textId="77777777" w:rsidR="007C4598" w:rsidRDefault="00000000">
            <w:pPr>
              <w:spacing w:after="40"/>
            </w:pPr>
            <w:r>
              <w:t>Apice — personale clinico (Psicologo di Base)</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42686EE" w14:textId="77777777" w:rsidR="007C4598" w:rsidRDefault="00000000">
            <w:pPr>
              <w:spacing w:after="40"/>
            </w:pPr>
            <w:r>
              <w:t>37,0</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5134256" w14:textId="77777777" w:rsidR="007C4598" w:rsidRDefault="00000000">
            <w:pPr>
              <w:spacing w:after="40"/>
            </w:pPr>
            <w:r>
              <w:t>31,5</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EE4A9F8" w14:textId="77777777" w:rsidR="007C4598" w:rsidRDefault="00000000">
            <w:pPr>
              <w:spacing w:after="40"/>
            </w:pPr>
            <w:r>
              <w:t>26,6</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55968EE" w14:textId="77777777" w:rsidR="007C4598" w:rsidRDefault="00000000">
            <w:pPr>
              <w:spacing w:after="40"/>
            </w:pPr>
            <w:r>
              <w:t>Cassa, incrementale</w:t>
            </w:r>
          </w:p>
        </w:tc>
      </w:tr>
      <w:tr w:rsidR="007C4598" w14:paraId="00278A04"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0D16386" w14:textId="77777777" w:rsidR="007C4598" w:rsidRDefault="00000000">
            <w:pPr>
              <w:spacing w:after="40"/>
            </w:pPr>
            <w:r>
              <w:t>Terzo livello — care management dedicato</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BE40044" w14:textId="77777777" w:rsidR="007C4598" w:rsidRDefault="00000000">
            <w:pPr>
              <w:spacing w:after="40"/>
            </w:pPr>
            <w:r>
              <w:t>1,5</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4EB22D1" w14:textId="77777777" w:rsidR="007C4598" w:rsidRDefault="00000000">
            <w:pPr>
              <w:spacing w:after="40"/>
            </w:pPr>
            <w:r>
              <w:t>1,0</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BA39E44" w14:textId="77777777" w:rsidR="007C4598" w:rsidRDefault="00000000">
            <w:pPr>
              <w:spacing w:after="40"/>
            </w:pPr>
            <w:r>
              <w:t>0,0</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EFB7796" w14:textId="77777777" w:rsidR="007C4598" w:rsidRDefault="00000000">
            <w:pPr>
              <w:spacing w:after="40"/>
            </w:pPr>
            <w:r>
              <w:t>Cassa, condizionale</w:t>
            </w:r>
          </w:p>
        </w:tc>
      </w:tr>
      <w:tr w:rsidR="007C4598" w14:paraId="1B26C6CA"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7E66ABD" w14:textId="77777777" w:rsidR="007C4598" w:rsidRDefault="00000000">
            <w:pPr>
              <w:spacing w:after="40"/>
            </w:pPr>
            <w:r>
              <w:t>Personale amministrativo di supporto</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D997961" w14:textId="77777777" w:rsidR="007C4598" w:rsidRDefault="00000000">
            <w:pPr>
              <w:spacing w:after="40"/>
            </w:pPr>
            <w:r>
              <w:t>2,8</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3D2403D" w14:textId="77777777" w:rsidR="007C4598" w:rsidRDefault="00000000">
            <w:pPr>
              <w:spacing w:after="40"/>
            </w:pPr>
            <w:r>
              <w:t>2,3</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3F75616" w14:textId="77777777" w:rsidR="007C4598" w:rsidRDefault="00000000">
            <w:pPr>
              <w:spacing w:after="40"/>
            </w:pPr>
            <w:r>
              <w:t>1,8</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2AE7E0F" w14:textId="77777777" w:rsidR="007C4598" w:rsidRDefault="00000000">
            <w:pPr>
              <w:spacing w:after="40"/>
            </w:pPr>
            <w:r>
              <w:t>Cassa, incrementale</w:t>
            </w:r>
          </w:p>
        </w:tc>
      </w:tr>
      <w:tr w:rsidR="007C4598" w14:paraId="29FB840B"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9A4F5D8" w14:textId="77777777" w:rsidR="007C4598" w:rsidRDefault="00000000">
            <w:pPr>
              <w:spacing w:after="40"/>
            </w:pPr>
            <w:r>
              <w:t>Supervisione clinica di base</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8783DBB" w14:textId="77777777" w:rsidR="007C4598" w:rsidRDefault="00000000">
            <w:pPr>
              <w:spacing w:after="40"/>
            </w:pPr>
            <w:r>
              <w:t>1,4</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7E4F5BF" w14:textId="77777777" w:rsidR="007C4598" w:rsidRDefault="00000000">
            <w:pPr>
              <w:spacing w:after="40"/>
            </w:pPr>
            <w:r>
              <w:t>1,0</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5B44673" w14:textId="77777777" w:rsidR="007C4598" w:rsidRDefault="00000000">
            <w:pPr>
              <w:spacing w:after="40"/>
            </w:pPr>
            <w:r>
              <w:t>0,7</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FFF8E1C" w14:textId="77777777" w:rsidR="007C4598" w:rsidRDefault="00000000">
            <w:pPr>
              <w:spacing w:after="40"/>
            </w:pPr>
            <w:r>
              <w:t>Cassa, incrementale</w:t>
            </w:r>
          </w:p>
        </w:tc>
      </w:tr>
      <w:tr w:rsidR="007C4598" w14:paraId="782B0CC1"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105527E" w14:textId="77777777" w:rsidR="007C4598" w:rsidRDefault="00000000">
            <w:pPr>
              <w:spacing w:after="40"/>
            </w:pPr>
            <w:r>
              <w:rPr>
                <w:b/>
                <w:bCs/>
              </w:rPr>
              <w:t>Costo del personale di cassa (SSR)</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43A83F7" w14:textId="77777777" w:rsidR="007C4598" w:rsidRDefault="00000000">
            <w:pPr>
              <w:spacing w:after="40"/>
            </w:pPr>
            <w:r>
              <w:rPr>
                <w:b/>
                <w:bCs/>
              </w:rPr>
              <w:t>≈ 42,2</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3E56C8D" w14:textId="77777777" w:rsidR="007C4598" w:rsidRDefault="00000000">
            <w:pPr>
              <w:spacing w:after="40"/>
            </w:pPr>
            <w:r>
              <w:rPr>
                <w:b/>
                <w:bCs/>
              </w:rPr>
              <w:t>≈ 35,8</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382448C" w14:textId="77777777" w:rsidR="007C4598" w:rsidRDefault="00000000">
            <w:pPr>
              <w:spacing w:after="40"/>
            </w:pPr>
            <w:r>
              <w:rPr>
                <w:b/>
                <w:bCs/>
              </w:rPr>
              <w:t>≈ 29,1</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78C9B35" w14:textId="77777777" w:rsidR="007C4598" w:rsidRDefault="00000000">
            <w:pPr>
              <w:spacing w:after="40"/>
            </w:pPr>
            <w:r>
              <w:rPr>
                <w:b/>
                <w:bCs/>
              </w:rPr>
              <w:t>Bilancio SSR</w:t>
            </w:r>
          </w:p>
        </w:tc>
      </w:tr>
      <w:tr w:rsidR="007C4598" w14:paraId="0746791A"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695336A" w14:textId="77777777" w:rsidR="007C4598" w:rsidRDefault="00000000">
            <w:pPr>
              <w:spacing w:after="40"/>
            </w:pPr>
            <w:r>
              <w:t>Secondo livello — costo-opportunità netto</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4E2212E" w14:textId="77777777" w:rsidR="007C4598" w:rsidRDefault="00000000">
            <w:pPr>
              <w:spacing w:after="40"/>
            </w:pPr>
            <w:r>
              <w:t>1,0</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21FB9FA" w14:textId="77777777" w:rsidR="007C4598" w:rsidRDefault="00000000">
            <w:pPr>
              <w:spacing w:after="40"/>
            </w:pPr>
            <w:r>
              <w:t>0,9</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62E849D" w14:textId="77777777" w:rsidR="007C4598" w:rsidRDefault="00000000">
            <w:pPr>
              <w:spacing w:after="40"/>
            </w:pPr>
            <w:r>
              <w:t>0,8</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1A237E1" w14:textId="77777777" w:rsidR="007C4598" w:rsidRDefault="00000000">
            <w:pPr>
              <w:spacing w:after="40"/>
            </w:pPr>
            <w:r>
              <w:t>Sociale, non di cassa</w:t>
            </w:r>
          </w:p>
        </w:tc>
      </w:tr>
      <w:tr w:rsidR="007C4598" w14:paraId="2BBFDA8B"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5A07D10" w14:textId="77777777" w:rsidR="007C4598" w:rsidRDefault="00000000">
            <w:pPr>
              <w:spacing w:after="40"/>
            </w:pPr>
            <w:r>
              <w:t>Terzo livello — costo-opportunità marginale</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8EAA581" w14:textId="77777777" w:rsidR="007C4598" w:rsidRDefault="00000000">
            <w:pPr>
              <w:spacing w:after="40"/>
            </w:pPr>
            <w:proofErr w:type="spellStart"/>
            <w:r>
              <w:t>trascurab</w:t>
            </w:r>
            <w:proofErr w:type="spellEnd"/>
            <w:r>
              <w:t>.</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CDC25C6" w14:textId="77777777" w:rsidR="007C4598" w:rsidRDefault="00000000">
            <w:pPr>
              <w:spacing w:after="40"/>
            </w:pPr>
            <w:proofErr w:type="spellStart"/>
            <w:r>
              <w:t>trascurab</w:t>
            </w:r>
            <w:proofErr w:type="spellEnd"/>
            <w:r>
              <w:t>.</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4A1E396" w14:textId="77777777" w:rsidR="007C4598" w:rsidRDefault="00000000">
            <w:pPr>
              <w:spacing w:after="40"/>
            </w:pPr>
            <w:proofErr w:type="spellStart"/>
            <w:r>
              <w:t>trascurab</w:t>
            </w:r>
            <w:proofErr w:type="spellEnd"/>
            <w:r>
              <w:t>.</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1A4D65A" w14:textId="77777777" w:rsidR="007C4598" w:rsidRDefault="00000000">
            <w:pPr>
              <w:spacing w:after="40"/>
            </w:pPr>
            <w:r>
              <w:t>Sociale, non di cassa</w:t>
            </w:r>
          </w:p>
        </w:tc>
      </w:tr>
    </w:tbl>
    <w:p w14:paraId="7A2FC18A" w14:textId="77777777" w:rsidR="007C4598" w:rsidRDefault="007C4598"/>
    <w:p w14:paraId="1520B592" w14:textId="77777777" w:rsidR="007C4598" w:rsidRDefault="00000000">
      <w:pPr>
        <w:jc w:val="both"/>
      </w:pPr>
      <w:r>
        <w:rPr>
          <w:b/>
          <w:bCs/>
        </w:rPr>
        <w:t>Tabella 7.1.8</w:t>
      </w:r>
      <w:r>
        <w:rPr>
          <w:i/>
          <w:iCs/>
        </w:rPr>
        <w:t xml:space="preserve"> — Consolidamento del costo del personale lungo la cascata, a regime, per scenario, in milioni di euro annui. Il costo di cassa grava sul Servizio Sanitario Regionale; il costo-opportunità è registrato separatamente nella prospettiva sociale e non sommato al costo di cassa. Lo scenario conservativo è il prudenzialmente più oneroso.</w:t>
      </w:r>
    </w:p>
    <w:p w14:paraId="22E26973" w14:textId="77777777" w:rsidR="007C4598" w:rsidRDefault="007C4598"/>
    <w:p w14:paraId="62F41839" w14:textId="77777777" w:rsidR="007C4598" w:rsidRDefault="00000000">
      <w:pPr>
        <w:jc w:val="both"/>
      </w:pPr>
      <w:r>
        <w:t>Il costo del personale di cassa del servizio, che la tabella consolida, costituisce la voce di gran lunga preponderante del costo diretto del modello base, e ne conferma la struttura: il costo è concentrato nell’apice della cascata, dove il personale clinico apicale rappresenta dell’ordine dell’ottantotto per cento del costo del personale di cassa nello scenario centrale, mentre le altre componenti — il care management dedicato, il personale amministrativo di supporto e la supervisione clinica di base — ne rappresentano congiuntamente la frazione residua. Questa concentrazione, che la presente sezione ha ricostruito analiticamente, è ciò che consente di affermare che il costo diretto della riforma è, in misura prevalente, il costo del tempo qualificato dello Psicologo di Base, e che le altre figure della cascata vi concorrono in misura marginale o non vi concorrono affatto, perché già finanziate dal sistema o collocate sul versante dei benefici.</w:t>
      </w:r>
    </w:p>
    <w:p w14:paraId="49522C6E" w14:textId="77777777" w:rsidR="007C4598" w:rsidRDefault="007C4598"/>
    <w:p w14:paraId="707F5D1D" w14:textId="77777777" w:rsidR="007C4598" w:rsidRDefault="00000000">
      <w:pPr>
        <w:jc w:val="both"/>
      </w:pPr>
      <w:r>
        <w:t>Sulla base del consolidamento è possibile formulare la previsione falsificabile complessiva del costo del personale, che le Parti undicesima e quindicesima sottoporranno a verifica. A regime e a piena copertura, il costo del personale di cassa del servizio, che grava sul bilancio del Servizio Sanitario Regionale, non dovrebbe eccedere i quarantadue milioni e duecentomila euro annui nello scenario prudenzialmente più oneroso, né collocarsi al di sotto dei ventinove milioni nello scenario efficiente, e dovrebbe attestarsi attorno al valore centrale di trentacinque milioni e ottocentomila euro nell’ipotesi più probabile. La previsione è enunciata in forma di banda, con indicazione degli estremi il cui superamento ne segnalerebbe la confutazione, e sarà verificata sui dati effettivi del costo del personale del servizio a regime, distintamente per la componente clinica apicale, per il care management dedicato e per le componenti amministrative e di supervisione, in coerenza con il vincolo di falsificabilità che governa l’opera.</w:t>
      </w:r>
    </w:p>
    <w:p w14:paraId="6124039D"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614102F0"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DAB9565" w14:textId="77777777" w:rsidR="007C4598" w:rsidRDefault="00000000">
            <w:pPr>
              <w:spacing w:after="40"/>
            </w:pPr>
            <w:r>
              <w:rPr>
                <w:b/>
                <w:bCs/>
                <w:color w:val="FFFFFF"/>
                <w:sz w:val="18"/>
                <w:szCs w:val="18"/>
              </w:rPr>
              <w:t xml:space="preserve">SEGNAPOSTO INFOGRAFICA — CODICE CANVA-FRIENDLY Il costo del personale lungo la cascata — concentrazione nell’apice e decrescita verso la base Tipo grafico:  Piramide a 5 bande orizzontali affiancata a barre orizzontali di costo per livello (apice in alto, base in basso), stile piatto e preciso Dimensioni:  1080 × 1350 </w:t>
            </w:r>
            <w:proofErr w:type="spellStart"/>
            <w:r>
              <w:rPr>
                <w:b/>
                <w:bCs/>
                <w:color w:val="FFFFFF"/>
                <w:sz w:val="18"/>
                <w:szCs w:val="18"/>
              </w:rPr>
              <w:t>px</w:t>
            </w:r>
            <w:proofErr w:type="spellEnd"/>
            <w:r>
              <w:rPr>
                <w:b/>
                <w:bCs/>
                <w:color w:val="FFFFFF"/>
                <w:sz w:val="18"/>
                <w:szCs w:val="18"/>
              </w:rPr>
              <w:t xml:space="preserve"> (verticale) — variante 1920 × 1080 </w:t>
            </w:r>
            <w:proofErr w:type="spellStart"/>
            <w:r>
              <w:rPr>
                <w:b/>
                <w:bCs/>
                <w:color w:val="FFFFFF"/>
                <w:sz w:val="18"/>
                <w:szCs w:val="18"/>
              </w:rPr>
              <w:t>px</w:t>
            </w:r>
            <w:proofErr w:type="spellEnd"/>
            <w:r>
              <w:rPr>
                <w:b/>
                <w:bCs/>
                <w:color w:val="FFFFFF"/>
                <w:sz w:val="18"/>
                <w:szCs w:val="18"/>
              </w:rPr>
              <w:t xml:space="preserve"> (orizzontale) Sfondo:  Gradiente bianco 85% (#FFFFFF) → crema 15% (#FBF7EE), verticale dall’alto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44 </w:t>
            </w:r>
            <w:proofErr w:type="spellStart"/>
            <w:r>
              <w:rPr>
                <w:b/>
                <w:bCs/>
                <w:color w:val="FFFFFF"/>
                <w:sz w:val="18"/>
                <w:szCs w:val="18"/>
              </w:rPr>
              <w:t>pt</w:t>
            </w:r>
            <w:proofErr w:type="spellEnd"/>
            <w:r>
              <w:rPr>
                <w:b/>
                <w:bCs/>
                <w:color w:val="FFFFFF"/>
                <w:sz w:val="18"/>
                <w:szCs w:val="18"/>
              </w:rPr>
              <w:t xml:space="preserve"> </w:t>
            </w:r>
            <w:proofErr w:type="spellStart"/>
            <w:r>
              <w:rPr>
                <w:b/>
                <w:bCs/>
                <w:color w:val="FFFFFF"/>
                <w:sz w:val="18"/>
                <w:szCs w:val="18"/>
              </w:rPr>
              <w:t>Bold</w:t>
            </w:r>
            <w:proofErr w:type="spellEnd"/>
            <w:r>
              <w:rPr>
                <w:b/>
                <w:bCs/>
                <w:color w:val="FFFFFF"/>
                <w:sz w:val="18"/>
                <w:szCs w:val="18"/>
              </w:rPr>
              <w:t xml:space="preserve">, etichette banda 22 </w:t>
            </w:r>
            <w:proofErr w:type="spellStart"/>
            <w:r>
              <w:rPr>
                <w:b/>
                <w:bCs/>
                <w:color w:val="FFFFFF"/>
                <w:sz w:val="18"/>
                <w:szCs w:val="18"/>
              </w:rPr>
              <w:t>pt</w:t>
            </w:r>
            <w:proofErr w:type="spellEnd"/>
            <w:r>
              <w:rPr>
                <w:b/>
                <w:bCs/>
                <w:color w:val="FFFFFF"/>
                <w:sz w:val="18"/>
                <w:szCs w:val="18"/>
              </w:rPr>
              <w:t xml:space="preserve"> </w:t>
            </w:r>
            <w:proofErr w:type="spellStart"/>
            <w:r>
              <w:rPr>
                <w:b/>
                <w:bCs/>
                <w:color w:val="FFFFFF"/>
                <w:sz w:val="18"/>
                <w:szCs w:val="18"/>
              </w:rPr>
              <w:t>SemiBold</w:t>
            </w:r>
            <w:proofErr w:type="spellEnd"/>
            <w:r>
              <w:rPr>
                <w:b/>
                <w:bCs/>
                <w:color w:val="FFFFFF"/>
                <w:sz w:val="18"/>
                <w:szCs w:val="18"/>
              </w:rPr>
              <w:t xml:space="preserve">, valori 18 </w:t>
            </w:r>
            <w:proofErr w:type="spellStart"/>
            <w:r>
              <w:rPr>
                <w:b/>
                <w:bCs/>
                <w:color w:val="FFFFFF"/>
                <w:sz w:val="18"/>
                <w:szCs w:val="18"/>
              </w:rPr>
              <w:t>pt</w:t>
            </w:r>
            <w:proofErr w:type="spellEnd"/>
            <w:r>
              <w:rPr>
                <w:b/>
                <w:bCs/>
                <w:color w:val="FFFFFF"/>
                <w:sz w:val="18"/>
                <w:szCs w:val="18"/>
              </w:rPr>
              <w:t xml:space="preserve"> </w:t>
            </w:r>
            <w:proofErr w:type="spellStart"/>
            <w:r>
              <w:rPr>
                <w:b/>
                <w:bCs/>
                <w:color w:val="FFFFFF"/>
                <w:sz w:val="18"/>
                <w:szCs w:val="18"/>
              </w:rPr>
              <w:t>SemiBold</w:t>
            </w:r>
            <w:proofErr w:type="spellEnd"/>
            <w:r>
              <w:rPr>
                <w:b/>
                <w:bCs/>
                <w:color w:val="FFFFFF"/>
                <w:sz w:val="18"/>
                <w:szCs w:val="18"/>
              </w:rPr>
              <w:t xml:space="preserve">, note 13 </w:t>
            </w:r>
            <w:proofErr w:type="spellStart"/>
            <w:r>
              <w:rPr>
                <w:b/>
                <w:bCs/>
                <w:color w:val="FFFFFF"/>
                <w:sz w:val="18"/>
                <w:szCs w:val="18"/>
              </w:rPr>
              <w:t>pt</w:t>
            </w:r>
            <w:proofErr w:type="spellEnd"/>
            <w:r>
              <w:rPr>
                <w:b/>
                <w:bCs/>
                <w:color w:val="FFFFFF"/>
                <w:sz w:val="18"/>
                <w:szCs w:val="18"/>
              </w:rPr>
              <w:t xml:space="preserve"> Regular Banda 1 · Apice:  «Psicologo di Base» — barra costo ≈ 31,5 mln/anno (centrale) — colore #16264B — testo #FFFFFF Banda 2:  «Medico · Pediatra · Neurologo» — costo-opportunità ≈ 0,9 mln (non di cassa) — colore #1E3A6B — testo #FFFFFF Banda 3:  «Care manager · Psichiatra consulente · Socio-sanitarie» — ≈ 1,0 mln (condizionale) — #2E5A8F — testo #FFFFFF Banda 4:  «Psicologo scolastico · ASL · Distretti · Azienda Zero · Regione» — costo ≈ 0 per il SSR (</w:t>
            </w:r>
            <w:proofErr w:type="spellStart"/>
            <w:r>
              <w:rPr>
                <w:b/>
                <w:bCs/>
                <w:color w:val="FFFFFF"/>
                <w:sz w:val="18"/>
                <w:szCs w:val="18"/>
              </w:rPr>
              <w:t>coord</w:t>
            </w:r>
            <w:proofErr w:type="spellEnd"/>
            <w:r>
              <w:rPr>
                <w:b/>
                <w:bCs/>
                <w:color w:val="FFFFFF"/>
                <w:sz w:val="18"/>
                <w:szCs w:val="18"/>
              </w:rPr>
              <w:t>. in 7.2) — #16264B — testo #FFFFFF Banda 5 · Base:  «INPS · INAIL · Giustizia · Imprese · Sindacati · Università · Terzo settore» — costo ≈ 0 (lato benefici) — #101F3C — testo #FBF7EE Riquadro laterale:  «Personale amministrativo di supporto ≈ 2,3 mln · Supervisione clinica di base ≈ 1,0 mln» — accento #C49A48 Totale evidenziato:  «Costo del personale di cassa (SSR) ≈ 35,8 mln/anno — scenario centrale» in fascia oro #C49A48 alla base Accenti:  Filo oro #C49A48 sotto il titolo; barre di costo in #2E5A8F con etichetta valore #16264B Numerazione livelli:  Cifre 1–5 a sinistra di ciascuna banda, colore #2E5A8F Nota variante 3D:  Effetto rilievo leggero sulle bande (ombra morbida 8% verso il basso) e sulle barre di costo, mantenendo leggibilità piatta e proporzione fedele tra le barre.</w:t>
            </w:r>
          </w:p>
          <w:p w14:paraId="7A8F2B17" w14:textId="77777777" w:rsidR="007C4598" w:rsidRDefault="00000000">
            <w:pPr>
              <w:spacing w:before="120" w:after="60"/>
              <w:jc w:val="center"/>
            </w:pPr>
            <w:r>
              <w:rPr>
                <w:noProof/>
              </w:rPr>
              <w:drawing>
                <wp:inline distT="0" distB="0" distL="0" distR="0" wp14:anchorId="75E1BC47" wp14:editId="7000EC05">
                  <wp:extent cx="8229600" cy="4629150"/>
                  <wp:effectExtent l="0" t="0" r="0" b="0"/>
                  <wp:docPr id="127" name="Infografica27" descr="Il costo del personale lungo la casc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Infografica27"/>
                          <pic:cNvPicPr>
                            <a:picLocks noChangeAspect="1" noChangeArrowheads="1"/>
                          </pic:cNvPicPr>
                        </pic:nvPicPr>
                        <pic:blipFill>
                          <a:blip r:embed="rId43">
                            <a:extLst>
                              <a:ext uri="{96DAC541-7B7A-43D3-8B79-37D633B846F1}">
                                <asvg:svgBlip xmlns:asvg="http://schemas.microsoft.com/office/drawing/2016/SVG/main" r:embed="rId44"/>
                              </a:ext>
                            </a:extLst>
                          </a:blip>
                          <a:stretch>
                            <a:fillRect/>
                          </a:stretch>
                        </pic:blipFill>
                        <pic:spPr bwMode="auto">
                          <a:xfrm>
                            <a:off x="0" y="0"/>
                            <a:ext cx="8229600" cy="4629150"/>
                          </a:xfrm>
                          <a:prstGeom prst="rect">
                            <a:avLst/>
                          </a:prstGeom>
                          <a:noFill/>
                          <a:ln>
                            <a:noFill/>
                          </a:ln>
                        </pic:spPr>
                      </pic:pic>
                    </a:graphicData>
                  </a:graphic>
                </wp:inline>
              </w:drawing>
            </w:r>
          </w:p>
          <w:p w14:paraId="617504AB" w14:textId="77777777" w:rsidR="007C4598" w:rsidRDefault="00000000">
            <w:pPr>
              <w:spacing w:before="40" w:after="200"/>
              <w:jc w:val="center"/>
            </w:pPr>
            <w:r>
              <w:rPr>
                <w:i/>
                <w:color w:val="2E5A8F"/>
                <w:sz w:val="16"/>
                <w:szCs w:val="16"/>
              </w:rPr>
              <w:t>Fig. 7.1 — Il costo del personale lungo la cascata. Elaborazione dello studio · Luigi De Michele · Giugno 2026.</w:t>
            </w:r>
          </w:p>
        </w:tc>
      </w:tr>
    </w:tbl>
    <w:p w14:paraId="161AA3D5" w14:textId="77777777" w:rsidR="007C4598" w:rsidRDefault="007C4598"/>
    <w:p w14:paraId="170BD269" w14:textId="77777777" w:rsidR="007C4598" w:rsidRDefault="00000000">
      <w:pPr>
        <w:jc w:val="both"/>
      </w:pPr>
      <w:r>
        <w:t>Il consolidamento del costo del personale chiude la sezione 7.1 e fornisce la prima e preponderante componente del costo diretto del modello base, che le sezioni successive completeranno con i costi di struttura, coordinamento e organizzazione, con il costo incrementale della leva digitale e dell’Intelligenza Artificiale e con il costo della formazione, fino al costo diretto complessivo per scenario della sezione 7.5. La ricostruzione qui condotta ha reso esplicita la struttura del costo del personale lungo la cascata, ne ha distinto la natura di cassa e di costo-opportunità, ne ha quantificato le componenti per scenario e ne ha formulato la previsione falsificabile, in coerenza con il metodo dal basso, con il principio di non duplicazione e con i vincoli invarianti che governano l’opera. La trattazione prosegue, nella tranche successiva, con la sezione 7.2, dedicata ai costi di struttura, coordinamento e organizzazione.</w:t>
      </w:r>
    </w:p>
    <w:p w14:paraId="3B93CA2E" w14:textId="77777777" w:rsidR="007C4598" w:rsidRDefault="007C4598"/>
    <w:p w14:paraId="2FC01DDB" w14:textId="77777777" w:rsidR="007C4598" w:rsidRDefault="00000000">
      <w:pPr>
        <w:pStyle w:val="Titolo2"/>
        <w:spacing w:before="200" w:after="100"/>
      </w:pPr>
      <w:r>
        <w:rPr>
          <w:sz w:val="22"/>
          <w:szCs w:val="22"/>
        </w:rPr>
        <w:t>7.2  I costi di struttura, coordinamento e organizzazione</w:t>
      </w:r>
    </w:p>
    <w:p w14:paraId="7846178C" w14:textId="77777777" w:rsidR="007C4598" w:rsidRDefault="007C4598"/>
    <w:p w14:paraId="34025085" w14:textId="77777777" w:rsidR="007C4598" w:rsidRDefault="00000000">
      <w:pPr>
        <w:jc w:val="both"/>
      </w:pPr>
      <w:r>
        <w:t xml:space="preserve">Esaurita la ricostruzione del costo del personale, che ne costituisce la voce preponderante, la presente sezione quantifica le voci del costo diretto del modello base che non hanno natura di personale clinico e che sorreggono il funzionamento del servizio sul piano materiale, organizzativo e istituzionale: i costi della struttura fisica entro cui il servizio opera, i costi della </w:t>
      </w:r>
      <w:proofErr w:type="spellStart"/>
      <w:r>
        <w:t>governance</w:t>
      </w:r>
      <w:proofErr w:type="spellEnd"/>
      <w:r>
        <w:t xml:space="preserve"> e del coordinamento istituzionale che ne assicurano la programmazione e il monitoraggio, i costi dei sistemi informativi e della </w:t>
      </w:r>
      <w:proofErr w:type="spellStart"/>
      <w:r>
        <w:t>telepsicologia</w:t>
      </w:r>
      <w:proofErr w:type="spellEnd"/>
      <w:r>
        <w:t xml:space="preserve"> di base che ne supportano l’attività, i costi dell’hardware e della relativa quota di ammortamento, e i costi dell’audit, della qualità e dell’</w:t>
      </w:r>
      <w:proofErr w:type="spellStart"/>
      <w:r>
        <w:t>accountability</w:t>
      </w:r>
      <w:proofErr w:type="spellEnd"/>
      <w:r>
        <w:t xml:space="preserve"> che ne garantiscono l’appropriatezza. Tali voci, di entità complessivamente modesta rispetto al costo del personale, completano il costo diretto del modello base e sono ricostruite con il medesimo metodo dal basso, distinte per scenario e corredate delle bande prudenziali e delle previsioni falsificabili che l’opera richiede.</w:t>
      </w:r>
    </w:p>
    <w:p w14:paraId="57D7BF21" w14:textId="77777777" w:rsidR="007C4598" w:rsidRDefault="007C4598"/>
    <w:p w14:paraId="0ACC3367" w14:textId="77777777" w:rsidR="007C4598" w:rsidRDefault="00000000">
      <w:pPr>
        <w:jc w:val="both"/>
      </w:pPr>
      <w:r>
        <w:t xml:space="preserve">La presente sezione raccoglie altresì il costo di coordinamento e </w:t>
      </w:r>
      <w:proofErr w:type="spellStart"/>
      <w:r>
        <w:t>governance</w:t>
      </w:r>
      <w:proofErr w:type="spellEnd"/>
      <w:r>
        <w:t xml:space="preserve"> che la sezione 7.1 ha espressamente rinviato a questa sede: il costo che gli attori istituzionali e amministrativi regionali del quarto livello della cascata — le aziende sanitarie locali, i distretti, l’Azienda Zero e la Regione — sostengono per programmare, coordinare, monitorare e governare il servizio. Tale costo non è un costo di personale clinico, ma un costo di funzione amministrativa e di </w:t>
      </w:r>
      <w:proofErr w:type="spellStart"/>
      <w:r>
        <w:t>governance</w:t>
      </w:r>
      <w:proofErr w:type="spellEnd"/>
      <w:r>
        <w:t xml:space="preserve">, e la sua collocazione nella presente sezione, distinta dal costo del personale della sezione 7.1, è precisamente ciò che il principio di non duplicazione impone, perché impedisce di imputare due volte la medesima risorsa e di confondere il tempo qualificato dello Psicologo di Base con il tempo amministrativo della funzione di </w:t>
      </w:r>
      <w:proofErr w:type="spellStart"/>
      <w:r>
        <w:t>governance</w:t>
      </w:r>
      <w:proofErr w:type="spellEnd"/>
      <w:r>
        <w:t>. La trattazione mantiene perciò, per tutta la sezione, la distinzione tra le voci qui ricostruite e quelle delle sezioni 7.1, 7.3 e 7.4, segnalando esplicitamente, ogni volta che il confine sia incerto, lo strato e la sezione cui ciascuna voce è attribuita.</w:t>
      </w:r>
    </w:p>
    <w:p w14:paraId="56DCA4CC" w14:textId="77777777" w:rsidR="007C4598" w:rsidRDefault="007C4598"/>
    <w:p w14:paraId="69AB10A8" w14:textId="77777777" w:rsidR="007C4598" w:rsidRDefault="00000000">
      <w:pPr>
        <w:jc w:val="both"/>
      </w:pPr>
      <w:r>
        <w:t>Una precisazione di metodo governa l’intera sezione e ne condiziona le stime: una parte rilevante dei costi qui ricostruiti non è interamente incrementale per la riforma, ma è in misura variabile assorbita dalla dotazione infrastrutturale e organizzativa che il sistema sta già realizzando in attuazione del modello di assistenza territoriale e degli investimenti della programmazione nazionale.</w:t>
      </w:r>
      <w:r>
        <w:rPr>
          <w:color w:val="555555"/>
          <w:sz w:val="16"/>
          <w:szCs w:val="16"/>
          <w:vertAlign w:val="superscript"/>
        </w:rPr>
        <w:t>[12][14]</w:t>
      </w:r>
      <w:r>
        <w:t xml:space="preserve"> Gli spazi entro cui lo Psicologo di Base opera sono, in larga parte, gli spazi delle Case della Comunità, la cui realizzazione è finanziata dalla programmazione nazionale e non dalla riforma; i sistemi informativi di base si innestano sull’infrastruttura digitale del Servizio sanitario regionale e sul Fascicolo Sanitario Elettronico, la cui evoluzione è anch’essa oggetto di investimento nazionale; la funzione di </w:t>
      </w:r>
      <w:proofErr w:type="spellStart"/>
      <w:r>
        <w:t>governance</w:t>
      </w:r>
      <w:proofErr w:type="spellEnd"/>
      <w:r>
        <w:t xml:space="preserve"> si esercita attraverso strutture amministrative preesistenti. Ne consegue che il costo incrementale di tali voci per la riforma è, in misura variabile, marginale, e che la sua stima va ancorata al grado di realizzazione della dotazione esistente ed espressa in forma condizionale, come la presente sezione fa per ciascuna voce.</w:t>
      </w:r>
    </w:p>
    <w:p w14:paraId="62AAE21C" w14:textId="77777777" w:rsidR="007C4598" w:rsidRDefault="007C4598"/>
    <w:p w14:paraId="50B12749" w14:textId="77777777" w:rsidR="007C4598" w:rsidRDefault="00000000">
      <w:pPr>
        <w:pStyle w:val="Titolo3"/>
        <w:spacing w:before="200" w:after="100"/>
      </w:pPr>
      <w:r>
        <w:rPr>
          <w:color w:val="16264B"/>
          <w:sz w:val="22"/>
          <w:szCs w:val="22"/>
        </w:rPr>
        <w:t>7.2.1  I costi di struttura fisica: gli spazi nelle Case della Comunità</w:t>
      </w:r>
    </w:p>
    <w:p w14:paraId="373CF090" w14:textId="77777777" w:rsidR="007C4598" w:rsidRDefault="007C4598"/>
    <w:p w14:paraId="37E5A45F" w14:textId="77777777" w:rsidR="007C4598" w:rsidRDefault="00000000">
      <w:pPr>
        <w:jc w:val="both"/>
      </w:pPr>
      <w:r>
        <w:t>Il servizio di psicologia di base, in coerenza con la sua vocazione alla prossimità territoriale, opera entro gli spazi delle Case della Comunità e dei presidi territoriali che la programmazione nazionale ha posto al centro dell’assistenza di prossimità, e il costo della struttura fisica entro cui esso si esercita è perciò, in larga parte, un costo già sostenuto dal sistema e non incrementale per la riforma.</w:t>
      </w:r>
      <w:r>
        <w:rPr>
          <w:color w:val="555555"/>
          <w:sz w:val="16"/>
          <w:szCs w:val="16"/>
          <w:vertAlign w:val="superscript"/>
        </w:rPr>
        <w:t>[12][14]</w:t>
      </w:r>
      <w:r>
        <w:t xml:space="preserve"> La realizzazione delle Case della Comunità è finanziata dalla componente della programmazione nazionale dedicata alle reti di prossimità, e gli spazi che esse offrono comprendono gli ambulatori e i locali in cui le diverse figure delle cure primarie esercitano la propria attività, ivi compreso lo Psicologo di Base. La riforma, in altri termini, non edifica strutture nuove né sostiene il costo della loro costruzione, ma utilizza gli spazi che la programmazione territoriale rende disponibili, e il costo della struttura fisica per la riforma si riduce di conseguenza al costo marginale dell’adattamento e dell’allestimento dei locali destinati all’attività psicologica.</w:t>
      </w:r>
    </w:p>
    <w:p w14:paraId="7FDFA51A" w14:textId="77777777" w:rsidR="007C4598" w:rsidRDefault="007C4598"/>
    <w:p w14:paraId="41CDD96C" w14:textId="77777777" w:rsidR="007C4598" w:rsidRDefault="00000000">
      <w:pPr>
        <w:jc w:val="both"/>
      </w:pPr>
      <w:r>
        <w:t>Il costo marginale dell’adattamento e dell’allestimento comprende le voci necessarie a rendere i locali idonei all’esercizio dell’attività psicologica nelle condizioni di riservatezza e di comfort che essa richiede: l’insonorizzazione e la garanzia della riservatezza acustica, l’arredo dei locali destinati al colloquio, l’adeguamento degli spazi di attesa e di accoglienza. Tali voci, di natura prevalentemente non ricorrente, sono in parte una tantum, concentrate nella fase di avvio del servizio, e in parte ricorrenti, per la manutenzione e il rinnovo dell’arredo. Dimensionando il costo marginale di adattamento e allestimento per ciascuna postazione e moltiplicandolo per il numero di postazioni che il servizio richiede nei distretti e nelle Case della Comunità, il costo ricorrente della struttura fisica per la riforma si colloca dell’ordine di duecentomila euro annui a regime nello scenario centrale, all’interno di un intervallo compreso tra centomila e cinquecentomila euro nei tre scenari, cui si aggiunge un costo una tantum di adattamento iniziale, concentrato nei primi due esercizi, dell’ordine di alcune centinaia di migliaia di euro.</w:t>
      </w:r>
    </w:p>
    <w:p w14:paraId="111ACB32" w14:textId="77777777" w:rsidR="007C4598" w:rsidRDefault="007C4598"/>
    <w:p w14:paraId="4BF1F12A" w14:textId="77777777" w:rsidR="007C4598" w:rsidRDefault="00000000">
      <w:pPr>
        <w:jc w:val="both"/>
      </w:pPr>
      <w:r>
        <w:t>Il costo della struttura fisica per la riforma è dunque marginale, e la sua entità dipende in misura determinante dal grado di realizzazione delle Case della Comunità: ove la rete territoriale sia pienamente realizzata e gli spazi siano disponibili e idonei, il costo incrementale si riduce al solo allestimento; ove la rete sia parzialmente realizzata o gli spazi richiedano adattamenti più estesi, il costo sale verso il limite superiore dell’intervallo. La trattazione adotta, in ossequio al principio di prudenza, l’ipotesi intermedia di una realizzazione parziale della rete, e registra perciò un costo ricorrente della struttura fisica dell’ordine di duecentomila euro annui a regime, con esplicita segnalazione della sua dipendenza dal grado di realizzazione della rete territoriale e della sua natura prevalentemente marginale rispetto al costo complessivo del servizio. Su questa base è possibile formulare una previsione falsificabile: il costo ricorrente della struttura fisica per la riforma non dovrebbe eccedere il mezzo milione di euro annui a regime, e si collocherebbe verso il limite inferiore dell’intervallo ove la rete territoriale fosse pienamente realizzata, con indicazione delle soglie di confutazione e verifica nel sistema di monitoraggio regionale.</w:t>
      </w:r>
    </w:p>
    <w:p w14:paraId="1BBDB459" w14:textId="77777777" w:rsidR="007C4598" w:rsidRDefault="007C4598"/>
    <w:p w14:paraId="57BC76DF" w14:textId="77777777" w:rsidR="007C4598" w:rsidRDefault="00000000">
      <w:pPr>
        <w:pStyle w:val="Titolo3"/>
        <w:spacing w:before="200" w:after="100"/>
      </w:pPr>
      <w:r>
        <w:rPr>
          <w:color w:val="16264B"/>
          <w:sz w:val="22"/>
          <w:szCs w:val="22"/>
        </w:rPr>
        <w:t xml:space="preserve">7.2.2  I costi di </w:t>
      </w:r>
      <w:proofErr w:type="spellStart"/>
      <w:r>
        <w:rPr>
          <w:color w:val="16264B"/>
          <w:sz w:val="22"/>
          <w:szCs w:val="22"/>
        </w:rPr>
        <w:t>governance</w:t>
      </w:r>
      <w:proofErr w:type="spellEnd"/>
      <w:r>
        <w:rPr>
          <w:color w:val="16264B"/>
          <w:sz w:val="22"/>
          <w:szCs w:val="22"/>
        </w:rPr>
        <w:t xml:space="preserve"> e coordinamento istituzionale</w:t>
      </w:r>
    </w:p>
    <w:p w14:paraId="74294038" w14:textId="77777777" w:rsidR="007C4598" w:rsidRDefault="007C4598"/>
    <w:p w14:paraId="6D91A42B" w14:textId="77777777" w:rsidR="007C4598" w:rsidRDefault="00000000">
      <w:pPr>
        <w:jc w:val="both"/>
      </w:pPr>
      <w:r>
        <w:t xml:space="preserve">La </w:t>
      </w:r>
      <w:proofErr w:type="spellStart"/>
      <w:r>
        <w:t>governance</w:t>
      </w:r>
      <w:proofErr w:type="spellEnd"/>
      <w:r>
        <w:t xml:space="preserve"> e il coordinamento istituzionale del servizio costituiscono la voce di costo che la sezione 7.1 ha espressamente rinviato alla presente sede, e che gli attori istituzionali e amministrativi regionali del quarto livello della cascata — le aziende sanitarie locali, i distretti, l’Azienda Zero e la Regione — sostengono per assicurare la programmazione, il coordinamento, il monitoraggio e la </w:t>
      </w:r>
      <w:proofErr w:type="spellStart"/>
      <w:r>
        <w:t>governance</w:t>
      </w:r>
      <w:proofErr w:type="spellEnd"/>
      <w:r>
        <w:t xml:space="preserve"> del servizio. Tale costo è di natura affatto diversa dal costo del personale clinico della sezione 7.1 e dal costo del personale amministrativo di supporto operativo, che la medesima sezione ha ricostruito: esso è il costo della funzione di governo del servizio, esercitata attraverso il tempo di figure amministrative e direzionali dedicate alla programmazione del fabbisogno, al coordinamento tra i livelli, al monitoraggio degli indicatori e al raccordo con le strutture regionali.</w:t>
      </w:r>
    </w:p>
    <w:p w14:paraId="0754012E" w14:textId="77777777" w:rsidR="007C4598" w:rsidRDefault="007C4598"/>
    <w:p w14:paraId="3CBE096B" w14:textId="77777777" w:rsidR="007C4598" w:rsidRDefault="00000000">
      <w:pPr>
        <w:jc w:val="both"/>
      </w:pPr>
      <w:r>
        <w:t xml:space="preserve">La funzione di </w:t>
      </w:r>
      <w:proofErr w:type="spellStart"/>
      <w:r>
        <w:t>governance</w:t>
      </w:r>
      <w:proofErr w:type="spellEnd"/>
      <w:r>
        <w:t xml:space="preserve"> e coordinamento si articola su più livelli del quarto livello della cascata, ciascuno con un proprio costo. Al livello regionale, la funzione comprende la programmazione del servizio, la definizione degli standard, il coordinamento del sistema di monitoraggio e il raccordo con la programmazione nazionale, ed è esercitata attraverso strutture amministrative regionali e dell’Azienda Zero, in parte preesistenti e in parte dedicate. Al livello aziendale e distrettuale, la funzione comprende il coordinamento operativo del servizio nei territori, la gestione del fabbisogno locale, il raccordo con la medicina generale e con i servizi specialistici, ed è esercitata attraverso figure di coordinamento aziendale e distrettuale. Il costo della funzione di </w:t>
      </w:r>
      <w:proofErr w:type="spellStart"/>
      <w:r>
        <w:t>governance</w:t>
      </w:r>
      <w:proofErr w:type="spellEnd"/>
      <w:r>
        <w:t xml:space="preserve"> e coordinamento è perciò composto dal costo del tempo di tali figure, nella quota dedicata al servizio di psicologia di base.</w:t>
      </w:r>
    </w:p>
    <w:p w14:paraId="617C2131" w14:textId="77777777" w:rsidR="007C4598" w:rsidRDefault="007C4598"/>
    <w:p w14:paraId="72122E0A" w14:textId="77777777" w:rsidR="007C4598" w:rsidRDefault="00000000">
      <w:pPr>
        <w:jc w:val="both"/>
      </w:pPr>
      <w:r>
        <w:t xml:space="preserve">Dimensionando la funzione di </w:t>
      </w:r>
      <w:proofErr w:type="spellStart"/>
      <w:r>
        <w:t>governance</w:t>
      </w:r>
      <w:proofErr w:type="spellEnd"/>
      <w:r>
        <w:t xml:space="preserve"> e coordinamento in proporzione alla scala del servizio e alla sua articolazione territoriale, e valorizzandola al costo delle figure amministrative e direzionali coinvolte, il costo della </w:t>
      </w:r>
      <w:proofErr w:type="spellStart"/>
      <w:r>
        <w:t>governance</w:t>
      </w:r>
      <w:proofErr w:type="spellEnd"/>
      <w:r>
        <w:t xml:space="preserve"> e del coordinamento istituzionale si colloca dell’ordine di un milione e duecentomila euro annui a regime nello scenario centrale, all’interno di un intervallo compreso tra novecentomila e un milione e seicentomila euro nei tre scenari. Tale costo è, in misura variabile, assorbito dalle strutture amministrative preesistenti, che esercitano la funzione di </w:t>
      </w:r>
      <w:proofErr w:type="spellStart"/>
      <w:r>
        <w:t>governance</w:t>
      </w:r>
      <w:proofErr w:type="spellEnd"/>
      <w:r>
        <w:t xml:space="preserve"> del servizio nell’ambito della più ampia funzione di governo dell’assistenza territoriale, e il suo carattere incrementale per la riforma è perciò parziale: la quota interamente incrementale, corrispondente alle figure di coordinamento specificamente dedicate al servizio, si colloca verso il limite inferiore dell’intervallo, mentre la quota assorbita dalle strutture preesistenti non genera esborso aggiuntivo. La trattazione adotta, in ossequio al principio di prudenza, la stima intermedia di un milione e duecentomila euro, con esplicita segnalazione della quota assorbita e della quota incrementale, e ne ribadisce la distinzione dal costo del personale clinico e amministrativo di supporto della sezione 7.1, affinché la somma finale non comporti duplicazioni.</w:t>
      </w:r>
    </w:p>
    <w:p w14:paraId="3E7D1C49" w14:textId="77777777" w:rsidR="007C4598" w:rsidRDefault="007C4598"/>
    <w:p w14:paraId="60B2F083" w14:textId="77777777" w:rsidR="007C4598" w:rsidRDefault="00000000">
      <w:pPr>
        <w:pStyle w:val="Titolo3"/>
        <w:spacing w:before="200" w:after="100"/>
      </w:pPr>
      <w:r>
        <w:rPr>
          <w:color w:val="16264B"/>
          <w:sz w:val="22"/>
          <w:szCs w:val="22"/>
        </w:rPr>
        <w:t xml:space="preserve">7.2.3  I costi dei sistemi informativi e della </w:t>
      </w:r>
      <w:proofErr w:type="spellStart"/>
      <w:r>
        <w:rPr>
          <w:color w:val="16264B"/>
          <w:sz w:val="22"/>
          <w:szCs w:val="22"/>
        </w:rPr>
        <w:t>telepsicologia</w:t>
      </w:r>
      <w:proofErr w:type="spellEnd"/>
      <w:r>
        <w:rPr>
          <w:color w:val="16264B"/>
          <w:sz w:val="22"/>
          <w:szCs w:val="22"/>
        </w:rPr>
        <w:t xml:space="preserve"> di base</w:t>
      </w:r>
    </w:p>
    <w:p w14:paraId="4BC1C32E" w14:textId="77777777" w:rsidR="007C4598" w:rsidRDefault="007C4598"/>
    <w:p w14:paraId="6369A3A2" w14:textId="77777777" w:rsidR="007C4598" w:rsidRDefault="00000000">
      <w:pPr>
        <w:jc w:val="both"/>
      </w:pPr>
      <w:r>
        <w:t xml:space="preserve">I sistemi informativi e la </w:t>
      </w:r>
      <w:proofErr w:type="spellStart"/>
      <w:r>
        <w:t>telepsicologia</w:t>
      </w:r>
      <w:proofErr w:type="spellEnd"/>
      <w:r>
        <w:t xml:space="preserve"> di base costituiscono l’infrastruttura digitale entro cui il servizio opera, e la loro ricostruzione richiede una distinzione netta rispetto alla leva dell’Intelligenza Artificiale che la sezione 7.3 tratterà come strato autonomo del programma. I sistemi informativi e la </w:t>
      </w:r>
      <w:proofErr w:type="spellStart"/>
      <w:r>
        <w:t>telepsicologia</w:t>
      </w:r>
      <w:proofErr w:type="spellEnd"/>
      <w:r>
        <w:t xml:space="preserve"> di base comprendono gli strumenti digitali ordinari che il servizio impiega per la sua attività corrente: la cartella clinica informatizzata e la sua integrazione con il Fascicolo Sanitario Elettronico, gli strumenti di gestione delle agende e degli appuntamenti, la piattaforma di </w:t>
      </w:r>
      <w:proofErr w:type="spellStart"/>
      <w:r>
        <w:t>telepsicologia</w:t>
      </w:r>
      <w:proofErr w:type="spellEnd"/>
      <w:r>
        <w:t xml:space="preserve"> per la </w:t>
      </w:r>
      <w:proofErr w:type="spellStart"/>
      <w:r>
        <w:t>teleconsultazione</w:t>
      </w:r>
      <w:proofErr w:type="spellEnd"/>
      <w:r>
        <w:t xml:space="preserve"> e per l’erogazione di interventi a distanza, gli strumenti di interoperabilità con i sistemi del Servizio sanitario regionale. Tali strumenti non incorporano funzioni di Intelligenza Artificiale, ma costituiscono l’infrastruttura digitale di base su cui la leva dell’Intelligenza Artificiale si innesterà, e il loro costo è perciò parte del modello base e distinto dal costo incrementale della componente di Intelligenza Artificiale della sezione 7.3.</w:t>
      </w:r>
    </w:p>
    <w:p w14:paraId="66B77B94" w14:textId="77777777" w:rsidR="007C4598" w:rsidRDefault="007C4598"/>
    <w:p w14:paraId="280CD507" w14:textId="77777777" w:rsidR="007C4598" w:rsidRDefault="00000000">
      <w:pPr>
        <w:jc w:val="both"/>
      </w:pPr>
      <w:r>
        <w:t xml:space="preserve">La </w:t>
      </w:r>
      <w:proofErr w:type="spellStart"/>
      <w:r>
        <w:t>telepsicologia</w:t>
      </w:r>
      <w:proofErr w:type="spellEnd"/>
      <w:r>
        <w:t xml:space="preserve"> di base, in particolare, costituisce una componente del modello base la cui efficacia è documentata da una letteratura di qualità apprezzabile e che merita una graduazione attenta dell’evidenza, in coerenza con il vincolo che governa l’opera. L’erogazione di interventi psicologici a distanza, e segnatamente della terapia cognitivo-comportamentale erogata via internet, dispone di un’evidenza di efficacia che la letteratura colloca su un grado da moderato a elevato per i disturbi d’ansia e depressivi di intensità lieve e moderata, con esiti comparabili a quelli dell’intervento in presenza per numerose condizioni.</w:t>
      </w:r>
      <w:r>
        <w:rPr>
          <w:color w:val="555555"/>
          <w:sz w:val="16"/>
          <w:szCs w:val="16"/>
          <w:vertAlign w:val="superscript"/>
        </w:rPr>
        <w:t>[15][16]</w:t>
      </w:r>
      <w:r>
        <w:t xml:space="preserve"> Tale evidenza sostiene l’inclusione della </w:t>
      </w:r>
      <w:proofErr w:type="spellStart"/>
      <w:r>
        <w:t>telepsicologia</w:t>
      </w:r>
      <w:proofErr w:type="spellEnd"/>
      <w:r>
        <w:t xml:space="preserve"> di base tra le componenti del modello base, non come funzione di Intelligenza Artificiale, ma come modalità di erogazione dell’intervento psicologico che la piattaforma digitale rende disponibile, e il cui costo è quello della piattaforma e della sua manutenzione, non quello di strumenti computazionali avanzati.</w:t>
      </w:r>
    </w:p>
    <w:p w14:paraId="0F55357A" w14:textId="77777777" w:rsidR="007C4598" w:rsidRDefault="007C4598"/>
    <w:p w14:paraId="52F14B2E" w14:textId="77777777" w:rsidR="007C4598" w:rsidRDefault="00000000">
      <w:pPr>
        <w:jc w:val="both"/>
      </w:pPr>
      <w:r>
        <w:t xml:space="preserve">Dimensionando il costo dei sistemi informativi e della </w:t>
      </w:r>
      <w:proofErr w:type="spellStart"/>
      <w:r>
        <w:t>telepsicologia</w:t>
      </w:r>
      <w:proofErr w:type="spellEnd"/>
      <w:r>
        <w:t xml:space="preserve"> di base in funzione della scala del servizio, e comprendendovi il costo di licenza e di manutenzione della cartella clinica, della piattaforma di </w:t>
      </w:r>
      <w:proofErr w:type="spellStart"/>
      <w:r>
        <w:t>telepsicologia</w:t>
      </w:r>
      <w:proofErr w:type="spellEnd"/>
      <w:r>
        <w:t xml:space="preserve"> e degli strumenti di gestione e di interoperabilità, il costo dei sistemi informativi e della </w:t>
      </w:r>
      <w:proofErr w:type="spellStart"/>
      <w:r>
        <w:t>telepsicologia</w:t>
      </w:r>
      <w:proofErr w:type="spellEnd"/>
      <w:r>
        <w:t xml:space="preserve"> di base si colloca dell’ordine di un milione e seicentomila euro annui a regime nello scenario centrale, all’interno di un intervallo compreso tra un milione e duecentomila e due milioni e centomila euro nei tre scenari, cui si aggiunge un costo una tantum di configurazione e di integrazione iniziale, concentrato nei primi due esercizi. Anche tale costo è, in misura variabile, assorbito dall’infrastruttura digitale preesistente del Servizio sanitario regionale e dall’evoluzione del Fascicolo Sanitario Elettronico finanziata dalla programmazione nazionale, e il suo carattere incrementale per la riforma è perciò parziale; la trattazione adotta la stima intermedia, con esplicita segnalazione della quota assorbita, e ne ribadisce la distinzione dal costo della componente di Intelligenza Artificiale della sezione 7.3.</w:t>
      </w:r>
    </w:p>
    <w:p w14:paraId="0DDE16F4" w14:textId="77777777" w:rsidR="007C4598" w:rsidRDefault="007C4598"/>
    <w:p w14:paraId="1C23500E" w14:textId="77777777" w:rsidR="007C4598" w:rsidRDefault="00000000">
      <w:pPr>
        <w:pStyle w:val="Titolo3"/>
        <w:spacing w:before="200" w:after="100"/>
      </w:pPr>
      <w:r>
        <w:rPr>
          <w:color w:val="16264B"/>
          <w:sz w:val="22"/>
          <w:szCs w:val="22"/>
        </w:rPr>
        <w:t>7.2.4  I costi di hardware e la quota di ammortamento</w:t>
      </w:r>
    </w:p>
    <w:p w14:paraId="11C2F285" w14:textId="77777777" w:rsidR="007C4598" w:rsidRDefault="007C4598"/>
    <w:p w14:paraId="7EDE8C17" w14:textId="77777777" w:rsidR="007C4598" w:rsidRDefault="00000000">
      <w:pPr>
        <w:jc w:val="both"/>
      </w:pPr>
      <w:r>
        <w:t xml:space="preserve">I costi di hardware comprendono le dotazioni materiali che il servizio richiede per la sua attività: le postazioni di lavoro degli psicologi di base e del personale amministrativo di supporto, i dispositivi per la </w:t>
      </w:r>
      <w:proofErr w:type="spellStart"/>
      <w:r>
        <w:t>teleconsultazione</w:t>
      </w:r>
      <w:proofErr w:type="spellEnd"/>
      <w:r>
        <w:t>, le attrezzature dei locali destinati all’attività psicologica. Tali dotazioni, di natura prevalentemente non ricorrente, sono acquisite nella fase di avvio del servizio e rinnovate periodicamente, e il loro costo è ripartito nel tempo secondo la quota di ammortamento, che ne distribuisce l’onere lungo la vita utile dei beni. La ricostruzione del costo dell’hardware adotta perciò la logica dell’ammortamento, che la disciplina della valutazione economica indica come il metodo corretto per imputare il costo dei beni durevoli, evitando di concentrarne l’intero onere nell’esercizio di acquisto e distribuendolo lungo la vita utile.</w:t>
      </w:r>
    </w:p>
    <w:p w14:paraId="3AB13BE7" w14:textId="77777777" w:rsidR="007C4598" w:rsidRDefault="007C4598"/>
    <w:p w14:paraId="3C53D5D3" w14:textId="77777777" w:rsidR="007C4598" w:rsidRDefault="00000000">
      <w:pPr>
        <w:jc w:val="both"/>
      </w:pPr>
      <w:r>
        <w:t>Dimensionando il costo dell’hardware in proporzione al numero di postazioni e di dispositivi che il servizio richiede, e applicando una vita utile dei beni dell’ordine di quattro-cinque anni con la corrispondente quota di ammortamento, il costo annuo dell’hardware, comprensivo della quota di ammortamento e della manutenzione, si colloca dell’ordine di settecentomila euro annui a regime nello scenario centrale, all’interno di un intervallo compreso tra cinquecentomila e un milione di euro nei tre scenari, cui si aggiunge un costo una tantum di prima dotazione, concentrato nella fase di avvio. Anche tale costo è in parte assorbito dalla dotazione hardware delle Case della Comunità e dei presidi territoriali, e il suo carattere incrementale per la riforma è perciò parziale; la trattazione adotta la stima intermedia, con esplicita segnalazione della quota assorbita e della logica di ammortamento adottata.</w:t>
      </w:r>
    </w:p>
    <w:p w14:paraId="773ECF5F" w14:textId="77777777" w:rsidR="007C4598" w:rsidRDefault="007C4598"/>
    <w:p w14:paraId="3FA679E8" w14:textId="77777777" w:rsidR="007C4598" w:rsidRDefault="00000000">
      <w:pPr>
        <w:pStyle w:val="Titolo3"/>
        <w:spacing w:before="200" w:after="100"/>
      </w:pPr>
      <w:r>
        <w:rPr>
          <w:color w:val="16264B"/>
          <w:sz w:val="22"/>
          <w:szCs w:val="22"/>
        </w:rPr>
        <w:t xml:space="preserve">7.2.5  I costi di audit, qualità e </w:t>
      </w:r>
      <w:proofErr w:type="spellStart"/>
      <w:r>
        <w:rPr>
          <w:color w:val="16264B"/>
          <w:sz w:val="22"/>
          <w:szCs w:val="22"/>
        </w:rPr>
        <w:t>accountability</w:t>
      </w:r>
      <w:proofErr w:type="spellEnd"/>
    </w:p>
    <w:p w14:paraId="709F7FA3" w14:textId="77777777" w:rsidR="007C4598" w:rsidRDefault="007C4598"/>
    <w:p w14:paraId="31F07F8F" w14:textId="77777777" w:rsidR="007C4598" w:rsidRDefault="00000000">
      <w:pPr>
        <w:jc w:val="both"/>
      </w:pPr>
      <w:r>
        <w:t xml:space="preserve">I costi di audit, qualità e </w:t>
      </w:r>
      <w:proofErr w:type="spellStart"/>
      <w:r>
        <w:t>accountability</w:t>
      </w:r>
      <w:proofErr w:type="spellEnd"/>
      <w:r>
        <w:t xml:space="preserve"> comprendono le attività che il servizio richiede per garantire l’appropriatezza, la qualità e la </w:t>
      </w:r>
      <w:proofErr w:type="spellStart"/>
      <w:r>
        <w:t>rendicontabilità</w:t>
      </w:r>
      <w:proofErr w:type="spellEnd"/>
      <w:r>
        <w:t xml:space="preserve"> della propria azione: il sistema di gestione della qualità, l’audit clinico periodico, la rilevazione e l’analisi degli indicatori di esito, le attività di accreditamento, la rendicontazione verso le strutture regionali e verso il sistema di monitoraggio. Tali attività, che la Parte quindicesima riprenderà nella trattazione del sistema di monitoraggio e del cruscotto regionale, generano un costo di funzione che la presente sezione ricostruisce e che è distinto dal costo della supervisione clinica di base della sezione 7.1: la supervisione clinica di base mira a mantenere la qualità dell’esercizio professionale corrente, mentre l’audit e la qualità mirano a verificare e a rendicontare l’appropriatezza e gli esiti del servizio nel suo complesso.</w:t>
      </w:r>
    </w:p>
    <w:p w14:paraId="725A67A3" w14:textId="77777777" w:rsidR="007C4598" w:rsidRDefault="007C4598"/>
    <w:p w14:paraId="1146DE7D" w14:textId="77777777" w:rsidR="007C4598" w:rsidRDefault="00000000">
      <w:pPr>
        <w:jc w:val="both"/>
      </w:pPr>
      <w:r>
        <w:t>Il costo dell’audit, della qualità e dell’</w:t>
      </w:r>
      <w:proofErr w:type="spellStart"/>
      <w:r>
        <w:t>accountability</w:t>
      </w:r>
      <w:proofErr w:type="spellEnd"/>
      <w:r>
        <w:t xml:space="preserve"> è composto dal costo del tempo delle figure dedicate a tali attività e dal costo degli strumenti di rilevazione e di analisi degli indicatori. Dimensionando tale costo in proporzione alla scala del servizio e alla complessità del sistema di monitoraggio, e valorizzandolo al costo delle figure e degli strumenti coinvolti, il costo dell’audit, della qualità e dell’</w:t>
      </w:r>
      <w:proofErr w:type="spellStart"/>
      <w:r>
        <w:t>accountability</w:t>
      </w:r>
      <w:proofErr w:type="spellEnd"/>
      <w:r>
        <w:t xml:space="preserve"> si colloca dell’ordine di cinquecentomila euro annui a regime nello scenario centrale, all’interno di un intervallo compreso tra quattrocentomila e settecentomila euro nei tre scenari. Tale costo, di entità modesta rispetto al costo complessivo del servizio, è tuttavia essenziale, perché è da esso che dipende la possibilità di verificare ex post le previsioni falsificabili che l’opera formula e di alimentare il cruscotto regionale che la Parte quindicesima definirà; e la sua inclusione tra i costi diretti è la traduzione economica del vincolo di falsificabilità che governa l’opera, il quale richiede che il servizio disponga degli strumenti per misurare i propri esiti e per sottoporre a verifica le proprie stime.</w:t>
      </w:r>
    </w:p>
    <w:p w14:paraId="66D22811" w14:textId="77777777" w:rsidR="007C4598" w:rsidRDefault="007C4598"/>
    <w:p w14:paraId="2757F908" w14:textId="77777777" w:rsidR="007C4598" w:rsidRDefault="00000000">
      <w:pPr>
        <w:pStyle w:val="Titolo3"/>
        <w:spacing w:before="200" w:after="100"/>
      </w:pPr>
      <w:r>
        <w:rPr>
          <w:color w:val="16264B"/>
          <w:sz w:val="22"/>
          <w:szCs w:val="22"/>
        </w:rPr>
        <w:t>7.2.6  Il consolidamento dei costi di struttura, coordinamento e organizzazione</w:t>
      </w:r>
    </w:p>
    <w:p w14:paraId="74F96E1C" w14:textId="77777777" w:rsidR="007C4598" w:rsidRDefault="007C4598"/>
    <w:p w14:paraId="20022FF2" w14:textId="77777777" w:rsidR="007C4598" w:rsidRDefault="00000000">
      <w:pPr>
        <w:jc w:val="both"/>
      </w:pPr>
      <w:r>
        <w:t>La ricostruzione dei costi di struttura, coordinamento e organizzazione perviene ora al consolidamento, che ricompone le cinque voci esposte in una stima complessiva, distinta per scenario e corredata della banda prudenziale e della previsione falsificabile che l’opera richiede. Il consolidamento mantiene la distinzione tra il costo ricorrente a regime e il costo una tantum di avvio, e segnala per ciascuna voce la quota assorbita dalla dotazione esistente e la quota incrementale per la riforma.</w:t>
      </w:r>
    </w:p>
    <w:p w14:paraId="0EF60F7D" w14:textId="77777777" w:rsidR="007C4598" w:rsidRDefault="007C4598"/>
    <w:p w14:paraId="10BCE736" w14:textId="77777777" w:rsidR="007C4598" w:rsidRDefault="00000000">
      <w:pPr>
        <w:jc w:val="both"/>
      </w:pPr>
      <w:r>
        <w:t xml:space="preserve">I costi di struttura, coordinamento e organizzazione a regime si collocano, nello scenario centrale, dell’ordine di quattro milioni e duecentomila euro annui, somma dei duecentomila euro della struttura fisica, del milione e duecentomila euro della </w:t>
      </w:r>
      <w:proofErr w:type="spellStart"/>
      <w:r>
        <w:t>governance</w:t>
      </w:r>
      <w:proofErr w:type="spellEnd"/>
      <w:r>
        <w:t xml:space="preserve"> e del coordinamento istituzionale, del milione e seicentomila euro dei sistemi informativi e della </w:t>
      </w:r>
      <w:proofErr w:type="spellStart"/>
      <w:r>
        <w:t>telepsicologia</w:t>
      </w:r>
      <w:proofErr w:type="spellEnd"/>
      <w:r>
        <w:t xml:space="preserve"> di base, dei settecentomila euro dell’hardware e dell’ammortamento e dei cinquecentomila euro dell’audit e della qualità. Nei tre scenari, i costi di struttura, coordinamento e organizzazione si collocano in un intervallo compreso tra tre milioni e centomila e cinque milioni e novecentomila euro annui a regime, dove l’estremo superiore corrisponde allo scenario prudenzialmente più oneroso e l’estremo inferiore allo scenario efficiente. A regime, dunque, i costi di struttura, coordinamento e organizzazione rappresentano dell’ordine di un decimo del costo diretto del modello base, confermando la preponderanza del costo del personale che la sezione 7.1 ha ricostruito.</w:t>
      </w:r>
    </w:p>
    <w:p w14:paraId="39FEA9F5"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806"/>
        <w:gridCol w:w="1805"/>
        <w:gridCol w:w="1805"/>
        <w:gridCol w:w="1805"/>
        <w:gridCol w:w="1805"/>
      </w:tblGrid>
      <w:tr w:rsidR="007C4598" w14:paraId="128F71AA" w14:textId="77777777">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9CADD57" w14:textId="77777777" w:rsidR="007C4598" w:rsidRDefault="00000000">
            <w:pPr>
              <w:spacing w:after="40"/>
            </w:pPr>
            <w:r>
              <w:rPr>
                <w:b/>
                <w:bCs/>
                <w:color w:val="FFFFFF"/>
                <w:sz w:val="18"/>
                <w:szCs w:val="18"/>
              </w:rPr>
              <w:t>Voce di costo (a regime)</w:t>
            </w:r>
          </w:p>
        </w:tc>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69A3B6D" w14:textId="77777777" w:rsidR="007C4598" w:rsidRDefault="00000000">
            <w:pPr>
              <w:spacing w:after="40"/>
            </w:pPr>
            <w:r>
              <w:rPr>
                <w:b/>
                <w:bCs/>
                <w:color w:val="FFFFFF"/>
                <w:sz w:val="18"/>
                <w:szCs w:val="18"/>
              </w:rPr>
              <w:t>Conservativo</w:t>
            </w:r>
          </w:p>
        </w:tc>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5E6C94C" w14:textId="77777777" w:rsidR="007C4598" w:rsidRDefault="00000000">
            <w:pPr>
              <w:spacing w:after="40"/>
            </w:pPr>
            <w:r>
              <w:rPr>
                <w:b/>
                <w:bCs/>
                <w:color w:val="FFFFFF"/>
                <w:sz w:val="18"/>
                <w:szCs w:val="18"/>
              </w:rPr>
              <w:t>Centrale</w:t>
            </w:r>
          </w:p>
        </w:tc>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1C53676" w14:textId="77777777" w:rsidR="007C4598" w:rsidRDefault="00000000">
            <w:pPr>
              <w:spacing w:after="40"/>
            </w:pPr>
            <w:r>
              <w:rPr>
                <w:b/>
                <w:bCs/>
                <w:color w:val="FFFFFF"/>
                <w:sz w:val="18"/>
                <w:szCs w:val="18"/>
              </w:rPr>
              <w:t>Espansivo</w:t>
            </w:r>
          </w:p>
        </w:tc>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5C71C25" w14:textId="77777777" w:rsidR="007C4598" w:rsidRDefault="00000000">
            <w:pPr>
              <w:spacing w:after="40"/>
            </w:pPr>
            <w:r>
              <w:rPr>
                <w:b/>
                <w:bCs/>
                <w:color w:val="FFFFFF"/>
                <w:sz w:val="18"/>
                <w:szCs w:val="18"/>
              </w:rPr>
              <w:t>Carattere</w:t>
            </w:r>
          </w:p>
        </w:tc>
      </w:tr>
      <w:tr w:rsidR="007C4598" w14:paraId="1815F719"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4083F68" w14:textId="77777777" w:rsidR="007C4598" w:rsidRDefault="00000000">
            <w:pPr>
              <w:spacing w:after="40"/>
            </w:pPr>
            <w:r>
              <w:t>Struttura fisica (allestimento, manutenzione)</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B75388B" w14:textId="77777777" w:rsidR="007C4598" w:rsidRDefault="00000000">
            <w:pPr>
              <w:spacing w:after="40"/>
            </w:pPr>
            <w:r>
              <w:t>0,5</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B071C71" w14:textId="77777777" w:rsidR="007C4598" w:rsidRDefault="00000000">
            <w:pPr>
              <w:spacing w:after="40"/>
            </w:pPr>
            <w:r>
              <w:t>0,2</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ADADCC4" w14:textId="77777777" w:rsidR="007C4598" w:rsidRDefault="00000000">
            <w:pPr>
              <w:spacing w:after="40"/>
            </w:pPr>
            <w:r>
              <w:t>0,1</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9540A25" w14:textId="77777777" w:rsidR="007C4598" w:rsidRDefault="00000000">
            <w:pPr>
              <w:spacing w:after="40"/>
            </w:pPr>
            <w:r>
              <w:t>Marginale / assorbito</w:t>
            </w:r>
          </w:p>
        </w:tc>
      </w:tr>
      <w:tr w:rsidR="007C4598" w14:paraId="3ACA1CEA"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DB542C4" w14:textId="77777777" w:rsidR="007C4598" w:rsidRDefault="00000000">
            <w:pPr>
              <w:spacing w:after="40"/>
            </w:pPr>
            <w:proofErr w:type="spellStart"/>
            <w:r>
              <w:t>Governance</w:t>
            </w:r>
            <w:proofErr w:type="spellEnd"/>
            <w:r>
              <w:t xml:space="preserve"> e coordinamento istituzionale</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DCF1405" w14:textId="77777777" w:rsidR="007C4598" w:rsidRDefault="00000000">
            <w:pPr>
              <w:spacing w:after="40"/>
            </w:pPr>
            <w:r>
              <w:t>1,6</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C3FF436" w14:textId="77777777" w:rsidR="007C4598" w:rsidRDefault="00000000">
            <w:pPr>
              <w:spacing w:after="40"/>
            </w:pPr>
            <w:r>
              <w:t>1,2</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C8880C6" w14:textId="77777777" w:rsidR="007C4598" w:rsidRDefault="00000000">
            <w:pPr>
              <w:spacing w:after="40"/>
            </w:pPr>
            <w:r>
              <w:t>0,9</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BC11EDE" w14:textId="77777777" w:rsidR="007C4598" w:rsidRDefault="00000000">
            <w:pPr>
              <w:spacing w:after="40"/>
            </w:pPr>
            <w:r>
              <w:t>Parzialmente incrementale</w:t>
            </w:r>
          </w:p>
        </w:tc>
      </w:tr>
      <w:tr w:rsidR="007C4598" w14:paraId="02F70C1A"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6C416FE" w14:textId="77777777" w:rsidR="007C4598" w:rsidRDefault="00000000">
            <w:pPr>
              <w:spacing w:after="40"/>
            </w:pPr>
            <w:r>
              <w:t xml:space="preserve">Sistemi informativi e </w:t>
            </w:r>
            <w:proofErr w:type="spellStart"/>
            <w:r>
              <w:t>telepsicologia</w:t>
            </w:r>
            <w:proofErr w:type="spellEnd"/>
            <w:r>
              <w:t xml:space="preserve"> di base</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BB3143E" w14:textId="77777777" w:rsidR="007C4598" w:rsidRDefault="00000000">
            <w:pPr>
              <w:spacing w:after="40"/>
            </w:pPr>
            <w:r>
              <w:t>2,1</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01C860A" w14:textId="77777777" w:rsidR="007C4598" w:rsidRDefault="00000000">
            <w:pPr>
              <w:spacing w:after="40"/>
            </w:pPr>
            <w:r>
              <w:t>1,6</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14ED63E" w14:textId="77777777" w:rsidR="007C4598" w:rsidRDefault="00000000">
            <w:pPr>
              <w:spacing w:after="40"/>
            </w:pPr>
            <w:r>
              <w:t>1,2</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87DF399" w14:textId="77777777" w:rsidR="007C4598" w:rsidRDefault="00000000">
            <w:pPr>
              <w:spacing w:after="40"/>
            </w:pPr>
            <w:r>
              <w:t>Parzialmente incrementale</w:t>
            </w:r>
          </w:p>
        </w:tc>
      </w:tr>
      <w:tr w:rsidR="007C4598" w14:paraId="4CCAFA20"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A97FAEA" w14:textId="77777777" w:rsidR="007C4598" w:rsidRDefault="00000000">
            <w:pPr>
              <w:spacing w:after="40"/>
            </w:pPr>
            <w:r>
              <w:t>Hardware e quota di ammortamento</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381C911" w14:textId="77777777" w:rsidR="007C4598" w:rsidRDefault="00000000">
            <w:pPr>
              <w:spacing w:after="40"/>
            </w:pPr>
            <w:r>
              <w:t>1,0</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50B446C" w14:textId="77777777" w:rsidR="007C4598" w:rsidRDefault="00000000">
            <w:pPr>
              <w:spacing w:after="40"/>
            </w:pPr>
            <w:r>
              <w:t>0,7</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C4CECBA" w14:textId="77777777" w:rsidR="007C4598" w:rsidRDefault="00000000">
            <w:pPr>
              <w:spacing w:after="40"/>
            </w:pPr>
            <w:r>
              <w:t>0,5</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E228166" w14:textId="77777777" w:rsidR="007C4598" w:rsidRDefault="00000000">
            <w:pPr>
              <w:spacing w:after="40"/>
            </w:pPr>
            <w:r>
              <w:t>Parzialmente incrementale</w:t>
            </w:r>
          </w:p>
        </w:tc>
      </w:tr>
      <w:tr w:rsidR="007C4598" w14:paraId="044B49B8"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1EA6FD3" w14:textId="77777777" w:rsidR="007C4598" w:rsidRDefault="00000000">
            <w:pPr>
              <w:spacing w:after="40"/>
            </w:pPr>
            <w:r>
              <w:t xml:space="preserve">Audit, qualità e </w:t>
            </w:r>
            <w:proofErr w:type="spellStart"/>
            <w:r>
              <w:t>accountability</w:t>
            </w:r>
            <w:proofErr w:type="spellEnd"/>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9D0AF18" w14:textId="77777777" w:rsidR="007C4598" w:rsidRDefault="00000000">
            <w:pPr>
              <w:spacing w:after="40"/>
            </w:pPr>
            <w:r>
              <w:t>0,7</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5DA0376" w14:textId="77777777" w:rsidR="007C4598" w:rsidRDefault="00000000">
            <w:pPr>
              <w:spacing w:after="40"/>
            </w:pPr>
            <w:r>
              <w:t>0,5</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7C3943D" w14:textId="77777777" w:rsidR="007C4598" w:rsidRDefault="00000000">
            <w:pPr>
              <w:spacing w:after="40"/>
            </w:pPr>
            <w:r>
              <w:t>0,4</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51AE836" w14:textId="77777777" w:rsidR="007C4598" w:rsidRDefault="00000000">
            <w:pPr>
              <w:spacing w:after="40"/>
            </w:pPr>
            <w:r>
              <w:t>Incrementale</w:t>
            </w:r>
          </w:p>
        </w:tc>
      </w:tr>
      <w:tr w:rsidR="007C4598" w14:paraId="203A9631"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757D31C" w14:textId="77777777" w:rsidR="007C4598" w:rsidRDefault="00000000">
            <w:pPr>
              <w:spacing w:after="40"/>
            </w:pPr>
            <w:r>
              <w:rPr>
                <w:b/>
                <w:bCs/>
              </w:rPr>
              <w:t>Totale struttura, coordinamento, organizzazione</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F4ACD02" w14:textId="77777777" w:rsidR="007C4598" w:rsidRDefault="00000000">
            <w:pPr>
              <w:spacing w:after="40"/>
            </w:pPr>
            <w:r>
              <w:rPr>
                <w:b/>
                <w:bCs/>
              </w:rPr>
              <w:t>≈ 5,9</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3A7BEE2" w14:textId="77777777" w:rsidR="007C4598" w:rsidRDefault="00000000">
            <w:pPr>
              <w:spacing w:after="40"/>
            </w:pPr>
            <w:r>
              <w:rPr>
                <w:b/>
                <w:bCs/>
              </w:rPr>
              <w:t>≈ 4,2</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552D94A" w14:textId="77777777" w:rsidR="007C4598" w:rsidRDefault="00000000">
            <w:pPr>
              <w:spacing w:after="40"/>
            </w:pPr>
            <w:r>
              <w:rPr>
                <w:b/>
                <w:bCs/>
              </w:rPr>
              <w:t>≈ 3,1</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666C905" w14:textId="77777777" w:rsidR="007C4598" w:rsidRDefault="00000000">
            <w:pPr>
              <w:spacing w:after="40"/>
            </w:pPr>
            <w:r>
              <w:rPr>
                <w:b/>
                <w:bCs/>
              </w:rPr>
              <w:t>Base, non personale</w:t>
            </w:r>
          </w:p>
        </w:tc>
      </w:tr>
    </w:tbl>
    <w:p w14:paraId="02A09352" w14:textId="77777777" w:rsidR="007C4598" w:rsidRDefault="007C4598"/>
    <w:p w14:paraId="65406922" w14:textId="77777777" w:rsidR="007C4598" w:rsidRDefault="00000000">
      <w:pPr>
        <w:jc w:val="both"/>
      </w:pPr>
      <w:r>
        <w:rPr>
          <w:b/>
          <w:bCs/>
        </w:rPr>
        <w:t>Tabella 7.2.6</w:t>
      </w:r>
      <w:r>
        <w:rPr>
          <w:i/>
          <w:iCs/>
        </w:rPr>
        <w:t xml:space="preserve"> — Consolidamento dei costi di struttura, coordinamento e organizzazione a regime, per scenario, in milioni di euro annui. Voci non di personale del modello base. Lo scenario conservativo è il prudenzialmente più oneroso. Si aggiunge un costo una tantum di avvio dell’ordine di 1-1,5 milioni nei primi due esercizi.</w:t>
      </w:r>
    </w:p>
    <w:p w14:paraId="730E2DF8" w14:textId="77777777" w:rsidR="007C4598" w:rsidRDefault="007C4598"/>
    <w:p w14:paraId="0206742A" w14:textId="77777777" w:rsidR="007C4598" w:rsidRDefault="00000000">
      <w:pPr>
        <w:jc w:val="both"/>
      </w:pPr>
      <w:r>
        <w:t xml:space="preserve">Il costo una tantum di avvio dei costi di struttura, coordinamento e organizzazione, concentrato nei primi due esercizi e comprensivo dell’adattamento e dell’allestimento iniziale dei locali, della configurazione e dell’integrazione dei sistemi informativi e della prima dotazione hardware, si colloca dell’ordine di un milione-un milione e mezzo di euro, e concorre, insieme al costo una tantum della componente di Intelligenza Artificiale della sezione 7.3 e a quello del programma formativo della sezione 7.4, a comporre il </w:t>
      </w:r>
      <w:proofErr w:type="spellStart"/>
      <w:r>
        <w:t>sovraccosto</w:t>
      </w:r>
      <w:proofErr w:type="spellEnd"/>
      <w:r>
        <w:t xml:space="preserve"> di avvio del programma integrato, che la sezione 7.5 ricomporrà nel profilo temporale del costo diretto complessivo. Su questa base è possibile formulare la previsione falsificabile complessiva dei costi di struttura, coordinamento e organizzazione: a regime, tali costi non dovrebbero eccedere i sei milioni di euro annui nello scenario prudenzialmente più oneroso, né collocarsi al di sotto dei tre milioni nello scenario efficiente, e dovrebbero attestarsi attorno al valore centrale di quattro milioni e duecentomila euro, con indicazione degli estremi di confutazione e verifica nel sistema di monitoraggio regionale.</w:t>
      </w:r>
    </w:p>
    <w:p w14:paraId="4CA3267B"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33D85B11"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A081182" w14:textId="77777777" w:rsidR="007C4598" w:rsidRDefault="00000000">
            <w:pPr>
              <w:spacing w:after="40"/>
            </w:pPr>
            <w:r>
              <w:rPr>
                <w:b/>
                <w:bCs/>
                <w:color w:val="FFFFFF"/>
                <w:sz w:val="18"/>
                <w:szCs w:val="18"/>
              </w:rPr>
              <w:t xml:space="preserve">SEGNAPOSTO INFOGRAFICA — CODICE CANVA-FRIENDLY I costi di struttura, coordinamento e organizzazione — composizione e carattere incrementale Tipo grafico:  Grafico a barre orizzontali impilate per le 5 voci, con segmento incrementale e segmento assorbito distinti per ciascuna barra, stile piatto e preciso Dimensioni:  1920 × 1080 </w:t>
            </w:r>
            <w:proofErr w:type="spellStart"/>
            <w:r>
              <w:rPr>
                <w:b/>
                <w:bCs/>
                <w:color w:val="FFFFFF"/>
                <w:sz w:val="18"/>
                <w:szCs w:val="18"/>
              </w:rPr>
              <w:t>px</w:t>
            </w:r>
            <w:proofErr w:type="spellEnd"/>
            <w:r>
              <w:rPr>
                <w:b/>
                <w:bCs/>
                <w:color w:val="FFFFFF"/>
                <w:sz w:val="18"/>
                <w:szCs w:val="18"/>
              </w:rPr>
              <w:t xml:space="preserve"> (orizzontale) — variante 1080 × 1350 </w:t>
            </w:r>
            <w:proofErr w:type="spellStart"/>
            <w:r>
              <w:rPr>
                <w:b/>
                <w:bCs/>
                <w:color w:val="FFFFFF"/>
                <w:sz w:val="18"/>
                <w:szCs w:val="18"/>
              </w:rPr>
              <w:t>px</w:t>
            </w:r>
            <w:proofErr w:type="spellEnd"/>
            <w:r>
              <w:rPr>
                <w:b/>
                <w:bCs/>
                <w:color w:val="FFFFFF"/>
                <w:sz w:val="18"/>
                <w:szCs w:val="18"/>
              </w:rPr>
              <w:t xml:space="preserve"> (verticale) Sfondo:  Gradiente bianco 85% (#FFFFFF) → crema 15% (#FBF7EE), verticale dall’alto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44 </w:t>
            </w:r>
            <w:proofErr w:type="spellStart"/>
            <w:r>
              <w:rPr>
                <w:b/>
                <w:bCs/>
                <w:color w:val="FFFFFF"/>
                <w:sz w:val="18"/>
                <w:szCs w:val="18"/>
              </w:rPr>
              <w:t>pt</w:t>
            </w:r>
            <w:proofErr w:type="spellEnd"/>
            <w:r>
              <w:rPr>
                <w:b/>
                <w:bCs/>
                <w:color w:val="FFFFFF"/>
                <w:sz w:val="18"/>
                <w:szCs w:val="18"/>
              </w:rPr>
              <w:t xml:space="preserve"> </w:t>
            </w:r>
            <w:proofErr w:type="spellStart"/>
            <w:r>
              <w:rPr>
                <w:b/>
                <w:bCs/>
                <w:color w:val="FFFFFF"/>
                <w:sz w:val="18"/>
                <w:szCs w:val="18"/>
              </w:rPr>
              <w:t>Bold</w:t>
            </w:r>
            <w:proofErr w:type="spellEnd"/>
            <w:r>
              <w:rPr>
                <w:b/>
                <w:bCs/>
                <w:color w:val="FFFFFF"/>
                <w:sz w:val="18"/>
                <w:szCs w:val="18"/>
              </w:rPr>
              <w:t xml:space="preserve">, etichette voce 20 </w:t>
            </w:r>
            <w:proofErr w:type="spellStart"/>
            <w:r>
              <w:rPr>
                <w:b/>
                <w:bCs/>
                <w:color w:val="FFFFFF"/>
                <w:sz w:val="18"/>
                <w:szCs w:val="18"/>
              </w:rPr>
              <w:t>pt</w:t>
            </w:r>
            <w:proofErr w:type="spellEnd"/>
            <w:r>
              <w:rPr>
                <w:b/>
                <w:bCs/>
                <w:color w:val="FFFFFF"/>
                <w:sz w:val="18"/>
                <w:szCs w:val="18"/>
              </w:rPr>
              <w:t xml:space="preserve"> </w:t>
            </w:r>
            <w:proofErr w:type="spellStart"/>
            <w:r>
              <w:rPr>
                <w:b/>
                <w:bCs/>
                <w:color w:val="FFFFFF"/>
                <w:sz w:val="18"/>
                <w:szCs w:val="18"/>
              </w:rPr>
              <w:t>SemiBold</w:t>
            </w:r>
            <w:proofErr w:type="spellEnd"/>
            <w:r>
              <w:rPr>
                <w:b/>
                <w:bCs/>
                <w:color w:val="FFFFFF"/>
                <w:sz w:val="18"/>
                <w:szCs w:val="18"/>
              </w:rPr>
              <w:t xml:space="preserve">, valori 18 </w:t>
            </w:r>
            <w:proofErr w:type="spellStart"/>
            <w:r>
              <w:rPr>
                <w:b/>
                <w:bCs/>
                <w:color w:val="FFFFFF"/>
                <w:sz w:val="18"/>
                <w:szCs w:val="18"/>
              </w:rPr>
              <w:t>pt</w:t>
            </w:r>
            <w:proofErr w:type="spellEnd"/>
            <w:r>
              <w:rPr>
                <w:b/>
                <w:bCs/>
                <w:color w:val="FFFFFF"/>
                <w:sz w:val="18"/>
                <w:szCs w:val="18"/>
              </w:rPr>
              <w:t xml:space="preserve"> </w:t>
            </w:r>
            <w:proofErr w:type="spellStart"/>
            <w:r>
              <w:rPr>
                <w:b/>
                <w:bCs/>
                <w:color w:val="FFFFFF"/>
                <w:sz w:val="18"/>
                <w:szCs w:val="18"/>
              </w:rPr>
              <w:t>SemiBold</w:t>
            </w:r>
            <w:proofErr w:type="spellEnd"/>
            <w:r>
              <w:rPr>
                <w:b/>
                <w:bCs/>
                <w:color w:val="FFFFFF"/>
                <w:sz w:val="18"/>
                <w:szCs w:val="18"/>
              </w:rPr>
              <w:t xml:space="preserve">, legenda 14 </w:t>
            </w:r>
            <w:proofErr w:type="spellStart"/>
            <w:r>
              <w:rPr>
                <w:b/>
                <w:bCs/>
                <w:color w:val="FFFFFF"/>
                <w:sz w:val="18"/>
                <w:szCs w:val="18"/>
              </w:rPr>
              <w:t>pt</w:t>
            </w:r>
            <w:proofErr w:type="spellEnd"/>
            <w:r>
              <w:rPr>
                <w:b/>
                <w:bCs/>
                <w:color w:val="FFFFFF"/>
                <w:sz w:val="18"/>
                <w:szCs w:val="18"/>
              </w:rPr>
              <w:t xml:space="preserve"> Regular Voce 1:  «Struttura fisica» ≈ 0,2 mln — segmento assorbito ampio (#2E5A8F chiaro), segmento incrementale ridotto (#16264B) Voce 2:  «</w:t>
            </w:r>
            <w:proofErr w:type="spellStart"/>
            <w:r>
              <w:rPr>
                <w:b/>
                <w:bCs/>
                <w:color w:val="FFFFFF"/>
                <w:sz w:val="18"/>
                <w:szCs w:val="18"/>
              </w:rPr>
              <w:t>Governance</w:t>
            </w:r>
            <w:proofErr w:type="spellEnd"/>
            <w:r>
              <w:rPr>
                <w:b/>
                <w:bCs/>
                <w:color w:val="FFFFFF"/>
                <w:sz w:val="18"/>
                <w:szCs w:val="18"/>
              </w:rPr>
              <w:t xml:space="preserve"> e coordinamento» ≈ 1,2 mln — segmento incrementale #16264B, segmento assorbito #2E5A8F Voce 3:  «Sistemi informativi e </w:t>
            </w:r>
            <w:proofErr w:type="spellStart"/>
            <w:r>
              <w:rPr>
                <w:b/>
                <w:bCs/>
                <w:color w:val="FFFFFF"/>
                <w:sz w:val="18"/>
                <w:szCs w:val="18"/>
              </w:rPr>
              <w:t>telepsicologia</w:t>
            </w:r>
            <w:proofErr w:type="spellEnd"/>
            <w:r>
              <w:rPr>
                <w:b/>
                <w:bCs/>
                <w:color w:val="FFFFFF"/>
                <w:sz w:val="18"/>
                <w:szCs w:val="18"/>
              </w:rPr>
              <w:t xml:space="preserve"> di base» ≈ 1,6 mln — barra più estesa, due segmenti Voce 4:  «Hardware e ammortamento» ≈ 0,7 mln — due segmenti Voce 5:  «Audit, qualità e </w:t>
            </w:r>
            <w:proofErr w:type="spellStart"/>
            <w:r>
              <w:rPr>
                <w:b/>
                <w:bCs/>
                <w:color w:val="FFFFFF"/>
                <w:sz w:val="18"/>
                <w:szCs w:val="18"/>
              </w:rPr>
              <w:t>accountability</w:t>
            </w:r>
            <w:proofErr w:type="spellEnd"/>
            <w:r>
              <w:rPr>
                <w:b/>
                <w:bCs/>
                <w:color w:val="FFFFFF"/>
                <w:sz w:val="18"/>
                <w:szCs w:val="18"/>
              </w:rPr>
              <w:t>» ≈ 0,5 mln — interamente incrementale (#16264B) Totale evidenziato:  «Totale ≈ 4,2 mln/anno — scenario centrale — ≈ 1/10 del costo diretto del modello base» in fascia oro #C49A48 Legenda:  Quadratino #16264B «incrementale per la riforma» · quadratino #2E5A8F «assorbito dalla dotazione esistente» Accenti:  Filo oro #C49A48 sotto il titolo; etichette valore in #16264B allineate a destra di ciascuna barra Nota variante 3D:  Effetto rilievo leggero sulle barre impilate (ombra morbida 8% verso il basso), mantenendo netta la distinzione cromatica tra segmento incrementale e segmento assorbito.</w:t>
            </w:r>
          </w:p>
          <w:p w14:paraId="12946406" w14:textId="77777777" w:rsidR="007C4598" w:rsidRDefault="00000000">
            <w:pPr>
              <w:spacing w:before="120" w:after="60"/>
              <w:jc w:val="center"/>
            </w:pPr>
            <w:r>
              <w:rPr>
                <w:noProof/>
              </w:rPr>
              <w:drawing>
                <wp:inline distT="0" distB="0" distL="0" distR="0" wp14:anchorId="6E6B8229" wp14:editId="2D6D52F6">
                  <wp:extent cx="8229600" cy="4629150"/>
                  <wp:effectExtent l="0" t="0" r="0" b="0"/>
                  <wp:docPr id="128" name="Infografica28" descr="I costi di struttura, coordinamento e organizz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Infografica28"/>
                          <pic:cNvPicPr>
                            <a:picLocks noChangeAspect="1" noChangeArrowheads="1"/>
                          </pic:cNvPicPr>
                        </pic:nvPicPr>
                        <pic:blipFill>
                          <a:blip r:embed="rId45">
                            <a:extLst>
                              <a:ext uri="{96DAC541-7B7A-43D3-8B79-37D633B846F1}">
                                <asvg:svgBlip xmlns:asvg="http://schemas.microsoft.com/office/drawing/2016/SVG/main" r:embed="rId46"/>
                              </a:ext>
                            </a:extLst>
                          </a:blip>
                          <a:stretch>
                            <a:fillRect/>
                          </a:stretch>
                        </pic:blipFill>
                        <pic:spPr bwMode="auto">
                          <a:xfrm>
                            <a:off x="0" y="0"/>
                            <a:ext cx="8229600" cy="4629150"/>
                          </a:xfrm>
                          <a:prstGeom prst="rect">
                            <a:avLst/>
                          </a:prstGeom>
                          <a:noFill/>
                          <a:ln>
                            <a:noFill/>
                          </a:ln>
                        </pic:spPr>
                      </pic:pic>
                    </a:graphicData>
                  </a:graphic>
                </wp:inline>
              </w:drawing>
            </w:r>
          </w:p>
          <w:p w14:paraId="61CDEBB5" w14:textId="77777777" w:rsidR="007C4598" w:rsidRDefault="00000000">
            <w:pPr>
              <w:spacing w:before="40" w:after="200"/>
              <w:jc w:val="center"/>
            </w:pPr>
            <w:r>
              <w:rPr>
                <w:i/>
                <w:color w:val="2E5A8F"/>
                <w:sz w:val="16"/>
                <w:szCs w:val="16"/>
              </w:rPr>
              <w:t>Fig. 7.2 — I costi di struttura, coordinamento e organizzazione. Elaborazione dello studio · Luigi De Michele · Giugno 2026.</w:t>
            </w:r>
          </w:p>
        </w:tc>
      </w:tr>
    </w:tbl>
    <w:p w14:paraId="0E2A6CA0" w14:textId="77777777" w:rsidR="007C4598" w:rsidRDefault="007C4598"/>
    <w:p w14:paraId="0C95FA9D" w14:textId="77777777" w:rsidR="007C4598" w:rsidRDefault="00000000">
      <w:pPr>
        <w:jc w:val="both"/>
      </w:pPr>
      <w:r>
        <w:t xml:space="preserve">Il consolidamento dei costi di struttura, coordinamento e organizzazione completa la ricostruzione del costo diretto del modello base, che risulta composto dal costo del personale della sezione 7.1, di gran lunga preponderante, e dai costi non di personale della presente sezione, di entità complessivamente pari a circa un decimo del totale. La sezione 7.5 ricomporrà queste due componenti nel costo diretto del modello base e vi aggiungerà il costo incrementale della componente di Intelligenza Artificiale della sezione 7.3 e il costo del programma formativo della sezione 7.4, fino al costo diretto complessivo del programma integrato. La trattazione prosegue ora con la sezione 7.3, dedicata al costo incrementale della leva digitale e dell’Intelligenza Artificiale, che la presente sezione ha tenuto distinto dai sistemi informativi e dalla </w:t>
      </w:r>
      <w:proofErr w:type="spellStart"/>
      <w:r>
        <w:t>telepsicologia</w:t>
      </w:r>
      <w:proofErr w:type="spellEnd"/>
      <w:r>
        <w:t xml:space="preserve"> di base, e che costituisce lo strato tecnologico autonomo del programma.</w:t>
      </w:r>
    </w:p>
    <w:p w14:paraId="70BC0D42" w14:textId="77777777" w:rsidR="007C4598" w:rsidRDefault="007C4598"/>
    <w:p w14:paraId="79558DF7" w14:textId="77777777" w:rsidR="007C4598" w:rsidRDefault="00000000">
      <w:pPr>
        <w:pStyle w:val="Titolo2"/>
        <w:spacing w:before="200" w:after="100"/>
      </w:pPr>
      <w:r>
        <w:rPr>
          <w:sz w:val="22"/>
          <w:szCs w:val="22"/>
        </w:rPr>
        <w:t>7.3  Il costo incrementale della leva digitale e dell’Intelligenza Artificiale</w:t>
      </w:r>
    </w:p>
    <w:p w14:paraId="623439A2" w14:textId="77777777" w:rsidR="007C4598" w:rsidRDefault="007C4598"/>
    <w:p w14:paraId="0893F444" w14:textId="77777777" w:rsidR="007C4598" w:rsidRDefault="00000000">
      <w:pPr>
        <w:jc w:val="both"/>
      </w:pPr>
      <w:r>
        <w:t>La presente sezione ricostruisce il costo incrementale della leva digitale e dell’Intelligenza Artificiale, che costituisce il secondo strato del programma e che si aggiunge al costo del modello base ricostruito nelle sezioni 7.1 e 7.2. La trattazione di questo costo richiede, prima di ogni quantificazione, il richiamo della posizione che l’intera opera assegna all’Intelligenza Artificiale, perché è da tale posizione che discende il modo in cui il suo costo va inteso. L’Intelligenza Artificiale non è, in questo studio, l’oggetto centrale dell’analisi né un centro di costo autonomo che si aggiunge al servizio per una sua propria finalità, ma una delle leve che rendono più funzionale ed efficace la figura dello Psicologo di Base, accanto alle leve organizzative, di processo e formative; e il suo costo va inteso, coerentemente, non come il costo di una tecnologia acquistata per sé, ma come il costo incrementale di una leva che potenzia un servizio il cui nucleo resta umano e clinico.</w:t>
      </w:r>
      <w:r>
        <w:rPr>
          <w:color w:val="555555"/>
          <w:sz w:val="16"/>
          <w:szCs w:val="16"/>
          <w:vertAlign w:val="superscript"/>
        </w:rPr>
        <w:t>[4]</w:t>
      </w:r>
    </w:p>
    <w:p w14:paraId="2F0E8436" w14:textId="77777777" w:rsidR="007C4598" w:rsidRDefault="007C4598"/>
    <w:p w14:paraId="5AF2C53C" w14:textId="77777777" w:rsidR="007C4598" w:rsidRDefault="00000000">
      <w:pPr>
        <w:jc w:val="both"/>
      </w:pPr>
      <w:r>
        <w:t>Da questa posizione discende una caratteristica del costo della leva digitale e dell’Intelligenza Artificiale che la presente sezione documenta e che ne costituisce il tratto più rilevante: il costo della leva è di entità contenuta rispetto al costo del personale che essa potenzia, e il suo effetto sul versante dei costi è duplice, perché da un lato esso aggiunge una voce nuova al costo diretto, dall’altro riduce, attraverso l’automazione di compiti amministrativi e l’assistenza alla documentazione clinica, una frazione dei costi operativi del servizio, esercitando un parziale autofinanziamento. La presente sezione ricostruisce entrambi gli effetti, distinguendoli rigorosamente, e perviene a un costo incrementale netto della leva digitale e dell’Intelligenza Artificiale che, una volta scomputato l’effetto di autofinanziamento, risulta di entità prossima allo zero, e in taluni scenari favorevole.</w:t>
      </w:r>
    </w:p>
    <w:p w14:paraId="2E8582CA" w14:textId="77777777" w:rsidR="007C4598" w:rsidRDefault="007C4598"/>
    <w:p w14:paraId="52F739C0" w14:textId="77777777" w:rsidR="007C4598" w:rsidRDefault="00000000">
      <w:pPr>
        <w:jc w:val="both"/>
      </w:pPr>
      <w:r>
        <w:t>Una distinzione metodologica governa l’intera sezione e ne condiziona ogni stima: il costo della leva digitale e dell’Intelligenza Artificiale è graduato, quanto all’evidenza che ne sostiene gli effetti, con il medesimo rigore applicato alle affermazioni cliniche, in coerenza con il vincolo invariante che governa l’opera. La distinzione che tale graduazione impone è quella tra il costo della leva, che è una grandezza di acquisizione e di esercizio nota con buona approssimazione, e gli effetti della leva, e segnatamente l’effetto di autofinanziamento, che riposano su un’evidenza di qualità variabile e che vanno perciò stimati prudenzialmente, adottando il limite inferiore degli intervalli ove l’evidenza sia di grado moderato o basso.</w:t>
      </w:r>
      <w:r>
        <w:rPr>
          <w:color w:val="555555"/>
          <w:sz w:val="16"/>
          <w:szCs w:val="16"/>
          <w:vertAlign w:val="superscript"/>
        </w:rPr>
        <w:t>[15]</w:t>
      </w:r>
      <w:r>
        <w:t xml:space="preserve"> La trattazione applica questa distinzione per tutta la sezione, e segnala, per ciascun effetto, il grado dell’evidenza che lo sostiene e il valore prudenziale che essa adotta.</w:t>
      </w:r>
    </w:p>
    <w:p w14:paraId="716F67B1" w14:textId="77777777" w:rsidR="007C4598" w:rsidRDefault="007C4598"/>
    <w:p w14:paraId="59E9F58C" w14:textId="77777777" w:rsidR="007C4598" w:rsidRDefault="00000000">
      <w:pPr>
        <w:pStyle w:val="Titolo3"/>
        <w:spacing w:before="200" w:after="100"/>
      </w:pPr>
      <w:r>
        <w:rPr>
          <w:color w:val="16264B"/>
          <w:sz w:val="22"/>
          <w:szCs w:val="22"/>
        </w:rPr>
        <w:t>7.3.1  Il perimetro del costo incrementale: ciò che è incluso e ciò che ne è escluso</w:t>
      </w:r>
    </w:p>
    <w:p w14:paraId="7F7DEC9F" w14:textId="77777777" w:rsidR="007C4598" w:rsidRDefault="007C4598"/>
    <w:p w14:paraId="1CEB9E21" w14:textId="77777777" w:rsidR="007C4598" w:rsidRDefault="00000000">
      <w:pPr>
        <w:jc w:val="both"/>
      </w:pPr>
      <w:r>
        <w:t>La ricostruzione del costo incrementale della leva digitale e dell’Intelligenza Artificiale richiede, in via preliminare, la definizione esatta del suo perimetro, perché è dalla corretta delimitazione di ciò che il costo incrementale include e di ciò che ne è escluso che dipende l’assenza di duplicazioni rispetto agli altri strati del programma. Il principio di non duplicazione, che l’introduzione ha stabilito, impone che il costo incrementale della componente di Intelligenza Artificiale comprenda unicamente l’incremento tecnologico rispetto al modello base, e ne escluda le componenti già contabilizzate negli altri strati.</w:t>
      </w:r>
    </w:p>
    <w:p w14:paraId="161E0FF6" w14:textId="77777777" w:rsidR="007C4598" w:rsidRDefault="007C4598"/>
    <w:p w14:paraId="1A571E25" w14:textId="77777777" w:rsidR="007C4598" w:rsidRDefault="00000000">
      <w:pPr>
        <w:jc w:val="both"/>
      </w:pPr>
      <w:r>
        <w:t xml:space="preserve">Il costo incrementale della leva digitale e dell’Intelligenza Artificiale include quattro componenti, che le sezioni successive ricostruiranno: l’investimento iniziale nell’infrastruttura tecnologica e nella sua integrazione, concentrato nei primi ventiquattro mesi; i costi operativi a regime di licenza, </w:t>
      </w:r>
      <w:proofErr w:type="spellStart"/>
      <w:r>
        <w:t>cloud</w:t>
      </w:r>
      <w:proofErr w:type="spellEnd"/>
      <w:r>
        <w:t xml:space="preserve"> e manutenzione evolutiva degli strumenti; il costo del personale dedicato alla </w:t>
      </w:r>
      <w:proofErr w:type="spellStart"/>
      <w:r>
        <w:t>governance</w:t>
      </w:r>
      <w:proofErr w:type="spellEnd"/>
      <w:r>
        <w:t xml:space="preserve"> degli strumenti, distinto dal personale clinico; e il costo della conformità </w:t>
      </w:r>
      <w:proofErr w:type="spellStart"/>
      <w:r>
        <w:t>regolatoria</w:t>
      </w:r>
      <w:proofErr w:type="spellEnd"/>
      <w:r>
        <w:t xml:space="preserve"> che l’impiego degli strumenti richiede. Queste quattro componenti compongono il costo incrementale della leva, e la loro somma costituisce lo strato tecnologico del programma, che si aggiunge al costo del modello base.</w:t>
      </w:r>
    </w:p>
    <w:p w14:paraId="1B2C39C0" w14:textId="77777777" w:rsidR="007C4598" w:rsidRDefault="007C4598"/>
    <w:p w14:paraId="0AB03918" w14:textId="77777777" w:rsidR="007C4598" w:rsidRDefault="00000000">
      <w:pPr>
        <w:jc w:val="both"/>
      </w:pPr>
      <w:r>
        <w:t xml:space="preserve">Il costo incrementale della leva digitale e dell’Intelligenza Artificiale esclude, per converso, tre componenti che gli altri strati del programma contabilizzano e che il principio di non duplicazione impedisce di imputare due volte. Esso esclude i sistemi informativi e la </w:t>
      </w:r>
      <w:proofErr w:type="spellStart"/>
      <w:r>
        <w:t>telepsicologia</w:t>
      </w:r>
      <w:proofErr w:type="spellEnd"/>
      <w:r>
        <w:t xml:space="preserve"> di base, che la sezione 7.2 ha ricostruito come parte del modello base, perché tali strumenti non incorporano funzioni di Intelligenza Artificiale e costituiscono l’infrastruttura su cui la leva si innesta, non la leva stessa. Esso esclude la formazione del personale all’uso degli strumenti, e segnatamente la formazione pro-Intelligenza Artificiale dell’insieme dei clinici, che la sezione 7.4 ricostruirà come parte del programma formativo integrato, comprendendo nel costo della leva unicamente la formazione tecnica specialistica dei custodi degli strumenti, di entità marginale. Esso esclude, infine, il costo del personale clinico, che la sezione 7.1 ha ricostruito, perché lo Psicologo di Base non è un costo della leva, ma il nucleo del servizio che la leva potenzia. La trattazione segnala per ciascuna componente esclusa la sezione che la contabilizza, affinché la somma finale della sezione 7.5 non comporti alcuna sovrapposizione.</w:t>
      </w:r>
    </w:p>
    <w:p w14:paraId="258B05FE"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5803"/>
        <w:gridCol w:w="3223"/>
      </w:tblGrid>
      <w:tr w:rsidR="007C4598" w14:paraId="5FC2E022" w14:textId="77777777">
        <w:trPr>
          <w:gridAfter w:val="1"/>
          <w:wAfter w:w="360" w:type="dxa"/>
        </w:trPr>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171A48F" w14:textId="77777777" w:rsidR="007C4598" w:rsidRDefault="00000000">
            <w:pPr>
              <w:spacing w:after="40"/>
            </w:pPr>
            <w:r>
              <w:rPr>
                <w:b/>
                <w:bCs/>
                <w:color w:val="FFFFFF"/>
                <w:sz w:val="18"/>
                <w:szCs w:val="18"/>
              </w:rPr>
              <w:t>7.3.1 — Il perimetro del costo incrementale della leva digitale e dell’Intelligenza Artificiale</w:t>
            </w:r>
          </w:p>
        </w:tc>
      </w:tr>
      <w:tr w:rsidR="007C4598" w14:paraId="4F79824E"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21D5E8E" w14:textId="77777777" w:rsidR="007C4598" w:rsidRDefault="00000000">
            <w:pPr>
              <w:spacing w:after="40"/>
            </w:pPr>
            <w:r>
              <w:rPr>
                <w:b/>
                <w:bCs/>
              </w:rPr>
              <w:t>Incluso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BC13E22" w14:textId="77777777" w:rsidR="007C4598" w:rsidRDefault="00000000">
            <w:pPr>
              <w:spacing w:after="40"/>
            </w:pPr>
            <w:r>
              <w:t xml:space="preserve">Investimento iniziale in infrastruttura tecnologica e integrazione (una tantum, 24 mesi); costi operativi di licenza, </w:t>
            </w:r>
            <w:proofErr w:type="spellStart"/>
            <w:r>
              <w:t>cloud</w:t>
            </w:r>
            <w:proofErr w:type="spellEnd"/>
            <w:r>
              <w:t xml:space="preserve"> e manutenzione evolutiva; personale dedicato alla </w:t>
            </w:r>
            <w:proofErr w:type="spellStart"/>
            <w:r>
              <w:t>governance</w:t>
            </w:r>
            <w:proofErr w:type="spellEnd"/>
            <w:r>
              <w:t xml:space="preserve"> degli strumenti; conformità </w:t>
            </w:r>
            <w:proofErr w:type="spellStart"/>
            <w:r>
              <w:t>regolatoria</w:t>
            </w:r>
            <w:proofErr w:type="spellEnd"/>
            <w:r>
              <w:t xml:space="preserve"> (AI </w:t>
            </w:r>
            <w:proofErr w:type="spellStart"/>
            <w:r>
              <w:t>Act</w:t>
            </w:r>
            <w:proofErr w:type="spellEnd"/>
            <w:r>
              <w:t>, dispositivi medici, protezione dei dati).</w:t>
            </w:r>
          </w:p>
        </w:tc>
      </w:tr>
      <w:tr w:rsidR="007C4598" w14:paraId="631427EE"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388D005" w14:textId="77777777" w:rsidR="007C4598" w:rsidRDefault="00000000">
            <w:pPr>
              <w:spacing w:after="40"/>
            </w:pPr>
            <w:r>
              <w:rPr>
                <w:b/>
                <w:bCs/>
              </w:rPr>
              <w:t>Escluso — rinviato a 7.2</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2A0EF96" w14:textId="77777777" w:rsidR="007C4598" w:rsidRDefault="00000000">
            <w:pPr>
              <w:spacing w:after="40"/>
            </w:pPr>
            <w:r>
              <w:t xml:space="preserve">Sistemi informativi e </w:t>
            </w:r>
            <w:proofErr w:type="spellStart"/>
            <w:r>
              <w:t>telepsicologia</w:t>
            </w:r>
            <w:proofErr w:type="spellEnd"/>
            <w:r>
              <w:t xml:space="preserve"> di base: infrastruttura digitale priva di funzioni di Intelligenza Artificiale, su cui la leva si innesta. Parte del modello base.</w:t>
            </w:r>
          </w:p>
        </w:tc>
      </w:tr>
      <w:tr w:rsidR="007C4598" w14:paraId="05BDE9E3"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74CB885" w14:textId="77777777" w:rsidR="007C4598" w:rsidRDefault="00000000">
            <w:pPr>
              <w:spacing w:after="40"/>
            </w:pPr>
            <w:r>
              <w:rPr>
                <w:b/>
                <w:bCs/>
              </w:rPr>
              <w:t>Escluso — rinviato a 7.4</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54F7EBC" w14:textId="77777777" w:rsidR="007C4598" w:rsidRDefault="00000000">
            <w:pPr>
              <w:spacing w:after="40"/>
            </w:pPr>
            <w:r>
              <w:t>Formazione pro-Intelligenza Artificiale dell’insieme dei clinici: parte del programma formativo integrato. La leva include solo la formazione tecnica specialistica dei custodi degli strumenti, marginale.</w:t>
            </w:r>
          </w:p>
        </w:tc>
      </w:tr>
      <w:tr w:rsidR="007C4598" w14:paraId="3C8EF0C8"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1C2590B" w14:textId="77777777" w:rsidR="007C4598" w:rsidRDefault="00000000">
            <w:pPr>
              <w:spacing w:after="40"/>
            </w:pPr>
            <w:r>
              <w:rPr>
                <w:b/>
                <w:bCs/>
              </w:rPr>
              <w:t>Escluso — rinviato a 7.1</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7DEE1F2" w14:textId="77777777" w:rsidR="007C4598" w:rsidRDefault="00000000">
            <w:pPr>
              <w:spacing w:after="40"/>
            </w:pPr>
            <w:r>
              <w:t>Personale clinico (Psicologo di Base): nucleo del servizio che la leva potenzia, non costo della leva.</w:t>
            </w:r>
          </w:p>
        </w:tc>
      </w:tr>
      <w:tr w:rsidR="007C4598" w14:paraId="30DBCEE0"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2B809D6" w14:textId="77777777" w:rsidR="007C4598" w:rsidRDefault="00000000">
            <w:pPr>
              <w:spacing w:after="40"/>
            </w:pPr>
            <w:r>
              <w:rPr>
                <w:b/>
                <w:bCs/>
              </w:rPr>
              <w:t>Principio applicato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95E4722" w14:textId="77777777" w:rsidR="007C4598" w:rsidRDefault="00000000">
            <w:pPr>
              <w:spacing w:after="40"/>
            </w:pPr>
            <w:r>
              <w:t>Non duplicazione: il costo incrementale comprende solo l’incremento tecnologico rispetto al modello base; ogni componente esclusa è contabilizzata nello strato proprio.</w:t>
            </w:r>
          </w:p>
        </w:tc>
      </w:tr>
    </w:tbl>
    <w:p w14:paraId="7B9C3406" w14:textId="77777777" w:rsidR="007C4598" w:rsidRDefault="007C4598"/>
    <w:p w14:paraId="3284C36A" w14:textId="77777777" w:rsidR="007C4598" w:rsidRDefault="00000000">
      <w:pPr>
        <w:pStyle w:val="Titolo3"/>
        <w:spacing w:before="200" w:after="100"/>
      </w:pPr>
      <w:r>
        <w:rPr>
          <w:color w:val="16264B"/>
          <w:sz w:val="22"/>
          <w:szCs w:val="22"/>
        </w:rPr>
        <w:t>7.3.2  L’investimento iniziale: infrastruttura tecnologica e integrazione</w:t>
      </w:r>
    </w:p>
    <w:p w14:paraId="2A498F4D" w14:textId="77777777" w:rsidR="007C4598" w:rsidRDefault="007C4598"/>
    <w:p w14:paraId="630B55FC" w14:textId="77777777" w:rsidR="007C4598" w:rsidRDefault="00000000">
      <w:pPr>
        <w:jc w:val="both"/>
      </w:pPr>
      <w:r>
        <w:t>L’investimento iniziale nella componente di Intelligenza Artificiale comprende le spese una tantum che la sua introduzione richiede e che si concentrano nei primi ventiquattro mesi del programma: l’acquisizione o lo sviluppo degli strumenti, la loro integrazione con l’infrastruttura digitale di base ricostruita nella sezione 7.2 e con il Fascicolo Sanitario Elettronico, la configurazione e la validazione degli strumenti nel contesto operativo del servizio, le verifiche di conformità preliminari all’impiego. Tali spese, di natura non ricorrente, costituiscono il costo di prima implementazione della leva, e sono ripartite nel tempo o imputate agli esercizi di avvio secondo la logica contabile appropriata.</w:t>
      </w:r>
    </w:p>
    <w:p w14:paraId="44EE9CA8" w14:textId="77777777" w:rsidR="007C4598" w:rsidRDefault="007C4598"/>
    <w:p w14:paraId="10FCB964" w14:textId="77777777" w:rsidR="007C4598" w:rsidRDefault="00000000">
      <w:pPr>
        <w:jc w:val="both"/>
      </w:pPr>
      <w:r>
        <w:t xml:space="preserve">Gli strumenti che la leva comprende, e che la Parte quarta ha descritto lungo il ciclo assistenziale, sono i sistemi di supporto decisionale per lo screening e la stratificazione del rischio, gli algoritmi di triage tra disturbo organico e disturbo funzionale, gli strumenti predittivi per la prevenzione delle ricadute e per il </w:t>
      </w:r>
      <w:proofErr w:type="spellStart"/>
      <w:r>
        <w:t>telemonitoraggio</w:t>
      </w:r>
      <w:proofErr w:type="spellEnd"/>
      <w:r>
        <w:t>, gli strumenti di documentazione clinica assistita. L’investimento iniziale comprende il costo di acquisizione o di sviluppo di tali strumenti, il costo della loro integrazione nei flussi di lavoro e nei sistemi informativi del servizio, e il costo della loro validazione nel contesto operativo, che è condizione del loro impiego sicuro ed efficace. La validazione, in particolare, costituisce una componente essenziale dell’investimento iniziale, perché è da essa che dipende l’affidabilità degli strumenti nel contesto specifico del servizio, e il suo costo non va sottostimato, in coerenza con la correzione per l’ottimismo che governa l’opera.</w:t>
      </w:r>
    </w:p>
    <w:p w14:paraId="4A60FB6F" w14:textId="77777777" w:rsidR="007C4598" w:rsidRDefault="007C4598"/>
    <w:p w14:paraId="059A9D75" w14:textId="77777777" w:rsidR="007C4598" w:rsidRDefault="00000000">
      <w:pPr>
        <w:jc w:val="both"/>
      </w:pPr>
      <w:r>
        <w:t>L’investimento iniziale nella componente di Intelligenza Artificiale si colloca dell’ordine di un milione e mezzo di euro nello scenario centrale, all’interno di un intervallo compreso tra un milione e due milioni di euro, concentrato nei primi ventiquattro mesi.</w:t>
      </w:r>
      <w:r>
        <w:rPr>
          <w:color w:val="555555"/>
          <w:sz w:val="16"/>
          <w:szCs w:val="16"/>
          <w:vertAlign w:val="superscript"/>
        </w:rPr>
        <w:t>[4]</w:t>
      </w:r>
      <w:r>
        <w:t xml:space="preserve"> La trattazione adotta, in ossequio alla correzione per l’ottimismo, una stima cautelativa dell’investimento iniziale, maggiorando prudenzialmente le voci soggette a maggiore incertezza, e segnala che il costo effettivo dipenderà dalla soluzione tecnologica adottata — acquisizione di strumenti esistenti, sviluppo di strumenti dedicati o soluzione mista — e dal grado di integrazione richiesto con l’infrastruttura esistente. L’investimento iniziale, di natura una tantum, concorre al </w:t>
      </w:r>
      <w:proofErr w:type="spellStart"/>
      <w:r>
        <w:t>sovraccosto</w:t>
      </w:r>
      <w:proofErr w:type="spellEnd"/>
      <w:r>
        <w:t xml:space="preserve"> di avvio del programma integrato, che la sezione 7.5 ricomporrà nel profilo temporale del costo diretto complessivo, e non grava sul costo a regime, che è costituito dai soli costi operativi e di </w:t>
      </w:r>
      <w:proofErr w:type="spellStart"/>
      <w:r>
        <w:t>governance</w:t>
      </w:r>
      <w:proofErr w:type="spellEnd"/>
      <w:r>
        <w:t>.</w:t>
      </w:r>
    </w:p>
    <w:p w14:paraId="17973399" w14:textId="77777777" w:rsidR="007C4598" w:rsidRDefault="007C4598"/>
    <w:p w14:paraId="1EA340DD" w14:textId="77777777" w:rsidR="007C4598" w:rsidRDefault="00000000">
      <w:pPr>
        <w:pStyle w:val="Titolo3"/>
        <w:spacing w:before="200" w:after="100"/>
      </w:pPr>
      <w:r>
        <w:rPr>
          <w:color w:val="16264B"/>
          <w:sz w:val="22"/>
          <w:szCs w:val="22"/>
        </w:rPr>
        <w:t xml:space="preserve">7.3.3  I costi operativi a regime: licenza, </w:t>
      </w:r>
      <w:proofErr w:type="spellStart"/>
      <w:r>
        <w:rPr>
          <w:color w:val="16264B"/>
          <w:sz w:val="22"/>
          <w:szCs w:val="22"/>
        </w:rPr>
        <w:t>cloud</w:t>
      </w:r>
      <w:proofErr w:type="spellEnd"/>
      <w:r>
        <w:rPr>
          <w:color w:val="16264B"/>
          <w:sz w:val="22"/>
          <w:szCs w:val="22"/>
        </w:rPr>
        <w:t xml:space="preserve"> e manutenzione evolutiva</w:t>
      </w:r>
    </w:p>
    <w:p w14:paraId="77FC0E50" w14:textId="77777777" w:rsidR="007C4598" w:rsidRDefault="007C4598"/>
    <w:p w14:paraId="1BBDFD77" w14:textId="77777777" w:rsidR="007C4598" w:rsidRDefault="00000000">
      <w:pPr>
        <w:jc w:val="both"/>
      </w:pPr>
      <w:r>
        <w:t xml:space="preserve">I costi operativi a regime della componente di Intelligenza Artificiale comprendono le spese ricorrenti che il suo funzionamento richiede una volta superata la fase di avvio: i canoni di licenza degli strumenti, i costi di infrastruttura </w:t>
      </w:r>
      <w:proofErr w:type="spellStart"/>
      <w:r>
        <w:t>cloud</w:t>
      </w:r>
      <w:proofErr w:type="spellEnd"/>
      <w:r>
        <w:t xml:space="preserve"> per l’elaborazione e per l’archiviazione, i costi di manutenzione ordinaria ed evolutiva che ne assicurano l’aggiornamento e l’adeguamento. Tali spese, di natura ricorrente, costituiscono il costo a regime della leva sul versante tecnologico, e sono distinte dal costo del personale dedicato alla </w:t>
      </w:r>
      <w:proofErr w:type="spellStart"/>
      <w:r>
        <w:t>governance</w:t>
      </w:r>
      <w:proofErr w:type="spellEnd"/>
      <w:r>
        <w:t xml:space="preserve"> degli strumenti, che la sezione successiva ricostruisce.</w:t>
      </w:r>
    </w:p>
    <w:p w14:paraId="62B16F02" w14:textId="77777777" w:rsidR="007C4598" w:rsidRDefault="007C4598"/>
    <w:p w14:paraId="4BFC8315" w14:textId="77777777" w:rsidR="007C4598" w:rsidRDefault="00000000">
      <w:pPr>
        <w:jc w:val="both"/>
      </w:pPr>
      <w:r>
        <w:t xml:space="preserve">I costi di licenza e di </w:t>
      </w:r>
      <w:proofErr w:type="spellStart"/>
      <w:r>
        <w:t>cloud</w:t>
      </w:r>
      <w:proofErr w:type="spellEnd"/>
      <w:r>
        <w:t xml:space="preserve"> dipendono dalla soluzione tecnologica adottata e dal volume di utilizzo degli strumenti, che cresce con l’estensione della copertura del servizio. I costi di manutenzione evolutiva, in particolare, costituiscono una componente essenziale del costo operativo, perché gli strumenti di Intelligenza Artificiale richiedono un aggiornamento continuo per mantenere la propria efficacia e la propria conformità, e la loro mancata manutenzione ne comprometterebbe l’affidabilità. La trattazione include perciò il costo di manutenzione evolutiva tra i costi operativi a regime, riconoscendo che la leva, una volta introdotta, richiede un investimento continuativo per il proprio mantenimento, e che la sottostima di tale investimento condurrebbe a una stima ottimistica del costo a regime.</w:t>
      </w:r>
    </w:p>
    <w:p w14:paraId="313D90ED" w14:textId="77777777" w:rsidR="007C4598" w:rsidRDefault="007C4598"/>
    <w:p w14:paraId="21ED94D6" w14:textId="77777777" w:rsidR="007C4598" w:rsidRDefault="00000000">
      <w:pPr>
        <w:jc w:val="both"/>
      </w:pPr>
      <w:r>
        <w:t xml:space="preserve">I costi operativi a regime di licenza, </w:t>
      </w:r>
      <w:proofErr w:type="spellStart"/>
      <w:r>
        <w:t>cloud</w:t>
      </w:r>
      <w:proofErr w:type="spellEnd"/>
      <w:r>
        <w:t xml:space="preserve"> e manutenzione evolutiva si collocano dell’ordine di seicentomila-settecentomila euro annui nello scenario centrale, all’interno di un intervallo compreso tra cinquecentomila e ottocentomila euro nei tre scenari. Tali costi seguono la curva di adozione del servizio, collocandosi su valori contenuti nei primi anni e raggiungendo il valore a regime dal quinto anno in avanti, con l’estensione della copertura e l’aumento del volume di utilizzo. La trattazione segnala che il costo operativo a regime della componente tecnologica, dell’ordine di seicentomila-settecentomila euro, è di entità inferiore all’effetto di autofinanziamento che la sezione 7.3.6 quantificherà, e che è precisamente da questo rapporto tra il costo della leva e l’</w:t>
      </w:r>
      <w:proofErr w:type="spellStart"/>
      <w:r>
        <w:t>efficientamento</w:t>
      </w:r>
      <w:proofErr w:type="spellEnd"/>
      <w:r>
        <w:t xml:space="preserve"> che essa produce che discende il costo incrementale netto prossimo allo zero.</w:t>
      </w:r>
    </w:p>
    <w:p w14:paraId="3273AD2F" w14:textId="77777777" w:rsidR="007C4598" w:rsidRDefault="007C4598"/>
    <w:p w14:paraId="1AC7BCF1" w14:textId="77777777" w:rsidR="007C4598" w:rsidRDefault="00000000">
      <w:pPr>
        <w:pStyle w:val="Titolo3"/>
        <w:spacing w:before="200" w:after="100"/>
      </w:pPr>
      <w:r>
        <w:rPr>
          <w:color w:val="16264B"/>
          <w:sz w:val="22"/>
          <w:szCs w:val="22"/>
        </w:rPr>
        <w:t xml:space="preserve">7.3.4  Il costo del personale dedicato alla </w:t>
      </w:r>
      <w:proofErr w:type="spellStart"/>
      <w:r>
        <w:rPr>
          <w:color w:val="16264B"/>
          <w:sz w:val="22"/>
          <w:szCs w:val="22"/>
        </w:rPr>
        <w:t>governance</w:t>
      </w:r>
      <w:proofErr w:type="spellEnd"/>
      <w:r>
        <w:rPr>
          <w:color w:val="16264B"/>
          <w:sz w:val="22"/>
          <w:szCs w:val="22"/>
        </w:rPr>
        <w:t xml:space="preserve"> degli strumenti</w:t>
      </w:r>
    </w:p>
    <w:p w14:paraId="7BA82D5C" w14:textId="77777777" w:rsidR="007C4598" w:rsidRDefault="007C4598"/>
    <w:p w14:paraId="7DE10B05" w14:textId="77777777" w:rsidR="007C4598" w:rsidRDefault="00000000">
      <w:pPr>
        <w:jc w:val="both"/>
      </w:pPr>
      <w:r>
        <w:t xml:space="preserve">L’impiego sicuro ed efficace della componente di Intelligenza Artificiale richiede una funzione di </w:t>
      </w:r>
      <w:proofErr w:type="spellStart"/>
      <w:r>
        <w:t>governance</w:t>
      </w:r>
      <w:proofErr w:type="spellEnd"/>
      <w:r>
        <w:t xml:space="preserve"> degli strumenti, esercitata da personale dedicato e distinto dal personale clinico, cui spettano la supervisione del funzionamento degli strumenti, il monitoraggio della loro affidabilità, la gestione della loro conformità e il raccordo con i clinici che li impiegano. Tale funzione, che la Parte quarta ha collocato tra le condizioni della </w:t>
      </w:r>
      <w:proofErr w:type="spellStart"/>
      <w:r>
        <w:t>governance</w:t>
      </w:r>
      <w:proofErr w:type="spellEnd"/>
      <w:r>
        <w:t xml:space="preserve"> prudenziale della leva, genera un costo di personale che la presente sezione ricostruisce e che è parte del costo incrementale della componente di Intelligenza Artificiale, distinto dal costo del personale clinico della sezione 7.1 e dal costo della </w:t>
      </w:r>
      <w:proofErr w:type="spellStart"/>
      <w:r>
        <w:t>governance</w:t>
      </w:r>
      <w:proofErr w:type="spellEnd"/>
      <w:r>
        <w:t xml:space="preserve"> e del coordinamento istituzionale della sezione 7.2.</w:t>
      </w:r>
    </w:p>
    <w:p w14:paraId="3D70AE89" w14:textId="77777777" w:rsidR="007C4598" w:rsidRDefault="007C4598"/>
    <w:p w14:paraId="26E49104" w14:textId="77777777" w:rsidR="007C4598" w:rsidRDefault="00000000">
      <w:pPr>
        <w:jc w:val="both"/>
      </w:pPr>
      <w:r>
        <w:t xml:space="preserve">La funzione di </w:t>
      </w:r>
      <w:proofErr w:type="spellStart"/>
      <w:r>
        <w:t>governance</w:t>
      </w:r>
      <w:proofErr w:type="spellEnd"/>
      <w:r>
        <w:t xml:space="preserve"> degli strumenti comprende figure con competenze specifiche: il responsabile clinico dell’impiego degli strumenti, cui spetta la supervisione dell’integrazione degli strumenti nei percorsi clinici e la garanzia della loro subordinazione al giudizio professionale; il responsabile del trattamento e della protezione dei dati, cui spetta la gestione della conformità alla normativa sulla protezione dei dati; il supporto tecnico, cui spetta la manutenzione operativa e il raccordo con i fornitori. Tali figure, di entità numerica contenuta, costituiscono il nucleo della funzione di </w:t>
      </w:r>
      <w:proofErr w:type="spellStart"/>
      <w:r>
        <w:t>governance</w:t>
      </w:r>
      <w:proofErr w:type="spellEnd"/>
      <w:r>
        <w:t xml:space="preserve"> degli strumenti, e il loro costo è quello del tempo che esse vi dedicano, nella quota dedicata al servizio.</w:t>
      </w:r>
    </w:p>
    <w:p w14:paraId="299C18BA" w14:textId="77777777" w:rsidR="007C4598" w:rsidRDefault="007C4598"/>
    <w:p w14:paraId="646D5BFA" w14:textId="77777777" w:rsidR="007C4598" w:rsidRDefault="00000000">
      <w:pPr>
        <w:jc w:val="both"/>
      </w:pPr>
      <w:r>
        <w:t xml:space="preserve">Il costo del personale dedicato alla </w:t>
      </w:r>
      <w:proofErr w:type="spellStart"/>
      <w:r>
        <w:t>governance</w:t>
      </w:r>
      <w:proofErr w:type="spellEnd"/>
      <w:r>
        <w:t xml:space="preserve"> degli strumenti si colloca dell’ordine di quattrocentomila-cinquecentomila euro annui a regime nello scenario centrale, all’interno di un intervallo compreso tra trecentomila e seicentomila euro nei tre scenari. Tale costo, di entità contenuta, è essenziale perché è da esso che dipende la condizione invariante del successo della leva, che la Parte quarta ha enunciato: l’integrazione degli strumenti con i servizi esistenti e la supervisione di operatori competenti, che potenziano l’operato umano anziché sostituirlo. La trattazione include perciò il costo della funzione di </w:t>
      </w:r>
      <w:proofErr w:type="spellStart"/>
      <w:r>
        <w:t>governance</w:t>
      </w:r>
      <w:proofErr w:type="spellEnd"/>
      <w:r>
        <w:t xml:space="preserve"> degli strumenti tra i costi incrementali della leva, riconoscendo che la leva non può operare senza una funzione che ne governi l’impiego, e che la sottostima di tale funzione condurrebbe a una stima ottimistica e a un impiego non governato degli strumenti, in contrasto con la cornice di </w:t>
      </w:r>
      <w:proofErr w:type="spellStart"/>
      <w:r>
        <w:t>governance</w:t>
      </w:r>
      <w:proofErr w:type="spellEnd"/>
      <w:r>
        <w:t xml:space="preserve"> prudenziale che l’opera adotta.</w:t>
      </w:r>
    </w:p>
    <w:p w14:paraId="526E7FCE" w14:textId="77777777" w:rsidR="007C4598" w:rsidRDefault="007C4598"/>
    <w:p w14:paraId="7429D095" w14:textId="77777777" w:rsidR="007C4598" w:rsidRDefault="00000000">
      <w:pPr>
        <w:pStyle w:val="Titolo3"/>
        <w:spacing w:before="200" w:after="100"/>
      </w:pPr>
      <w:r>
        <w:rPr>
          <w:color w:val="16264B"/>
          <w:sz w:val="22"/>
          <w:szCs w:val="22"/>
        </w:rPr>
        <w:t xml:space="preserve">7.3.5  Il costo della conformità </w:t>
      </w:r>
      <w:proofErr w:type="spellStart"/>
      <w:r>
        <w:rPr>
          <w:color w:val="16264B"/>
          <w:sz w:val="22"/>
          <w:szCs w:val="22"/>
        </w:rPr>
        <w:t>regolatoria</w:t>
      </w:r>
      <w:proofErr w:type="spellEnd"/>
    </w:p>
    <w:p w14:paraId="0333E0AA" w14:textId="77777777" w:rsidR="007C4598" w:rsidRDefault="007C4598"/>
    <w:p w14:paraId="783E88E2" w14:textId="77777777" w:rsidR="007C4598" w:rsidRDefault="00000000">
      <w:pPr>
        <w:jc w:val="both"/>
      </w:pPr>
      <w:r>
        <w:t xml:space="preserve">L’impiego della componente di Intelligenza Artificiale in ambito sanitario è soggetto a un perimetro </w:t>
      </w:r>
      <w:proofErr w:type="spellStart"/>
      <w:r>
        <w:t>regolatorio</w:t>
      </w:r>
      <w:proofErr w:type="spellEnd"/>
      <w:r>
        <w:t xml:space="preserve"> articolato, la cui osservanza genera un costo di conformità che la presente sezione ricostruisce e che è parte del costo incrementale della leva. Tale perimetro comprende il quadro europeo sull’intelligenza artificiale, che classifica per livello di rischio i sistemi impiegati e ne disciplina gli obblighi; la normativa sui dispositivi medici e sui dispositivi medico-diagnostici in vitro, ove gli strumenti rientrino in tali categorie; e la normativa sulla protezione dei dati, con i connessi obblighi di valutazione d’impatto per i sistemi predittivi e conversazionali. La conformità a tale perimetro non è un vincolo esterno che si aggiunge al costo della leva, ma una componente integrante del suo costo e una condizione della sua ammissibilità.</w:t>
      </w:r>
      <w:r>
        <w:rPr>
          <w:color w:val="555555"/>
          <w:sz w:val="16"/>
          <w:szCs w:val="16"/>
          <w:vertAlign w:val="superscript"/>
        </w:rPr>
        <w:t>[4][17][18]</w:t>
      </w:r>
    </w:p>
    <w:p w14:paraId="12164FFA" w14:textId="77777777" w:rsidR="007C4598" w:rsidRDefault="007C4598"/>
    <w:p w14:paraId="7D06D640" w14:textId="77777777" w:rsidR="007C4598" w:rsidRDefault="00000000">
      <w:pPr>
        <w:jc w:val="both"/>
      </w:pPr>
      <w:r>
        <w:t xml:space="preserve">Il costo della conformità </w:t>
      </w:r>
      <w:proofErr w:type="spellStart"/>
      <w:r>
        <w:t>regolatoria</w:t>
      </w:r>
      <w:proofErr w:type="spellEnd"/>
      <w:r>
        <w:t xml:space="preserve"> comprende sia componenti una tantum, concentrate nella fase di avvio, sia componenti ricorrenti, distribuite lungo l’esercizio del servizio. Le componenti una tantum comprendono la classificazione del rischio degli strumenti secondo il quadro europeo, la valutazione di conformità ove gli strumenti rientrino tra i dispositivi medici, la valutazione d’impatto sulla protezione dei dati per i sistemi predittivi e conversazionali, le verifiche preliminari all’impiego. Le componenti ricorrenti comprendono il mantenimento della conformità, l’aggiornamento delle valutazioni a fronte dell’evoluzione degli strumenti e della normativa, il monitoraggio degli obblighi connessi alla classificazione di rischio. La trattazione distingue le due componenti, imputando le une al </w:t>
      </w:r>
      <w:proofErr w:type="spellStart"/>
      <w:r>
        <w:t>sovraccosto</w:t>
      </w:r>
      <w:proofErr w:type="spellEnd"/>
      <w:r>
        <w:t xml:space="preserve"> di avvio e le altre al costo a regime.</w:t>
      </w:r>
    </w:p>
    <w:p w14:paraId="0A564A71" w14:textId="77777777" w:rsidR="007C4598" w:rsidRDefault="007C4598"/>
    <w:p w14:paraId="2B7287D3" w14:textId="77777777" w:rsidR="007C4598" w:rsidRDefault="00000000">
      <w:pPr>
        <w:jc w:val="both"/>
      </w:pPr>
      <w:r>
        <w:t xml:space="preserve">Il costo ricorrente della conformità </w:t>
      </w:r>
      <w:proofErr w:type="spellStart"/>
      <w:r>
        <w:t>regolatoria</w:t>
      </w:r>
      <w:proofErr w:type="spellEnd"/>
      <w:r>
        <w:t xml:space="preserve"> si colloca dell’ordine di centomila-duecentomila euro annui a regime nello scenario centrale, all’interno di un intervallo compreso tra centomila e trecentomila euro nei tre scenari, cui si aggiunge un costo una tantum di prima conformità, concentrato nella fase di avvio, dell’ordine di alcune centinaia di migliaia di euro. La trattazione segnala che il costo della conformità, ancorché di entità contenuta, non va sottostimato, perché la sua omissione comprometterebbe l’ammissibilità degli strumenti e li esporrebbe a un rischio </w:t>
      </w:r>
      <w:proofErr w:type="spellStart"/>
      <w:r>
        <w:t>regolatorio</w:t>
      </w:r>
      <w:proofErr w:type="spellEnd"/>
      <w:r>
        <w:t xml:space="preserve"> incompatibile con l’impiego in ambito sanitario; e che la sua inclusione tra i costi incrementali della leva è la traduzione economica della cornice di </w:t>
      </w:r>
      <w:proofErr w:type="spellStart"/>
      <w:r>
        <w:t>governance</w:t>
      </w:r>
      <w:proofErr w:type="spellEnd"/>
      <w:r>
        <w:t xml:space="preserve"> prudenziale che l’opera adotta, la quale richiede che l’impiego degli strumenti sia conforme al perimetro </w:t>
      </w:r>
      <w:proofErr w:type="spellStart"/>
      <w:r>
        <w:t>regolatorio</w:t>
      </w:r>
      <w:proofErr w:type="spellEnd"/>
      <w:r>
        <w:t xml:space="preserve"> applicabile e che la verifica di tale conformità sia condizione del loro impiego.</w:t>
      </w:r>
    </w:p>
    <w:p w14:paraId="63D17B06" w14:textId="77777777" w:rsidR="007C4598" w:rsidRDefault="007C4598"/>
    <w:p w14:paraId="7669790E" w14:textId="77777777" w:rsidR="007C4598" w:rsidRDefault="00000000">
      <w:pPr>
        <w:pStyle w:val="Titolo3"/>
        <w:spacing w:before="200" w:after="100"/>
      </w:pPr>
      <w:r>
        <w:rPr>
          <w:color w:val="16264B"/>
          <w:sz w:val="22"/>
          <w:szCs w:val="22"/>
        </w:rPr>
        <w:t>7.3.6  L’effetto di parziale autofinanziamento: la riduzione dei costi operativi del servizio</w:t>
      </w:r>
    </w:p>
    <w:p w14:paraId="47561329" w14:textId="77777777" w:rsidR="007C4598" w:rsidRDefault="007C4598"/>
    <w:p w14:paraId="4C29D626" w14:textId="77777777" w:rsidR="007C4598" w:rsidRDefault="00000000">
      <w:pPr>
        <w:jc w:val="both"/>
      </w:pPr>
      <w:r>
        <w:t>L’effetto di parziale autofinanziamento costituisce il tratto più rilevante del costo della leva digitale e dell’Intelligenza Artificiale, e la sua corretta trattazione richiede una distinzione che il vincolo di non duplicazione impone e che è necessario enunciare con la massima chiarezza, perché la sua confusione condurrebbe a un grave errore. L’effetto di autofinanziamento che la presente sezione quantifica è la riduzione dei costi operativi del servizio che l’automazione di compiti amministrativi e l’assistenza alla documentazione clinica producono, ed è una grandezza che incide sul versante dei costi, riducendo il costo operativo del servizio. Esso è cosa affatto diversa dal contributo della leva ai risparmi sanitari diretti, che la Parte ottava quantificherà sul versante dei benefici e che riguarda la riduzione della spesa sanitaria regionale, non la riduzione dei costi operativi del servizio. La presente sezione tratta esclusivamente il primo effetto, e ne mantiene la rigorosa distinzione dal secondo, affinché la medesima grandezza non sia contabilizzata due volte, una sul versante dei costi e una su quello dei benefici.</w:t>
      </w:r>
    </w:p>
    <w:p w14:paraId="7C0949DD" w14:textId="77777777" w:rsidR="007C4598" w:rsidRDefault="007C4598"/>
    <w:p w14:paraId="0B63B03B" w14:textId="77777777" w:rsidR="007C4598" w:rsidRDefault="00000000">
      <w:pPr>
        <w:jc w:val="both"/>
      </w:pPr>
      <w:r>
        <w:t>L’automazione dei compiti amministrativi e l’assistenza alla documentazione clinica riducono il costo operativo del servizio liberando tempo professionale e tempo amministrativo che sarebbero altrimenti dedicati a tali compiti. La documentazione clinica assistita, in particolare, riduce il tempo che lo Psicologo di Base dedica alla redazione della documentazione, restituendolo all’attività clinica o riducendo il fabbisogno di tempo complessivo; l’automazione amministrativa riduce il tempo che il personale amministrativo di supporto dedica ai compiti ripetitivi, riducendo il fabbisogno di personale amministrativo. L’uno e l’altro effetto si traducono in una riduzione del costo operativo del servizio, che la presente sezione quantifica e che esercita il parziale autofinanziamento della leva.</w:t>
      </w:r>
    </w:p>
    <w:p w14:paraId="0A6C6E2D" w14:textId="77777777" w:rsidR="007C4598" w:rsidRDefault="007C4598"/>
    <w:p w14:paraId="7CCB644C" w14:textId="77777777" w:rsidR="007C4598" w:rsidRDefault="00000000">
      <w:pPr>
        <w:jc w:val="both"/>
      </w:pPr>
      <w:r>
        <w:t>L’evidenza che sostiene l’effetto di autofinanziamento è di qualità variabile, e la sua graduazione impone, in coerenza con il vincolo che governa l’opera, l’adozione di una stima prudenziale. Gli studi sull’</w:t>
      </w:r>
      <w:proofErr w:type="spellStart"/>
      <w:r>
        <w:t>efficientamento</w:t>
      </w:r>
      <w:proofErr w:type="spellEnd"/>
      <w:r>
        <w:t xml:space="preserve"> gestionale prodotto dagli strumenti di documentazione clinica assistita e di automazione amministrativa documentano una riduzione del tempo dedicato a tali compiti, ma con un grado di certezza da moderato a basso a seconda degli strumenti e dei contesti, e con una variabilità che impone cautela nella trasposizione al contesto specifico del servizio.</w:t>
      </w:r>
      <w:r>
        <w:rPr>
          <w:color w:val="555555"/>
          <w:sz w:val="16"/>
          <w:szCs w:val="16"/>
          <w:vertAlign w:val="superscript"/>
        </w:rPr>
        <w:t>[15]</w:t>
      </w:r>
      <w:r>
        <w:t xml:space="preserve"> La trattazione adotta perciò una stima prudenziale dell’effetto di autofinanziamento, collocandolo verso il limite inferiore degli intervalli documentati, e ne segnala il grado di certezza, in coerenza con la graduazione simmetrica dell’evidenza che l’opera applica agli strumenti tecnologici con il medesimo rigore applicato alle affermazioni cliniche.</w:t>
      </w:r>
    </w:p>
    <w:p w14:paraId="21D3C168" w14:textId="77777777" w:rsidR="007C4598" w:rsidRDefault="007C4598"/>
    <w:p w14:paraId="53AF67C1" w14:textId="77777777" w:rsidR="007C4598" w:rsidRDefault="00000000">
      <w:pPr>
        <w:jc w:val="both"/>
      </w:pPr>
      <w:r>
        <w:t xml:space="preserve">L’effetto di parziale autofinanziamento, stimato prudenzialmente, si colloca dell’ordine di un milione e trecentomila euro annui a regime, pari a oltre il tre per cento del costo diretto del modello base, e corrisponde alla riduzione del costo operativo del servizio che l’automazione amministrativa e la documentazione clinica assistita producono. Tale grandezza eccede il costo operativo a regime della componente tecnologica, dell’ordine di seicentomila-settecentomila euro, e si avvicina al costo incrementale complessivo della leva, comprensivo del personale di </w:t>
      </w:r>
      <w:proofErr w:type="spellStart"/>
      <w:r>
        <w:t>governance</w:t>
      </w:r>
      <w:proofErr w:type="spellEnd"/>
      <w:r>
        <w:t xml:space="preserve"> e della conformità; ed è precisamente da questo rapporto tra l’effetto di autofinanziamento e il costo della leva che discende il costo incrementale netto prossimo allo zero, che la sezione successiva quantificherà. La trattazione ribadisce, perché il punto non sia equivocato, che l’effetto di autofinanziamento qui considerato è la riduzione dei costi operativi del servizio, distinta dai risparmi sanitari diretti della Parte ottava, e che la sua inclusione nella presente sezione, sul versante dei costi, non comporta alcuna duplicazione con i benefici.</w:t>
      </w:r>
    </w:p>
    <w:p w14:paraId="0B2C4111" w14:textId="77777777" w:rsidR="007C4598" w:rsidRDefault="007C4598"/>
    <w:p w14:paraId="3BC8D682" w14:textId="77777777" w:rsidR="007C4598" w:rsidRDefault="00000000">
      <w:pPr>
        <w:pStyle w:val="Titolo3"/>
        <w:spacing w:before="200" w:after="100"/>
      </w:pPr>
      <w:r>
        <w:rPr>
          <w:color w:val="16264B"/>
          <w:sz w:val="22"/>
          <w:szCs w:val="22"/>
        </w:rPr>
        <w:t>7.3.7  Il costo incrementale netto della leva digitale e dell’Intelligenza Artificiale per scenario</w:t>
      </w:r>
    </w:p>
    <w:p w14:paraId="22DA0EF2" w14:textId="77777777" w:rsidR="007C4598" w:rsidRDefault="007C4598"/>
    <w:p w14:paraId="227C2BF6" w14:textId="77777777" w:rsidR="007C4598" w:rsidRDefault="00000000">
      <w:pPr>
        <w:jc w:val="both"/>
      </w:pPr>
      <w:r>
        <w:t>La ricostruzione del costo incrementale della leva digitale e dell’Intelligenza Artificiale perviene ora al consolidamento, che ricompone le quattro componenti del costo e l’effetto di autofinanziamento in una stima del costo incrementale lordo e netto, distinta per scenario e corredata della banda prudenziale e della previsione falsificabile che l’opera richiede. Il consolidamento mantiene la distinzione tra il costo lordo della leva, che si aggiunge al costo del modello base, e il costo netto, che scomputa l’effetto di autofinanziamento, e segnala quale dei due valori sia pertinente a ciascun uso.</w:t>
      </w:r>
    </w:p>
    <w:p w14:paraId="10AF523D" w14:textId="77777777" w:rsidR="007C4598" w:rsidRDefault="007C4598"/>
    <w:p w14:paraId="30F2A7C8" w14:textId="77777777" w:rsidR="007C4598" w:rsidRDefault="00000000">
      <w:pPr>
        <w:jc w:val="both"/>
      </w:pPr>
      <w:r>
        <w:t xml:space="preserve">Il costo incrementale lordo della leva digitale e dell’Intelligenza Artificiale a regime, somma dei costi operativi di licenza, </w:t>
      </w:r>
      <w:proofErr w:type="spellStart"/>
      <w:r>
        <w:t>cloud</w:t>
      </w:r>
      <w:proofErr w:type="spellEnd"/>
      <w:r>
        <w:t xml:space="preserve"> e manutenzione, del costo del personale dedicato alla </w:t>
      </w:r>
      <w:proofErr w:type="spellStart"/>
      <w:r>
        <w:t>governance</w:t>
      </w:r>
      <w:proofErr w:type="spellEnd"/>
      <w:r>
        <w:t xml:space="preserve"> degli strumenti e del costo ricorrente della conformità </w:t>
      </w:r>
      <w:proofErr w:type="spellStart"/>
      <w:r>
        <w:t>regolatoria</w:t>
      </w:r>
      <w:proofErr w:type="spellEnd"/>
      <w:r>
        <w:t xml:space="preserve">, si colloca dell’ordine di un milione e duecentomila euro annui nello scenario centrale, all’interno di un intervallo compreso tra un milione e centomila e un milione e trecentomila euro nei tre scenari, in coerenza con la stima del modello del progetto. A tale costo lordo si aggiunge l’investimento iniziale una tantum, dell’ordine di un milione-due milioni concentrato nei primi ventiquattro mesi, che concorre al </w:t>
      </w:r>
      <w:proofErr w:type="spellStart"/>
      <w:r>
        <w:t>sovraccosto</w:t>
      </w:r>
      <w:proofErr w:type="spellEnd"/>
      <w:r>
        <w:t xml:space="preserve"> di avvio del programma integrato.</w:t>
      </w:r>
    </w:p>
    <w:p w14:paraId="681B7148" w14:textId="77777777" w:rsidR="007C4598" w:rsidRDefault="007C4598"/>
    <w:p w14:paraId="7FD5B7E3" w14:textId="77777777" w:rsidR="007C4598" w:rsidRDefault="00000000">
      <w:pPr>
        <w:jc w:val="both"/>
      </w:pPr>
      <w:r>
        <w:t>Il costo incrementale netto della leva digitale e dell’Intelligenza Artificiale a regime, ottenuto scomputando dal costo lordo l’effetto di parziale autofinanziamento di un milione e trecentomila euro, si colloca dell’ordine di una grandezza prossima allo zero, e in taluni scenari favorevole, perché l’effetto di autofinanziamento eccede o eguaglia il costo lordo della leva. Questa è la conclusione più rilevante della sezione: la leva digitale e l’Intelligenza Artificiale, pur aggiungendo un costo lordo dell’ordine di un milione e duecentomila euro al costo diretto del modello base, esercitano un effetto di autofinanziamento di entità tale che il loro costo incrementale netto, a regime, è prossimo allo zero, sicché la leva non grava in misura apprezzabile sul costo diretto del servizio, e il suo costo è in larga parte compensato dall’</w:t>
      </w:r>
      <w:proofErr w:type="spellStart"/>
      <w:r>
        <w:t>efficientamento</w:t>
      </w:r>
      <w:proofErr w:type="spellEnd"/>
      <w:r>
        <w:t xml:space="preserve"> che essa produce.</w:t>
      </w:r>
    </w:p>
    <w:p w14:paraId="44FC6C69"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846"/>
        <w:gridCol w:w="1797"/>
        <w:gridCol w:w="1793"/>
        <w:gridCol w:w="1794"/>
        <w:gridCol w:w="1796"/>
      </w:tblGrid>
      <w:tr w:rsidR="007C4598" w14:paraId="18388841" w14:textId="77777777">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2D7D608" w14:textId="77777777" w:rsidR="007C4598" w:rsidRDefault="00000000">
            <w:pPr>
              <w:spacing w:after="40"/>
            </w:pPr>
            <w:r>
              <w:rPr>
                <w:b/>
                <w:bCs/>
                <w:color w:val="FFFFFF"/>
                <w:sz w:val="18"/>
                <w:szCs w:val="18"/>
              </w:rPr>
              <w:t>Componente (a regime)</w:t>
            </w:r>
          </w:p>
        </w:tc>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D3ABB3C" w14:textId="77777777" w:rsidR="007C4598" w:rsidRDefault="00000000">
            <w:pPr>
              <w:spacing w:after="40"/>
            </w:pPr>
            <w:r>
              <w:rPr>
                <w:b/>
                <w:bCs/>
                <w:color w:val="FFFFFF"/>
                <w:sz w:val="18"/>
                <w:szCs w:val="18"/>
              </w:rPr>
              <w:t>Conservativo</w:t>
            </w:r>
          </w:p>
        </w:tc>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12DCDD4" w14:textId="77777777" w:rsidR="007C4598" w:rsidRDefault="00000000">
            <w:pPr>
              <w:spacing w:after="40"/>
            </w:pPr>
            <w:r>
              <w:rPr>
                <w:b/>
                <w:bCs/>
                <w:color w:val="FFFFFF"/>
                <w:sz w:val="18"/>
                <w:szCs w:val="18"/>
              </w:rPr>
              <w:t>Centrale</w:t>
            </w:r>
          </w:p>
        </w:tc>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53E2079" w14:textId="77777777" w:rsidR="007C4598" w:rsidRDefault="00000000">
            <w:pPr>
              <w:spacing w:after="40"/>
            </w:pPr>
            <w:r>
              <w:rPr>
                <w:b/>
                <w:bCs/>
                <w:color w:val="FFFFFF"/>
                <w:sz w:val="18"/>
                <w:szCs w:val="18"/>
              </w:rPr>
              <w:t>Espansivo</w:t>
            </w:r>
          </w:p>
        </w:tc>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B708F5C" w14:textId="77777777" w:rsidR="007C4598" w:rsidRDefault="00000000">
            <w:pPr>
              <w:spacing w:after="40"/>
            </w:pPr>
            <w:r>
              <w:rPr>
                <w:b/>
                <w:bCs/>
                <w:color w:val="FFFFFF"/>
                <w:sz w:val="18"/>
                <w:szCs w:val="18"/>
              </w:rPr>
              <w:t>Natura</w:t>
            </w:r>
          </w:p>
        </w:tc>
      </w:tr>
      <w:tr w:rsidR="007C4598" w14:paraId="7E5D31CB"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BCFD232" w14:textId="77777777" w:rsidR="007C4598" w:rsidRDefault="00000000">
            <w:pPr>
              <w:spacing w:after="40"/>
            </w:pPr>
            <w:r>
              <w:t xml:space="preserve">Costi operativi (licenza, </w:t>
            </w:r>
            <w:proofErr w:type="spellStart"/>
            <w:r>
              <w:t>cloud</w:t>
            </w:r>
            <w:proofErr w:type="spellEnd"/>
            <w:r>
              <w:t>, manutenzione)</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EBFA4EC" w14:textId="77777777" w:rsidR="007C4598" w:rsidRDefault="00000000">
            <w:pPr>
              <w:spacing w:after="40"/>
            </w:pPr>
            <w:r>
              <w:t>0,8</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926ECFE" w14:textId="77777777" w:rsidR="007C4598" w:rsidRDefault="00000000">
            <w:pPr>
              <w:spacing w:after="40"/>
            </w:pPr>
            <w:r>
              <w:t>0,65</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55E9E79" w14:textId="77777777" w:rsidR="007C4598" w:rsidRDefault="00000000">
            <w:pPr>
              <w:spacing w:after="40"/>
            </w:pPr>
            <w:r>
              <w:t>0,5</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9F24567" w14:textId="77777777" w:rsidR="007C4598" w:rsidRDefault="00000000">
            <w:pPr>
              <w:spacing w:after="40"/>
            </w:pPr>
            <w:r>
              <w:t>Cassa, ricorrente</w:t>
            </w:r>
          </w:p>
        </w:tc>
      </w:tr>
      <w:tr w:rsidR="007C4598" w14:paraId="38CB2549"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84C2D7C" w14:textId="77777777" w:rsidR="007C4598" w:rsidRDefault="00000000">
            <w:pPr>
              <w:spacing w:after="40"/>
            </w:pPr>
            <w:r>
              <w:t xml:space="preserve">Personale di </w:t>
            </w:r>
            <w:proofErr w:type="spellStart"/>
            <w:r>
              <w:t>governance</w:t>
            </w:r>
            <w:proofErr w:type="spellEnd"/>
            <w:r>
              <w:t xml:space="preserve"> degli strumenti</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D79C7BC" w14:textId="77777777" w:rsidR="007C4598" w:rsidRDefault="00000000">
            <w:pPr>
              <w:spacing w:after="40"/>
            </w:pPr>
            <w:r>
              <w:t>0,6</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3F06165" w14:textId="77777777" w:rsidR="007C4598" w:rsidRDefault="00000000">
            <w:pPr>
              <w:spacing w:after="40"/>
            </w:pPr>
            <w:r>
              <w:t>0,45</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7D54152" w14:textId="77777777" w:rsidR="007C4598" w:rsidRDefault="00000000">
            <w:pPr>
              <w:spacing w:after="40"/>
            </w:pPr>
            <w:r>
              <w:t>0,3</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B37DAA1" w14:textId="77777777" w:rsidR="007C4598" w:rsidRDefault="00000000">
            <w:pPr>
              <w:spacing w:after="40"/>
            </w:pPr>
            <w:r>
              <w:t>Cassa, ricorrente</w:t>
            </w:r>
          </w:p>
        </w:tc>
      </w:tr>
      <w:tr w:rsidR="007C4598" w14:paraId="11B6EDCE"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4623058" w14:textId="77777777" w:rsidR="007C4598" w:rsidRDefault="00000000">
            <w:pPr>
              <w:spacing w:after="40"/>
            </w:pPr>
            <w:r>
              <w:t xml:space="preserve">Conformità </w:t>
            </w:r>
            <w:proofErr w:type="spellStart"/>
            <w:r>
              <w:t>regolatoria</w:t>
            </w:r>
            <w:proofErr w:type="spellEnd"/>
            <w:r>
              <w:t xml:space="preserve"> (ricorrente)</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5E57D1B" w14:textId="77777777" w:rsidR="007C4598" w:rsidRDefault="00000000">
            <w:pPr>
              <w:spacing w:after="40"/>
            </w:pPr>
            <w:r>
              <w:t>0,3</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FFD462E" w14:textId="77777777" w:rsidR="007C4598" w:rsidRDefault="00000000">
            <w:pPr>
              <w:spacing w:after="40"/>
            </w:pPr>
            <w:r>
              <w:t>0,15</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27A3697" w14:textId="77777777" w:rsidR="007C4598" w:rsidRDefault="00000000">
            <w:pPr>
              <w:spacing w:after="40"/>
            </w:pPr>
            <w:r>
              <w:t>0,1</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58D1DA5" w14:textId="77777777" w:rsidR="007C4598" w:rsidRDefault="00000000">
            <w:pPr>
              <w:spacing w:after="40"/>
            </w:pPr>
            <w:r>
              <w:t>Cassa, ricorrente</w:t>
            </w:r>
          </w:p>
        </w:tc>
      </w:tr>
      <w:tr w:rsidR="007C4598" w14:paraId="0E2CB6F0"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1CDA76B" w14:textId="77777777" w:rsidR="007C4598" w:rsidRDefault="00000000">
            <w:pPr>
              <w:spacing w:after="40"/>
            </w:pPr>
            <w:r>
              <w:rPr>
                <w:b/>
                <w:bCs/>
              </w:rPr>
              <w:t>Costo incrementale lordo della leva</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99C7476" w14:textId="77777777" w:rsidR="007C4598" w:rsidRDefault="00000000">
            <w:pPr>
              <w:spacing w:after="40"/>
            </w:pPr>
            <w:r>
              <w:rPr>
                <w:b/>
                <w:bCs/>
              </w:rPr>
              <w:t>≈ 1,3</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22C9C5F" w14:textId="77777777" w:rsidR="007C4598" w:rsidRDefault="00000000">
            <w:pPr>
              <w:spacing w:after="40"/>
            </w:pPr>
            <w:r>
              <w:rPr>
                <w:b/>
                <w:bCs/>
              </w:rPr>
              <w:t>≈ 1,2</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477C99E" w14:textId="77777777" w:rsidR="007C4598" w:rsidRDefault="00000000">
            <w:pPr>
              <w:spacing w:after="40"/>
            </w:pPr>
            <w:r>
              <w:rPr>
                <w:b/>
                <w:bCs/>
              </w:rPr>
              <w:t>≈ 1,1</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27E9BD3" w14:textId="77777777" w:rsidR="007C4598" w:rsidRDefault="00000000">
            <w:pPr>
              <w:spacing w:after="40"/>
            </w:pPr>
            <w:r>
              <w:rPr>
                <w:b/>
                <w:bCs/>
              </w:rPr>
              <w:t>Cassa, ricorrente</w:t>
            </w:r>
          </w:p>
        </w:tc>
      </w:tr>
      <w:tr w:rsidR="007C4598" w14:paraId="3BD5017E"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472BB06" w14:textId="77777777" w:rsidR="007C4598" w:rsidRDefault="00000000">
            <w:pPr>
              <w:spacing w:after="40"/>
            </w:pPr>
            <w:r>
              <w:t>Effetto di autofinanziamento (prudenziale)</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07DCAF8" w14:textId="77777777" w:rsidR="007C4598" w:rsidRDefault="00000000">
            <w:pPr>
              <w:spacing w:after="40"/>
            </w:pPr>
            <w:r>
              <w:t>−1,0</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4E05441" w14:textId="77777777" w:rsidR="007C4598" w:rsidRDefault="00000000">
            <w:pPr>
              <w:spacing w:after="40"/>
            </w:pPr>
            <w:r>
              <w:t>−1,3</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D0CF203" w14:textId="77777777" w:rsidR="007C4598" w:rsidRDefault="00000000">
            <w:pPr>
              <w:spacing w:after="40"/>
            </w:pPr>
            <w:r>
              <w:t>−1,5</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4AD6A54" w14:textId="77777777" w:rsidR="007C4598" w:rsidRDefault="00000000">
            <w:pPr>
              <w:spacing w:after="40"/>
            </w:pPr>
            <w:r>
              <w:t>Riduzione costi operativi</w:t>
            </w:r>
          </w:p>
        </w:tc>
      </w:tr>
      <w:tr w:rsidR="007C4598" w14:paraId="5C95853D"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5A704AE" w14:textId="77777777" w:rsidR="007C4598" w:rsidRDefault="00000000">
            <w:pPr>
              <w:spacing w:after="40"/>
            </w:pPr>
            <w:r>
              <w:rPr>
                <w:b/>
                <w:bCs/>
              </w:rPr>
              <w:t>Costo incrementale netto della leva</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36B731C" w14:textId="77777777" w:rsidR="007C4598" w:rsidRDefault="00000000">
            <w:pPr>
              <w:spacing w:after="40"/>
            </w:pPr>
            <w:r>
              <w:rPr>
                <w:b/>
                <w:bCs/>
              </w:rPr>
              <w:t>≈ +0,3</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C2BC239" w14:textId="77777777" w:rsidR="007C4598" w:rsidRDefault="00000000">
            <w:pPr>
              <w:spacing w:after="40"/>
            </w:pPr>
            <w:r>
              <w:rPr>
                <w:b/>
                <w:bCs/>
              </w:rPr>
              <w:t>≈ −0,1</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5C708BB" w14:textId="77777777" w:rsidR="007C4598" w:rsidRDefault="00000000">
            <w:pPr>
              <w:spacing w:after="40"/>
            </w:pPr>
            <w:r>
              <w:rPr>
                <w:b/>
                <w:bCs/>
              </w:rPr>
              <w:t>≈ −0,4</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FA6C9B9" w14:textId="77777777" w:rsidR="007C4598" w:rsidRDefault="00000000">
            <w:pPr>
              <w:spacing w:after="40"/>
            </w:pPr>
            <w:r>
              <w:rPr>
                <w:b/>
                <w:bCs/>
              </w:rPr>
              <w:t>Netto a regime</w:t>
            </w:r>
          </w:p>
        </w:tc>
      </w:tr>
    </w:tbl>
    <w:p w14:paraId="6F25567D" w14:textId="77777777" w:rsidR="007C4598" w:rsidRDefault="007C4598"/>
    <w:p w14:paraId="0673F7BE" w14:textId="77777777" w:rsidR="007C4598" w:rsidRDefault="00000000">
      <w:pPr>
        <w:jc w:val="both"/>
      </w:pPr>
      <w:r>
        <w:rPr>
          <w:b/>
          <w:bCs/>
        </w:rPr>
        <w:t>Tabella 7.3.7</w:t>
      </w:r>
      <w:r>
        <w:rPr>
          <w:i/>
          <w:iCs/>
        </w:rPr>
        <w:t xml:space="preserve"> — Costo incrementale lordo e netto della leva digitale e dell’Intelligenza Artificiale a regime, per scenario, in milioni di euro annui. L’effetto di autofinanziamento, stimato prudenzialmente e con evidenza graduata, riduce i costi operativi del servizio ed è distinto dai risparmi sanitari diretti (Parte ottava). Si aggiunge un investimento iniziale una tantum di 1-2 milioni nei primi 24 mesi. Nello scenario conservativo (prudenzialmente più oneroso) l’autofinanziamento è assunto minimo e il costo netto resta lievemente positivo.</w:t>
      </w:r>
    </w:p>
    <w:p w14:paraId="29F3F0F1" w14:textId="77777777" w:rsidR="007C4598" w:rsidRDefault="007C4598"/>
    <w:p w14:paraId="0E6F1AE1" w14:textId="77777777" w:rsidR="007C4598" w:rsidRDefault="00000000">
      <w:pPr>
        <w:jc w:val="both"/>
      </w:pPr>
      <w:r>
        <w:t>Il costo incrementale lordo della leva, dell’ordine di un milione e duecentomila euro a regime, è il valore che concorre alla composizione del costo diretto complessivo del programma integrato, che la sezione 7.5 ricomporrà sommando al costo del modello base il costo lordo della leva e il costo del programma formativo; il costo incrementale netto, prossimo allo zero, è il valore che documenta la sostenibilità della leva, mostrando che essa non grava in misura apprezzabile sul costo diretto una volta scomputato l’</w:t>
      </w:r>
      <w:proofErr w:type="spellStart"/>
      <w:r>
        <w:t>efficientamento</w:t>
      </w:r>
      <w:proofErr w:type="spellEnd"/>
      <w:r>
        <w:t xml:space="preserve"> che produce. La trattazione adotta, per la composizione del costo diretto complessivo, il costo lordo, in coerenza con la prudenza che impone di non scomputare anticipatamente un effetto la cui evidenza è graduata; e presenta il costo netto come misura della sostenibilità della leva, segnalando che la sezione 7.5 presenterà il costo diretto complessivo sia al lordo sia al netto dell’effetto di autofinanziamento.</w:t>
      </w:r>
    </w:p>
    <w:p w14:paraId="5766EE99" w14:textId="77777777" w:rsidR="007C4598" w:rsidRDefault="007C4598"/>
    <w:p w14:paraId="22DC3AA7" w14:textId="77777777" w:rsidR="007C4598" w:rsidRDefault="00000000">
      <w:pPr>
        <w:jc w:val="both"/>
      </w:pPr>
      <w:r>
        <w:t>Su questa base è possibile formulare la previsione falsificabile complessiva del costo della leva digitale e dell’Intelligenza Artificiale, che le Parti undicesima e quindicesima sottoporranno a verifica. A regime, il costo incrementale lordo della leva non dovrebbe eccedere un milione e trecentomila euro annui, e il suo costo incrementale netto, scomputato l’effetto di autofinanziamento prudenzialmente stimato, dovrebbe collocarsi in un intervallo prossimo allo zero, compreso tra un lieve costo positivo nello scenario prudenzialmente più oneroso e un lieve beneficio nello scenario efficiente. La previsione è enunciata in forma di banda, con indicazione degli estremi di confutazione, e sarà verificata sui dati effettivi del costo della leva e dell’</w:t>
      </w:r>
      <w:proofErr w:type="spellStart"/>
      <w:r>
        <w:t>efficientamento</w:t>
      </w:r>
      <w:proofErr w:type="spellEnd"/>
      <w:r>
        <w:t xml:space="preserve"> gestionale a regime, distintamente per il costo lordo e per l’effetto di autofinanziamento, in coerenza con il vincolo di falsificabilità che governa l’opera e con la graduazione dell’evidenza che essa applica agli strumenti tecnologici.</w:t>
      </w:r>
    </w:p>
    <w:p w14:paraId="75C2CEB0"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14FC7674"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D8034B7" w14:textId="77777777" w:rsidR="007C4598" w:rsidRDefault="00000000">
            <w:pPr>
              <w:spacing w:after="40"/>
            </w:pPr>
            <w:r>
              <w:rPr>
                <w:b/>
                <w:bCs/>
                <w:color w:val="FFFFFF"/>
                <w:sz w:val="18"/>
                <w:szCs w:val="18"/>
              </w:rPr>
              <w:t>SEGNAPOSTO INFOGRAFICA — CODICE CANVA-FRIENDLY Il costo della leva digitale e dell’IA — costo lordo, autofinanziamento e costo netto Tipo grafico:  Grafico a cascata (</w:t>
            </w:r>
            <w:proofErr w:type="spellStart"/>
            <w:r>
              <w:rPr>
                <w:b/>
                <w:bCs/>
                <w:color w:val="FFFFFF"/>
                <w:sz w:val="18"/>
                <w:szCs w:val="18"/>
              </w:rPr>
              <w:t>waterfall</w:t>
            </w:r>
            <w:proofErr w:type="spellEnd"/>
            <w:r>
              <w:rPr>
                <w:b/>
                <w:bCs/>
                <w:color w:val="FFFFFF"/>
                <w:sz w:val="18"/>
                <w:szCs w:val="18"/>
              </w:rPr>
              <w:t xml:space="preserve">) a tre fasi: costo lordo (salita) → effetto di autofinanziamento (discesa) → costo netto (barra residua prossima allo zero), stile piatto e preciso Dimensioni:  1920 × 1080 </w:t>
            </w:r>
            <w:proofErr w:type="spellStart"/>
            <w:r>
              <w:rPr>
                <w:b/>
                <w:bCs/>
                <w:color w:val="FFFFFF"/>
                <w:sz w:val="18"/>
                <w:szCs w:val="18"/>
              </w:rPr>
              <w:t>px</w:t>
            </w:r>
            <w:proofErr w:type="spellEnd"/>
            <w:r>
              <w:rPr>
                <w:b/>
                <w:bCs/>
                <w:color w:val="FFFFFF"/>
                <w:sz w:val="18"/>
                <w:szCs w:val="18"/>
              </w:rPr>
              <w:t xml:space="preserve"> (orizzontale) — variante 1080 × 1350 </w:t>
            </w:r>
            <w:proofErr w:type="spellStart"/>
            <w:r>
              <w:rPr>
                <w:b/>
                <w:bCs/>
                <w:color w:val="FFFFFF"/>
                <w:sz w:val="18"/>
                <w:szCs w:val="18"/>
              </w:rPr>
              <w:t>px</w:t>
            </w:r>
            <w:proofErr w:type="spellEnd"/>
            <w:r>
              <w:rPr>
                <w:b/>
                <w:bCs/>
                <w:color w:val="FFFFFF"/>
                <w:sz w:val="18"/>
                <w:szCs w:val="18"/>
              </w:rPr>
              <w:t xml:space="preserve"> (verticale) Sfondo:  Gradiente bianco 85% (#FFFFFF) → crema 15% (#FBF7EE), verticale dall’alto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44 </w:t>
            </w:r>
            <w:proofErr w:type="spellStart"/>
            <w:r>
              <w:rPr>
                <w:b/>
                <w:bCs/>
                <w:color w:val="FFFFFF"/>
                <w:sz w:val="18"/>
                <w:szCs w:val="18"/>
              </w:rPr>
              <w:t>pt</w:t>
            </w:r>
            <w:proofErr w:type="spellEnd"/>
            <w:r>
              <w:rPr>
                <w:b/>
                <w:bCs/>
                <w:color w:val="FFFFFF"/>
                <w:sz w:val="18"/>
                <w:szCs w:val="18"/>
              </w:rPr>
              <w:t xml:space="preserve"> </w:t>
            </w:r>
            <w:proofErr w:type="spellStart"/>
            <w:r>
              <w:rPr>
                <w:b/>
                <w:bCs/>
                <w:color w:val="FFFFFF"/>
                <w:sz w:val="18"/>
                <w:szCs w:val="18"/>
              </w:rPr>
              <w:t>Bold</w:t>
            </w:r>
            <w:proofErr w:type="spellEnd"/>
            <w:r>
              <w:rPr>
                <w:b/>
                <w:bCs/>
                <w:color w:val="FFFFFF"/>
                <w:sz w:val="18"/>
                <w:szCs w:val="18"/>
              </w:rPr>
              <w:t xml:space="preserve">, etichette fase 20 </w:t>
            </w:r>
            <w:proofErr w:type="spellStart"/>
            <w:r>
              <w:rPr>
                <w:b/>
                <w:bCs/>
                <w:color w:val="FFFFFF"/>
                <w:sz w:val="18"/>
                <w:szCs w:val="18"/>
              </w:rPr>
              <w:t>pt</w:t>
            </w:r>
            <w:proofErr w:type="spellEnd"/>
            <w:r>
              <w:rPr>
                <w:b/>
                <w:bCs/>
                <w:color w:val="FFFFFF"/>
                <w:sz w:val="18"/>
                <w:szCs w:val="18"/>
              </w:rPr>
              <w:t xml:space="preserve"> </w:t>
            </w:r>
            <w:proofErr w:type="spellStart"/>
            <w:r>
              <w:rPr>
                <w:b/>
                <w:bCs/>
                <w:color w:val="FFFFFF"/>
                <w:sz w:val="18"/>
                <w:szCs w:val="18"/>
              </w:rPr>
              <w:t>SemiBold</w:t>
            </w:r>
            <w:proofErr w:type="spellEnd"/>
            <w:r>
              <w:rPr>
                <w:b/>
                <w:bCs/>
                <w:color w:val="FFFFFF"/>
                <w:sz w:val="18"/>
                <w:szCs w:val="18"/>
              </w:rPr>
              <w:t xml:space="preserve">, valori 18 </w:t>
            </w:r>
            <w:proofErr w:type="spellStart"/>
            <w:r>
              <w:rPr>
                <w:b/>
                <w:bCs/>
                <w:color w:val="FFFFFF"/>
                <w:sz w:val="18"/>
                <w:szCs w:val="18"/>
              </w:rPr>
              <w:t>pt</w:t>
            </w:r>
            <w:proofErr w:type="spellEnd"/>
            <w:r>
              <w:rPr>
                <w:b/>
                <w:bCs/>
                <w:color w:val="FFFFFF"/>
                <w:sz w:val="18"/>
                <w:szCs w:val="18"/>
              </w:rPr>
              <w:t xml:space="preserve"> </w:t>
            </w:r>
            <w:proofErr w:type="spellStart"/>
            <w:r>
              <w:rPr>
                <w:b/>
                <w:bCs/>
                <w:color w:val="FFFFFF"/>
                <w:sz w:val="18"/>
                <w:szCs w:val="18"/>
              </w:rPr>
              <w:t>SemiBold</w:t>
            </w:r>
            <w:proofErr w:type="spellEnd"/>
            <w:r>
              <w:rPr>
                <w:b/>
                <w:bCs/>
                <w:color w:val="FFFFFF"/>
                <w:sz w:val="18"/>
                <w:szCs w:val="18"/>
              </w:rPr>
              <w:t xml:space="preserve">, nota evidenza 13 </w:t>
            </w:r>
            <w:proofErr w:type="spellStart"/>
            <w:r>
              <w:rPr>
                <w:b/>
                <w:bCs/>
                <w:color w:val="FFFFFF"/>
                <w:sz w:val="18"/>
                <w:szCs w:val="18"/>
              </w:rPr>
              <w:t>pt</w:t>
            </w:r>
            <w:proofErr w:type="spellEnd"/>
            <w:r>
              <w:rPr>
                <w:b/>
                <w:bCs/>
                <w:color w:val="FFFFFF"/>
                <w:sz w:val="18"/>
                <w:szCs w:val="18"/>
              </w:rPr>
              <w:t xml:space="preserve"> </w:t>
            </w:r>
            <w:proofErr w:type="spellStart"/>
            <w:r>
              <w:rPr>
                <w:b/>
                <w:bCs/>
                <w:color w:val="FFFFFF"/>
                <w:sz w:val="18"/>
                <w:szCs w:val="18"/>
              </w:rPr>
              <w:t>Italic</w:t>
            </w:r>
            <w:proofErr w:type="spellEnd"/>
            <w:r>
              <w:rPr>
                <w:b/>
                <w:bCs/>
                <w:color w:val="FFFFFF"/>
                <w:sz w:val="18"/>
                <w:szCs w:val="18"/>
              </w:rPr>
              <w:t xml:space="preserve"> Fase 1 · Costo lordo:  «Operativi 0,65 · </w:t>
            </w:r>
            <w:proofErr w:type="spellStart"/>
            <w:r>
              <w:rPr>
                <w:b/>
                <w:bCs/>
                <w:color w:val="FFFFFF"/>
                <w:sz w:val="18"/>
                <w:szCs w:val="18"/>
              </w:rPr>
              <w:t>Governance</w:t>
            </w:r>
            <w:proofErr w:type="spellEnd"/>
            <w:r>
              <w:rPr>
                <w:b/>
                <w:bCs/>
                <w:color w:val="FFFFFF"/>
                <w:sz w:val="18"/>
                <w:szCs w:val="18"/>
              </w:rPr>
              <w:t xml:space="preserve"> 0,45 · Conformità 0,15» — barra ascendente ≈ +1,2 mln — colore #16264B Fase 2 · Autofinanziamento:  «Riduzione costi operativi del servizio» — barra discendente ≈ −1,3 mln — colore #2E5A8F con tratteggio Fase 3 · Costo netto:  «Costo incrementale netto ≈ −0,1 mln (prossimo allo zero)» — barra residua sottile — colore #C49A48 Investimento una tantum:  Riquadro a parte «Avvio: 1-2 mln nei primi 24 mesi» — bordo #1E3A6B Distinzione cardine:  Banner «L’autofinanziamento riduce i costi operativi del servizio — NON è il risparmio sanitario (Parte VIII)» in fascia #101F3C, testo #FBF7EE Nota evidenza:  «Effetto di autofinanziamento: evidenza graduata (GRADE) da moderata a bassa — stima prudenziale al limite inferiore» Accenti:  Filo oro #C49A48 sotto il titolo; freccia oro che congiunge le tre fasi della cascata Nota variante 3D:  Effetto rilievo leggero sulle barre della cascata (ombra morbida 8% verso il basso), mantenendo netta la lettura ascendente-discendente e la posizione prossima allo zero della barra netta finale.</w:t>
            </w:r>
          </w:p>
          <w:p w14:paraId="4A733735" w14:textId="77777777" w:rsidR="007C4598" w:rsidRDefault="00000000">
            <w:pPr>
              <w:spacing w:before="120" w:after="60"/>
              <w:jc w:val="center"/>
            </w:pPr>
            <w:r>
              <w:rPr>
                <w:noProof/>
              </w:rPr>
              <w:drawing>
                <wp:inline distT="0" distB="0" distL="0" distR="0" wp14:anchorId="561468C7" wp14:editId="68048A15">
                  <wp:extent cx="8229600" cy="4629150"/>
                  <wp:effectExtent l="0" t="0" r="0" b="0"/>
                  <wp:docPr id="129" name="Infografica29" descr="Il costo della leva digitale e dell'IA — 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Infografica29"/>
                          <pic:cNvPicPr>
                            <a:picLocks noChangeAspect="1" noChangeArrowheads="1"/>
                          </pic:cNvPicPr>
                        </pic:nvPicPr>
                        <pic:blipFill>
                          <a:blip r:embed="rId47">
                            <a:extLst>
                              <a:ext uri="{96DAC541-7B7A-43D3-8B79-37D633B846F1}">
                                <asvg:svgBlip xmlns:asvg="http://schemas.microsoft.com/office/drawing/2016/SVG/main" r:embed="rId48"/>
                              </a:ext>
                            </a:extLst>
                          </a:blip>
                          <a:stretch>
                            <a:fillRect/>
                          </a:stretch>
                        </pic:blipFill>
                        <pic:spPr bwMode="auto">
                          <a:xfrm>
                            <a:off x="0" y="0"/>
                            <a:ext cx="8229600" cy="4629150"/>
                          </a:xfrm>
                          <a:prstGeom prst="rect">
                            <a:avLst/>
                          </a:prstGeom>
                          <a:noFill/>
                          <a:ln>
                            <a:noFill/>
                          </a:ln>
                        </pic:spPr>
                      </pic:pic>
                    </a:graphicData>
                  </a:graphic>
                </wp:inline>
              </w:drawing>
            </w:r>
          </w:p>
          <w:p w14:paraId="4119C738" w14:textId="77777777" w:rsidR="007C4598" w:rsidRDefault="00000000">
            <w:pPr>
              <w:spacing w:before="40" w:after="200"/>
              <w:jc w:val="center"/>
            </w:pPr>
            <w:r>
              <w:rPr>
                <w:i/>
                <w:color w:val="2E5A8F"/>
                <w:sz w:val="16"/>
                <w:szCs w:val="16"/>
              </w:rPr>
              <w:t xml:space="preserve">Fig. 7.3 — Il costo della leva digitale e dell'IA — </w:t>
            </w:r>
            <w:proofErr w:type="spellStart"/>
            <w:r>
              <w:rPr>
                <w:i/>
                <w:color w:val="2E5A8F"/>
                <w:sz w:val="16"/>
                <w:szCs w:val="16"/>
              </w:rPr>
              <w:t>waterfall</w:t>
            </w:r>
            <w:proofErr w:type="spellEnd"/>
            <w:r>
              <w:rPr>
                <w:i/>
                <w:color w:val="2E5A8F"/>
                <w:sz w:val="16"/>
                <w:szCs w:val="16"/>
              </w:rPr>
              <w:t>. Elaborazione dello studio · Luigi De Michele · Giugno 2026.</w:t>
            </w:r>
          </w:p>
        </w:tc>
      </w:tr>
    </w:tbl>
    <w:p w14:paraId="34590214" w14:textId="77777777" w:rsidR="007C4598" w:rsidRDefault="007C4598"/>
    <w:p w14:paraId="55B18D1C" w14:textId="77777777" w:rsidR="007C4598" w:rsidRDefault="00000000">
      <w:pPr>
        <w:jc w:val="both"/>
      </w:pPr>
      <w:r>
        <w:t>Il consolidamento del costo incrementale della leva digitale e dell’Intelligenza Artificiale completa la ricostruzione dei primi due strati del programma sul versante dei costi che la presente sezione ha potuto affrontare, e ne conferma la posizione subordinata: la leva, pur essendo lo strato tecnologicamente più avanzato del programma, è quello di minore costo netto, perché il suo costo lordo, già contenuto rispetto al costo del personale, è in larga parte compensato dall’</w:t>
      </w:r>
      <w:proofErr w:type="spellStart"/>
      <w:r>
        <w:t>efficientamento</w:t>
      </w:r>
      <w:proofErr w:type="spellEnd"/>
      <w:r>
        <w:t xml:space="preserve"> che essa produce. La trattazione prosegue, nella tranche successiva, con la sezione 7.4, dedicata al costo della formazione nelle sue quattro modalità, considerate sia singolarmente sia in combinazione, che costituisce il terzo strato del programma e che la presente sezione ha tenuto distinto dalla formazione tecnica specialistica dei custodi degli strumenti, marginale e ricompresa nel costo della leva.</w:t>
      </w:r>
    </w:p>
    <w:p w14:paraId="177F4ED4" w14:textId="77777777" w:rsidR="007C4598" w:rsidRDefault="007C4598"/>
    <w:p w14:paraId="09FFE4D3" w14:textId="77777777" w:rsidR="007C4598" w:rsidRDefault="00000000">
      <w:pPr>
        <w:pStyle w:val="Titolo2"/>
        <w:spacing w:before="200" w:after="100"/>
      </w:pPr>
      <w:r>
        <w:rPr>
          <w:sz w:val="22"/>
          <w:szCs w:val="22"/>
        </w:rPr>
        <w:t>7.4  Il costo della formazione: le quattro modalità, singole e combinate</w:t>
      </w:r>
    </w:p>
    <w:p w14:paraId="38FA22E8" w14:textId="77777777" w:rsidR="007C4598" w:rsidRDefault="007C4598"/>
    <w:p w14:paraId="6F19F738" w14:textId="77777777" w:rsidR="007C4598" w:rsidRDefault="00000000">
      <w:pPr>
        <w:jc w:val="both"/>
      </w:pPr>
      <w:r>
        <w:t>La presente sezione ricostruisce il costo della formazione del personale, che costituisce il terzo strato del programma e che si aggiunge al costo del modello base delle sezioni 7.1 e 7.2 e al costo incrementale della leva digitale e dell’Intelligenza Artificiale della sezione 7.3. La formazione del personale è, in questo studio, un pilastro trasversale della riforma, e non una voce accessoria, perché è da essa che dipende la capacità delle figure della cascata di esercitare con competenza il proprio ruolo nel modello integrato, di impiegare con appropriatezza gli strumenti che la leva digitale mette a disposizione e di collaborare efficacemente entro la coppia clinica e i percorsi assistenziali. La ricostruzione del suo costo segue perciò il medesimo metodo dal basso applicato agli altri strati, distinguendo le componenti, articolando gli scenari e corredando le stime delle bande prudenziali e delle previsioni falsificabili che l’opera richiede.</w:t>
      </w:r>
    </w:p>
    <w:p w14:paraId="522E107C" w14:textId="77777777" w:rsidR="007C4598" w:rsidRDefault="007C4598"/>
    <w:p w14:paraId="4C3B4986" w14:textId="77777777" w:rsidR="007C4598" w:rsidRDefault="00000000">
      <w:pPr>
        <w:jc w:val="both"/>
      </w:pPr>
      <w:r>
        <w:t>In aderenza al mandato che governa l’opera, la formazione del personale è considerata secondo le sue quattro modalità — universitaria, post-universitaria, lavorativa e per affiancamento di figure esperte, comprese quelle dedicate all’uso dell’Intelligenza Artificiale — e ciascuna modalità è trattata sia singolarmente, con i propri costi, i propri tempi e i propri rendimenti, sia congiuntamente alle altre, come percorso formativo integrato. Questa duplice considerazione, singola e combinata, non è una ripetizione, ma la condizione perché il decisore disponga al tempo stesso del costo di ciascuna modalità isolatamente assunta, utile a valutarne il contributo specifico, e del costo della loro combinazione, che è la forma in cui la formazione è effettivamente erogata e che incorpora le sinergie e le sovrapposizioni tra le modalità. La sezione mantiene perciò, per tutta la trattazione, la distinzione tra il costo delle modalità singole e il costo del percorso integrato, e ne rende esplicito il confronto nella sezione dedicata al ritorno sull’investimento formativo.</w:t>
      </w:r>
    </w:p>
    <w:p w14:paraId="198089C6" w14:textId="77777777" w:rsidR="007C4598" w:rsidRDefault="007C4598"/>
    <w:p w14:paraId="73324093" w14:textId="77777777" w:rsidR="007C4598" w:rsidRDefault="00000000">
      <w:pPr>
        <w:jc w:val="both"/>
      </w:pPr>
      <w:r>
        <w:t xml:space="preserve">Il costo della formazione è valutato, quanto al suo rendimento, secondo il modello di </w:t>
      </w:r>
      <w:proofErr w:type="spellStart"/>
      <w:r>
        <w:t>Kirkpatrick</w:t>
      </w:r>
      <w:proofErr w:type="spellEnd"/>
      <w:r>
        <w:t xml:space="preserve"> e l’estensione di Phillips, che la disciplina della valutazione della formazione indica come il riferimento per la misurazione del ritorno sull’investimento formativo lungo i suoi livelli, dalla reazione dei partecipanti all’apprendimento, dal mutamento dei comportamenti ai risultati e, nell’estensione di Phillips, al ritorno economico.</w:t>
      </w:r>
      <w:r>
        <w:rPr>
          <w:color w:val="555555"/>
          <w:sz w:val="16"/>
          <w:szCs w:val="16"/>
          <w:vertAlign w:val="superscript"/>
        </w:rPr>
        <w:t>[19][20]</w:t>
      </w:r>
      <w:r>
        <w:t xml:space="preserve"> L’applicazione di questo modello al costo della formazione consente di graduare l’evidenza che ne sostiene i rendimenti con il medesimo rigore applicato alle affermazioni cliniche, e di esprimere il ritorno dell’investimento formativo in forma prudenziale, senza ricorrere a moltiplicatori non sostenuti dalla letteratura. La trattazione mantiene altresì la distinzione tra il costo della formazione, che la presente sezione ricostruisce, e i rendimenti della formazione, che si manifestano attraverso l’efficacia clinica e l’</w:t>
      </w:r>
      <w:proofErr w:type="spellStart"/>
      <w:r>
        <w:t>efficientamento</w:t>
      </w:r>
      <w:proofErr w:type="spellEnd"/>
      <w:r>
        <w:t xml:space="preserve"> e che le Parti dalla ottava alla decima quantificano sul versante dei benefici, affinché la medesima grandezza non sia contabilizzata due volte.</w:t>
      </w:r>
    </w:p>
    <w:p w14:paraId="69E44AD3" w14:textId="77777777" w:rsidR="007C4598" w:rsidRDefault="007C4598"/>
    <w:p w14:paraId="7617716B" w14:textId="77777777" w:rsidR="007C4598" w:rsidRDefault="00000000">
      <w:pPr>
        <w:pStyle w:val="Titolo3"/>
        <w:spacing w:before="200" w:after="100"/>
      </w:pPr>
      <w:r>
        <w:rPr>
          <w:color w:val="16264B"/>
          <w:sz w:val="22"/>
          <w:szCs w:val="22"/>
        </w:rPr>
        <w:t>7.4.1  Il fabbisogno formativo integrale e il perimetro del costo</w:t>
      </w:r>
    </w:p>
    <w:p w14:paraId="7C66FDDE" w14:textId="77777777" w:rsidR="007C4598" w:rsidRDefault="007C4598"/>
    <w:p w14:paraId="16263259" w14:textId="77777777" w:rsidR="007C4598" w:rsidRDefault="00000000">
      <w:pPr>
        <w:jc w:val="both"/>
      </w:pPr>
      <w:r>
        <w:t>La ricostruzione del costo della formazione muove dalla definizione del fabbisogno formativo integrale, che individua le competenze che le figure della cascata devono acquisire perché il modello integrato funzioni, e dal perimetro del costo, che delimita ciò che il costo della formazione include e ciò che gli altri strati del programma contabilizzano. Il fabbisogno formativo integrale comprende quattro aree di competenza, ciascuna essenziale al funzionamento del servizio. La prima è l’area delle competenze cliniche, che comprende le competenze specialistiche dello Psicologo di Base e l’aggiornamento delle figure della cascata sui modelli di intervento appropriati alle cure primarie. La seconda è l’area delle competenze organizzative, che comprende la capacità di operare entro la cura per intensità crescente, l’assistenza collaborativa e i percorsi diagnostico-terapeutici assistenziali. La terza è l’area delle competenze relazionali, che comprende la capacità di collaborare entro la coppia clinica e di raccordarsi con le altre figure del modello. La quarta è l’area delle competenze digitali e pro-Intelligenza Artificiale, che comprende la capacità di impiegare con appropriatezza e con consapevolezza critica gli strumenti che la leva digitale mette a disposizione.</w:t>
      </w:r>
    </w:p>
    <w:p w14:paraId="52664E2F" w14:textId="77777777" w:rsidR="007C4598" w:rsidRDefault="007C4598"/>
    <w:p w14:paraId="39D23059" w14:textId="77777777" w:rsidR="007C4598" w:rsidRDefault="00000000">
      <w:pPr>
        <w:jc w:val="both"/>
      </w:pPr>
      <w:r>
        <w:t xml:space="preserve">L’area delle competenze digitali e pro-Intelligenza Artificiale merita una precisazione, perché è in essa che si manifesta la connessione tra la formazione e la leva digitale della sezione 7.3, e perché è rispetto a essa che il principio di non duplicazione richiede la massima attenzione. La formazione pro-Intelligenza Artificiale che la presente sezione contabilizza è la formazione dell’insieme dei clinici all’impiego appropriato e criticamente consapevole degli strumenti, che è condizione perché la leva digitale produca i propri effetti e perché gli strumenti siano impiegati nella subordinazione al giudizio professionale che la cornice di </w:t>
      </w:r>
      <w:proofErr w:type="spellStart"/>
      <w:r>
        <w:t>governance</w:t>
      </w:r>
      <w:proofErr w:type="spellEnd"/>
      <w:r>
        <w:t xml:space="preserve"> prudenziale richiede.</w:t>
      </w:r>
      <w:r>
        <w:rPr>
          <w:color w:val="555555"/>
          <w:sz w:val="16"/>
          <w:szCs w:val="16"/>
          <w:vertAlign w:val="superscript"/>
        </w:rPr>
        <w:t>[4][15]</w:t>
      </w:r>
      <w:r>
        <w:t xml:space="preserve"> Essa è cosa distinta dalla formazione tecnica specialistica dei custodi degli strumenti, che la sezione 7.3 ha ricompreso, come componente marginale, nel costo del personale dedicato alla </w:t>
      </w:r>
      <w:proofErr w:type="spellStart"/>
      <w:r>
        <w:t>governance</w:t>
      </w:r>
      <w:proofErr w:type="spellEnd"/>
      <w:r>
        <w:t xml:space="preserve"> degli strumenti: quella riguarda le poche figure che governano gli strumenti sul piano tecnico, questa riguarda l’insieme dei clinici che li impiegano nella pratica. La trattazione mantiene perciò la distinzione tra le due formazioni, contabilizzando nella presente sezione la sola formazione pro-Intelligenza Artificiale dell’insieme dei clinici, affinché la somma finale non comporti duplicazioni.</w:t>
      </w:r>
    </w:p>
    <w:p w14:paraId="4F95A6EA" w14:textId="77777777" w:rsidR="007C4598" w:rsidRDefault="007C4598"/>
    <w:p w14:paraId="3B313E04" w14:textId="77777777" w:rsidR="007C4598" w:rsidRDefault="00000000">
      <w:pPr>
        <w:jc w:val="both"/>
      </w:pPr>
      <w:r>
        <w:t>Il perimetro del costo della formazione richiede una seconda distinzione, relativa al tempo del personale in formazione, che il principio di non duplicazione impone di trattare con cautela. La formazione, e segnatamente le modalità lavorativa e per affiancamento, impegna il tempo del personale clinico, sia di chi è formato sia di chi forma; e tale tempo, ove fosse contabilizzato sia nel costo del personale della sezione 7.1 sia nel costo della formazione della presente sezione, genererebbe una duplicazione. La trattazione risolve la questione contabilizzando nel costo della formazione il costo incrementale e dedicato della funzione formativa — il tempo delle figure esperte dedicato all’affiancamento, il costo della docenza, dei materiali, della piattaforma formativa, delle certificazioni — e riconoscendo che il tempo del personale in formazione, durante l’orario di lavoro, è in parte un costo-opportunità che si riflette nella minore produttività clinica della fase di avvio, già incorporata nella curva di adozione del servizio che la sezione 7.1 ha richiamato. Il costo della formazione della presente sezione è perciò il costo incrementale della funzione formativa, distinto dal costo del tempo clinico ordinario della sezione 7.1.</w:t>
      </w:r>
    </w:p>
    <w:p w14:paraId="6B250594"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5673"/>
        <w:gridCol w:w="3353"/>
      </w:tblGrid>
      <w:tr w:rsidR="007C4598" w14:paraId="5CF97DD4" w14:textId="77777777">
        <w:trPr>
          <w:gridAfter w:val="1"/>
          <w:wAfter w:w="360" w:type="dxa"/>
        </w:trPr>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653EEB6" w14:textId="77777777" w:rsidR="007C4598" w:rsidRDefault="00000000">
            <w:pPr>
              <w:spacing w:after="40"/>
            </w:pPr>
            <w:r>
              <w:rPr>
                <w:b/>
                <w:bCs/>
                <w:color w:val="FFFFFF"/>
                <w:sz w:val="18"/>
                <w:szCs w:val="18"/>
              </w:rPr>
              <w:t>7.4.1 — Il perimetro del costo della formazione</w:t>
            </w:r>
          </w:p>
        </w:tc>
      </w:tr>
      <w:tr w:rsidR="007C4598" w14:paraId="1326B019"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A5D1351" w14:textId="77777777" w:rsidR="007C4598" w:rsidRDefault="00000000">
            <w:pPr>
              <w:spacing w:after="40"/>
            </w:pPr>
            <w:r>
              <w:rPr>
                <w:b/>
                <w:bCs/>
              </w:rPr>
              <w:t>Incluso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FBAFA72" w14:textId="77777777" w:rsidR="007C4598" w:rsidRDefault="00000000">
            <w:pPr>
              <w:spacing w:after="40"/>
            </w:pPr>
            <w:r>
              <w:t>Costo incrementale e dedicato della funzione formativa nelle quattro modalità: docenza, materiali, piattaforma formativa, certificazioni, tempo delle figure esperte dedicato all’affiancamento, formazione pro-Intelligenza Artificiale dell’insieme dei clinici, coordinamento e valutazione della formazione.</w:t>
            </w:r>
          </w:p>
        </w:tc>
      </w:tr>
      <w:tr w:rsidR="007C4598" w14:paraId="5E390B6F"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E3E69E6" w14:textId="77777777" w:rsidR="007C4598" w:rsidRDefault="00000000">
            <w:pPr>
              <w:spacing w:after="40"/>
            </w:pPr>
            <w:r>
              <w:rPr>
                <w:b/>
                <w:bCs/>
              </w:rPr>
              <w:t>Escluso — rinviato a 7.3</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B718CF2" w14:textId="77777777" w:rsidR="007C4598" w:rsidRDefault="00000000">
            <w:pPr>
              <w:spacing w:after="40"/>
            </w:pPr>
            <w:r>
              <w:t xml:space="preserve">Formazione tecnica specialistica dei custodi degli strumenti: ricompresa, come componente marginale, nel costo del personale di </w:t>
            </w:r>
            <w:proofErr w:type="spellStart"/>
            <w:r>
              <w:t>governance</w:t>
            </w:r>
            <w:proofErr w:type="spellEnd"/>
            <w:r>
              <w:t xml:space="preserve"> degli strumenti.</w:t>
            </w:r>
          </w:p>
        </w:tc>
      </w:tr>
      <w:tr w:rsidR="007C4598" w14:paraId="20D5D43A"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D789444" w14:textId="77777777" w:rsidR="007C4598" w:rsidRDefault="00000000">
            <w:pPr>
              <w:spacing w:after="40"/>
            </w:pPr>
            <w:r>
              <w:rPr>
                <w:b/>
                <w:bCs/>
              </w:rPr>
              <w:t>Escluso — rinviato a 7.1</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5DCC09B" w14:textId="77777777" w:rsidR="007C4598" w:rsidRDefault="00000000">
            <w:pPr>
              <w:spacing w:after="40"/>
            </w:pPr>
            <w:r>
              <w:t>Costo del tempo clinico ordinario del personale; il costo-opportunità del tempo in formazione si riflette nella minore produttività della fase di avvio, già incorporata nella curva di adozione.</w:t>
            </w:r>
          </w:p>
        </w:tc>
      </w:tr>
      <w:tr w:rsidR="007C4598" w14:paraId="2EB6608C"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63B6759" w14:textId="77777777" w:rsidR="007C4598" w:rsidRDefault="00000000">
            <w:pPr>
              <w:spacing w:after="40"/>
            </w:pPr>
            <w:r>
              <w:rPr>
                <w:b/>
                <w:bCs/>
              </w:rPr>
              <w:t>Escluso — rinviato a Parti VIII-X</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FF89699" w14:textId="77777777" w:rsidR="007C4598" w:rsidRDefault="00000000">
            <w:pPr>
              <w:spacing w:after="40"/>
            </w:pPr>
            <w:r>
              <w:t xml:space="preserve">Rendimenti della formazione (efficacia clinica, </w:t>
            </w:r>
            <w:proofErr w:type="spellStart"/>
            <w:r>
              <w:t>efficientamento</w:t>
            </w:r>
            <w:proofErr w:type="spellEnd"/>
            <w:r>
              <w:t>): quantificati sul versante dei benefici, non dei costi.</w:t>
            </w:r>
          </w:p>
        </w:tc>
      </w:tr>
      <w:tr w:rsidR="007C4598" w14:paraId="062CCA01"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5A2A32B" w14:textId="77777777" w:rsidR="007C4598" w:rsidRDefault="00000000">
            <w:pPr>
              <w:spacing w:after="40"/>
            </w:pPr>
            <w:r>
              <w:rPr>
                <w:b/>
                <w:bCs/>
              </w:rPr>
              <w:t>Principio applicato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B5A66F6" w14:textId="77777777" w:rsidR="007C4598" w:rsidRDefault="00000000">
            <w:pPr>
              <w:spacing w:after="40"/>
            </w:pPr>
            <w:r>
              <w:t>Non duplicazione: la presente sezione contabilizza il solo costo incrementale della funzione formativa; ogni componente connessa è attribuita allo strato proprio.</w:t>
            </w:r>
          </w:p>
        </w:tc>
      </w:tr>
    </w:tbl>
    <w:p w14:paraId="7F4E4BB8" w14:textId="77777777" w:rsidR="007C4598" w:rsidRDefault="007C4598"/>
    <w:p w14:paraId="79BBDD5B" w14:textId="77777777" w:rsidR="007C4598" w:rsidRDefault="00000000">
      <w:pPr>
        <w:pStyle w:val="Titolo3"/>
        <w:spacing w:before="200" w:after="100"/>
      </w:pPr>
      <w:r>
        <w:rPr>
          <w:color w:val="16264B"/>
          <w:sz w:val="22"/>
          <w:szCs w:val="22"/>
        </w:rPr>
        <w:t>7.4.2  Prima modalità — La formazione universitaria</w:t>
      </w:r>
    </w:p>
    <w:p w14:paraId="3727F481" w14:textId="77777777" w:rsidR="007C4598" w:rsidRDefault="007C4598"/>
    <w:p w14:paraId="12DBC9DD" w14:textId="77777777" w:rsidR="007C4598" w:rsidRDefault="00000000">
      <w:pPr>
        <w:jc w:val="both"/>
      </w:pPr>
      <w:r>
        <w:t>La prima modalità formativa è quella universitaria, che comprende i corsi di laurea, i master e i curricula attraverso cui le figure della cascata, e segnatamente lo Psicologo di Base, acquisiscono la formazione di base e specialistica che il loro ruolo richiede. La formazione universitaria costituisce il fondamento dell’intero edificio formativo, perché è in essa che si forma la competenza professionale di base, e la sua trattazione, sul versante dei costi, richiede una distinzione relativa al soggetto che ne sostiene l’onere. La formazione universitaria è erogata dal sistema universitario, e il suo costo è in larga parte sostenuto da tale sistema e dagli studenti, non dalla riforma; il costo incrementale della formazione universitaria per la riforma si riduce perciò alle componenti che la riforma specificamente richiede e finanzia.</w:t>
      </w:r>
    </w:p>
    <w:p w14:paraId="14DBE453" w14:textId="77777777" w:rsidR="007C4598" w:rsidRDefault="007C4598"/>
    <w:p w14:paraId="52D3111A" w14:textId="77777777" w:rsidR="007C4598" w:rsidRDefault="00000000">
      <w:pPr>
        <w:jc w:val="both"/>
      </w:pPr>
      <w:r>
        <w:t>Le componenti che la riforma specificamente richiede e finanzia comprendono lo sviluppo e l’aggiornamento dei curricula in coerenza con il profilo dello Psicologo di Base e con le competenze del modello integrato, le convenzioni con il sistema universitario per i tirocini e per i percorsi formativi dedicati, e gli eventuali strumenti di sostegno alla formazione di figure specificamente destinate al servizio. Tali componenti, di entità contenuta rispetto al costo complessivo della formazione universitaria sostenuto dal sistema, costituiscono il costo incrementale della prima modalità per la riforma, e si collocano dell’ordine di seicentomila euro annui a regime nello scenario centrale, all’interno di un intervallo compreso tra quattrocentomila e novecentomila euro nei tre scenari. La trattazione segnala che la formazione universitaria, pur essendo la modalità di maggiore costo complessivo se si considerasse l’intero onere del sistema, è quella di minore costo incrementale per la riforma, perché il suo onere è in larga parte sostenuto dal sistema universitario; e che il suo rendimento, sul piano della competenza di base, è il più duraturo, perché è in essa che si forma la professionalità che le altre modalità aggiornano e affinano.</w:t>
      </w:r>
    </w:p>
    <w:p w14:paraId="06440131" w14:textId="77777777" w:rsidR="007C4598" w:rsidRDefault="007C4598"/>
    <w:p w14:paraId="79EE7A1B" w14:textId="77777777" w:rsidR="007C4598" w:rsidRDefault="00000000">
      <w:pPr>
        <w:jc w:val="both"/>
      </w:pPr>
      <w:r>
        <w:t>Quanto ai tempi, la formazione universitaria è la modalità di maggiore durata, perché la formazione di base e specialistica si misura in anni, e il suo rendimento si manifesta nel lungo periodo, attraverso la disponibilità di professionisti adeguatamente formati. Questa caratteristica temporale colloca la formazione universitaria a monte del percorso formativo integrato, come modalità che precede e fonda le altre, e ne fa la modalità il cui costo, ancorché contenuto sul piano incrementale, è quello dal rendimento più differito. La sezione dedicata al ritorno sull’investimento formativo riprenderà questa caratteristica nel confronto tra le modalità, mostrando come la formazione universitaria, di minore costo incrementale e di rendimento più differito, si componga con le altre modalità, di maggiore costo incrementale e di rendimento più immediato, nel percorso integrato.</w:t>
      </w:r>
    </w:p>
    <w:p w14:paraId="4CCF5EAF" w14:textId="77777777" w:rsidR="007C4598" w:rsidRDefault="007C4598"/>
    <w:p w14:paraId="4A704999" w14:textId="77777777" w:rsidR="007C4598" w:rsidRDefault="00000000">
      <w:pPr>
        <w:pStyle w:val="Titolo3"/>
        <w:spacing w:before="200" w:after="100"/>
      </w:pPr>
      <w:r>
        <w:rPr>
          <w:color w:val="16264B"/>
          <w:sz w:val="22"/>
          <w:szCs w:val="22"/>
        </w:rPr>
        <w:t>7.4.3  Seconda modalità — La formazione post-universitaria</w:t>
      </w:r>
    </w:p>
    <w:p w14:paraId="50C44D3F" w14:textId="77777777" w:rsidR="007C4598" w:rsidRDefault="007C4598"/>
    <w:p w14:paraId="15D43B7D" w14:textId="77777777" w:rsidR="007C4598" w:rsidRDefault="00000000">
      <w:pPr>
        <w:jc w:val="both"/>
      </w:pPr>
      <w:r>
        <w:t>La seconda modalità formativa è quella post-universitaria, che comprende la specializzazione, l’educazione continua in medicina e le certificazioni attraverso cui le figure della cascata aggiornano e specializzano la propria competenza dopo la formazione di base. La formazione post-universitaria costituisce la modalità attraverso cui la competenza professionale è mantenuta aggiornata e adeguata all’evoluzione dei modelli e degli strumenti, ed è perciò la modalità più direttamente connessa al funzionamento corrente del servizio, perché è da essa che dipende l’aggiornamento continuo delle figure della cascata.</w:t>
      </w:r>
    </w:p>
    <w:p w14:paraId="09FAD679" w14:textId="77777777" w:rsidR="007C4598" w:rsidRDefault="007C4598"/>
    <w:p w14:paraId="77028BF0" w14:textId="77777777" w:rsidR="007C4598" w:rsidRDefault="00000000">
      <w:pPr>
        <w:jc w:val="both"/>
      </w:pPr>
      <w:r>
        <w:t>L’educazione continua in medicina, in particolare, costituisce la componente strutturata e obbligatoria della formazione post-universitaria, disciplinata dal programma nazionale e articolata in crediti formativi che le figure sanitarie devono acquisire periodicamente.</w:t>
      </w:r>
      <w:r>
        <w:rPr>
          <w:color w:val="555555"/>
          <w:sz w:val="16"/>
          <w:szCs w:val="16"/>
          <w:vertAlign w:val="superscript"/>
        </w:rPr>
        <w:t>[21]</w:t>
      </w:r>
      <w:r>
        <w:t xml:space="preserve"> La riforma si innesta su tale programma, sviluppando percorsi formativi dedicati alle competenze del modello integrato e all’impiego appropriato della leva digitale, e il costo di tali percorsi è parte del costo della seconda modalità. Le certificazioni, parimenti, costituiscono una componente della formazione post-universitaria, attestando l’acquisizione di competenze specifiche, e segnatamente delle competenze digitali e pro-Intelligenza Artificiale, il cui sviluppo è condizione dell’impiego appropriato degli strumenti.</w:t>
      </w:r>
    </w:p>
    <w:p w14:paraId="37BF67EE" w14:textId="77777777" w:rsidR="007C4598" w:rsidRDefault="007C4598"/>
    <w:p w14:paraId="4502E4F6" w14:textId="77777777" w:rsidR="007C4598" w:rsidRDefault="00000000">
      <w:pPr>
        <w:jc w:val="both"/>
      </w:pPr>
      <w:r>
        <w:t>Il costo della seconda modalità è composto dal costo dei percorsi di educazione continua, dal costo delle certificazioni e dal costo della specializzazione nella quota che la riforma sostiene, ed è in parte sostenuto dai professionisti, in parte dalla riforma. Il costo incrementale della formazione post-universitaria per la riforma si colloca dell’ordine di un milione e duecentomila euro annui a regime nello scenario centrale, all’interno di un intervallo compreso tra ottocentomila e un milione e seicentomila euro nei tre scenari. La trattazione segnala che la formazione post-universitaria è la modalità di maggiore costo incrementale ricorrente, perché è quella che alimenta l’aggiornamento continuo dell’insieme dei clinici, e che il suo rendimento, sul piano dell’adeguamento delle competenze, è più immediato di quello della formazione universitaria, perché agisce su professionisti già formati che aggiornano la propria competenza.</w:t>
      </w:r>
    </w:p>
    <w:p w14:paraId="1B16807E" w14:textId="77777777" w:rsidR="007C4598" w:rsidRDefault="007C4598"/>
    <w:p w14:paraId="494C346B" w14:textId="77777777" w:rsidR="007C4598" w:rsidRDefault="00000000">
      <w:pPr>
        <w:pStyle w:val="Titolo3"/>
        <w:spacing w:before="200" w:after="100"/>
      </w:pPr>
      <w:r>
        <w:rPr>
          <w:color w:val="16264B"/>
          <w:sz w:val="22"/>
          <w:szCs w:val="22"/>
        </w:rPr>
        <w:t>7.4.4  Terza modalità — La formazione lavorativa e sul posto di lavoro</w:t>
      </w:r>
    </w:p>
    <w:p w14:paraId="0B83D420" w14:textId="77777777" w:rsidR="007C4598" w:rsidRDefault="007C4598"/>
    <w:p w14:paraId="5B6D8EA3" w14:textId="77777777" w:rsidR="007C4598" w:rsidRDefault="00000000">
      <w:pPr>
        <w:jc w:val="both"/>
      </w:pPr>
      <w:r>
        <w:t>La terza modalità formativa è quella lavorativa e sul posto di lavoro, che comprende l’apprendimento che si realizza nell’esercizio stesso dell’attività, attraverso la pratica, la riflessione sull’esperienza e la formazione erogata nel contesto operativo. La formazione lavorativa costituisce la modalità attraverso cui la competenza si consolida nella pratica, ed è perciò la modalità più direttamente integrata con l’attività del servizio, perché si realizza nel suo esercizio e ne accompagna lo svolgimento.</w:t>
      </w:r>
    </w:p>
    <w:p w14:paraId="1505FA34" w14:textId="77777777" w:rsidR="007C4598" w:rsidRDefault="007C4598"/>
    <w:p w14:paraId="215C6174" w14:textId="77777777" w:rsidR="007C4598" w:rsidRDefault="00000000">
      <w:pPr>
        <w:jc w:val="both"/>
      </w:pPr>
      <w:r>
        <w:t>Il costo della formazione lavorativa è composto dal costo della docenza erogata nel contesto operativo, dal costo dei materiali e degli strumenti formativi, e dal costo del tempo dedicato alla formazione nell’ambito dell’attività. Quest’ultima componente richiede la cautela che il perimetro del costo ha enunciato: il tempo del personale dedicato alla formazione lavorativa, durante l’orario di lavoro, è in parte un costo-opportunità che si riflette nella minore produttività della fase di avvio, già incorporata nella curva di adozione del servizio; e il costo della formazione lavorativa che la presente sezione contabilizza è il costo incrementale e dedicato della funzione formativa — la docenza, i materiali, l’organizzazione — distinto dal costo del tempo clinico ordinario. Questa distinzione evita la duplicazione tra il costo della formazione e il costo del personale della sezione 7.1.</w:t>
      </w:r>
    </w:p>
    <w:p w14:paraId="70135A55" w14:textId="77777777" w:rsidR="007C4598" w:rsidRDefault="007C4598"/>
    <w:p w14:paraId="317D5BC0" w14:textId="77777777" w:rsidR="007C4598" w:rsidRDefault="00000000">
      <w:pPr>
        <w:jc w:val="both"/>
      </w:pPr>
      <w:r>
        <w:t>Il costo incrementale della formazione lavorativa per la riforma si colloca dell’ordine di un milione di euro annui a regime nello scenario centrale, all’interno di un intervallo compreso tra settecentomila e un milione e quattrocentomila euro nei tre scenari. La trattazione segnala che la formazione lavorativa è la modalità di rendimento più rapido sul piano dell’operatività, perché consolida nella pratica le competenze acquisite nelle altre modalità, e che il suo costo, ancorché ricorrente, è in parte sovrapposto all’attività ordinaria del servizio, di cui costituisce una dimensione formativa. La sezione dedicata alla combinazione delle modalità riprenderà questa sovrapposizione, mostrando come la formazione lavorativa si integri con le altre modalità nel percorso formativo integrato, evitando le duplicazioni e valorizzando le sinergie.</w:t>
      </w:r>
    </w:p>
    <w:p w14:paraId="3135ABBE" w14:textId="77777777" w:rsidR="007C4598" w:rsidRDefault="007C4598"/>
    <w:p w14:paraId="730A6D70" w14:textId="77777777" w:rsidR="007C4598" w:rsidRDefault="00000000">
      <w:pPr>
        <w:pStyle w:val="Titolo3"/>
        <w:spacing w:before="200" w:after="100"/>
      </w:pPr>
      <w:r>
        <w:rPr>
          <w:color w:val="16264B"/>
          <w:sz w:val="22"/>
          <w:szCs w:val="22"/>
        </w:rPr>
        <w:t xml:space="preserve">7.4.5  Quarta modalità — L’affiancamento e il </w:t>
      </w:r>
      <w:proofErr w:type="spellStart"/>
      <w:r>
        <w:rPr>
          <w:color w:val="16264B"/>
          <w:sz w:val="22"/>
          <w:szCs w:val="22"/>
        </w:rPr>
        <w:t>mentoring</w:t>
      </w:r>
      <w:proofErr w:type="spellEnd"/>
      <w:r>
        <w:rPr>
          <w:color w:val="16264B"/>
          <w:sz w:val="22"/>
          <w:szCs w:val="22"/>
        </w:rPr>
        <w:t xml:space="preserve"> di figure esperte, incluso l’esperto di Intelligenza Artificiale</w:t>
      </w:r>
    </w:p>
    <w:p w14:paraId="72156496" w14:textId="77777777" w:rsidR="007C4598" w:rsidRDefault="007C4598"/>
    <w:p w14:paraId="39C0B4EB" w14:textId="77777777" w:rsidR="007C4598" w:rsidRDefault="00000000">
      <w:pPr>
        <w:jc w:val="both"/>
      </w:pPr>
      <w:r>
        <w:t xml:space="preserve">La quarta modalità formativa è quella dell’affiancamento e del </w:t>
      </w:r>
      <w:proofErr w:type="spellStart"/>
      <w:r>
        <w:t>mentoring</w:t>
      </w:r>
      <w:proofErr w:type="spellEnd"/>
      <w:r>
        <w:t xml:space="preserve"> di figure esperte, che comprende la formazione che si realizza attraverso l’accompagnamento di un professionista esperto, il quale trasmette la propria competenza nell’esercizio condiviso dell’attività. L’affiancamento costituisce la modalità più personalizzata e più intensiva, perché si realizza nel rapporto diretto tra il professionista esperto e quello in formazione, ed è perciò la modalità di maggiore efficacia sul piano della trasmissione delle competenze complesse, che mal si prestano alla formazione frontale e che richiedono l’accompagnamento nella pratica.</w:t>
      </w:r>
    </w:p>
    <w:p w14:paraId="30E980E6" w14:textId="77777777" w:rsidR="007C4598" w:rsidRDefault="007C4598"/>
    <w:p w14:paraId="0902D61E" w14:textId="77777777" w:rsidR="007C4598" w:rsidRDefault="00000000">
      <w:pPr>
        <w:jc w:val="both"/>
      </w:pPr>
      <w:r>
        <w:t xml:space="preserve">Tra le figure esperte che esercitano l’affiancamento, una posizione specifica spetta all’esperto di Intelligenza Artificiale in studio, che il mandato dell’opera richiede espressamente di considerare e la cui funzione merita una precisazione. L’esperto di Intelligenza Artificiale in studio è la figura che affianca i clinici nell’apprendimento dell’impiego appropriato e criticamente consapevole degli strumenti, trasmettendo la competenza pro-Intelligenza Artificiale nella pratica condivisa, e la sua funzione è perciò formativa, distinta dalla funzione di </w:t>
      </w:r>
      <w:proofErr w:type="spellStart"/>
      <w:r>
        <w:t>governance</w:t>
      </w:r>
      <w:proofErr w:type="spellEnd"/>
      <w:r>
        <w:t xml:space="preserve"> tecnica degli strumenti che la sezione 7.3 ha contabilizzato. La trattazione mantiene questa distinzione: l’esperto di Intelligenza Artificiale della presente sezione forma i clinici all’impiego degli strumenti, mentre il custode degli strumenti della sezione 7.3 ne governa il funzionamento tecnico; e il costo della funzione formativa dell’esperto di Intelligenza Artificiale è contabilizzato nella presente sezione, distinto dal costo della funzione di </w:t>
      </w:r>
      <w:proofErr w:type="spellStart"/>
      <w:r>
        <w:t>governance</w:t>
      </w:r>
      <w:proofErr w:type="spellEnd"/>
      <w:r>
        <w:t xml:space="preserve"> della sezione 7.3, affinché la somma finale non comporti duplicazioni.</w:t>
      </w:r>
    </w:p>
    <w:p w14:paraId="4CDCF937" w14:textId="77777777" w:rsidR="007C4598" w:rsidRDefault="007C4598"/>
    <w:p w14:paraId="54519549" w14:textId="77777777" w:rsidR="007C4598" w:rsidRDefault="00000000">
      <w:pPr>
        <w:jc w:val="both"/>
      </w:pPr>
      <w:r>
        <w:t>Il costo della quarta modalità è composto dal costo del tempo delle figure esperte dedicato all’affiancamento, comprensivo del tempo dell’esperto di Intelligenza Artificiale in studio, e si colloca dell’ordine di novecentomila euro annui a regime nello scenario centrale, all’interno di un intervallo compreso tra seicentomila e un milione e trecentomila euro nei tre scenari. La trattazione segnala che l’affiancamento è la modalità di maggiore intensità formativa per professionista accompagnato, e perciò di maggiore costo unitario, ma anche di maggiore efficacia sul piano della trasmissione delle competenze complesse e dell’adozione degli strumenti; e che il suo costo, concentrato nella fase di avvio e di accompagnamento dei nuovi entranti, decresce a regime, quando l’insieme dei clinici ha acquisito le competenze di base e l’affiancamento si concentra sui nuovi entranti e sulle competenze più complesse.</w:t>
      </w:r>
    </w:p>
    <w:p w14:paraId="58D8F759" w14:textId="77777777" w:rsidR="007C4598" w:rsidRDefault="007C4598"/>
    <w:p w14:paraId="1695E568" w14:textId="77777777" w:rsidR="007C4598" w:rsidRDefault="00000000">
      <w:pPr>
        <w:pStyle w:val="Titolo3"/>
        <w:spacing w:before="200" w:after="100"/>
      </w:pPr>
      <w:r>
        <w:rPr>
          <w:color w:val="16264B"/>
          <w:sz w:val="22"/>
          <w:szCs w:val="22"/>
        </w:rPr>
        <w:t>7.4.6  Le quattro modalità in combinazione: il percorso formativo integrato</w:t>
      </w:r>
    </w:p>
    <w:p w14:paraId="0F8E729E" w14:textId="77777777" w:rsidR="007C4598" w:rsidRDefault="007C4598"/>
    <w:p w14:paraId="66CFD4D6" w14:textId="77777777" w:rsidR="007C4598" w:rsidRDefault="00000000">
      <w:pPr>
        <w:jc w:val="both"/>
      </w:pPr>
      <w:r>
        <w:t>Esaurita la trattazione delle quattro modalità singolarmente assunte, la presente sezione le considera congiuntamente, come percorso formativo integrato, in aderenza al mandato che richiede di valutare le modalità sia a sé stanti sia in combinazione. Il percorso formativo integrato non è la semplice somma delle quattro modalità, ma la loro composizione in un disegno coerente, che le sequenzia nel tempo, ne valorizza le sinergie e ne evita le sovrapposizioni; e il suo costo non è la somma aritmetica dei costi delle quattro modalità al massimo della loro intensità, ma il costo della loro combinazione ottimizzata, che incorpora le sinergie e le sequenze.</w:t>
      </w:r>
    </w:p>
    <w:p w14:paraId="4E2513D9" w14:textId="77777777" w:rsidR="007C4598" w:rsidRDefault="007C4598"/>
    <w:p w14:paraId="7F773A34" w14:textId="77777777" w:rsidR="007C4598" w:rsidRDefault="00000000">
      <w:pPr>
        <w:jc w:val="both"/>
      </w:pPr>
      <w:r>
        <w:t>La composizione delle quattro modalità segue una logica di sequenza e di sinergia. La formazione universitaria precede e fonda le altre, costituendo la competenza di base su cui esse agiscono; la formazione post-universitaria aggiorna e specializza tale competenza in modo continuativo; la formazione lavorativa la consolida nella pratica; l’affiancamento la trasmette nelle sue componenti più complesse e ne accompagna l’applicazione. Questa sequenza genera sinergie, perché ciascuna modalità prepara e potenzia le successive, e consente di evitare sovrapposizioni, perché ciascuna modalità si concentra sulle competenze che le sono proprie senza ripetere quelle delle altre. Il percorso integrato valorizza tali sinergie e evita tali sovrapposizioni, e il suo costo è perciò inferiore alla somma dei costi delle modalità singole al massimo della loro intensità, perché la combinazione ottimizzata elimina le ridondanze.</w:t>
      </w:r>
    </w:p>
    <w:p w14:paraId="1C00DCF2" w14:textId="77777777" w:rsidR="007C4598" w:rsidRDefault="007C4598"/>
    <w:p w14:paraId="6828F3B9" w14:textId="77777777" w:rsidR="007C4598" w:rsidRDefault="00000000">
      <w:pPr>
        <w:jc w:val="both"/>
      </w:pPr>
      <w:r>
        <w:t>Il costo del percorso formativo integrato a regime si colloca dell’ordine di quattro milioni di euro annui nello scenario centrale, comprensivo del coordinamento e dell’infrastruttura formativa che la combinazione richiede, all’interno di un intervallo compreso tra tre milioni e duecentomila e cinque milioni di euro nei tre scenari. Questo valore, come la sezione di consolidamento mostrerà, è inferiore alla somma dei costi massimi delle quattro modalità singolarmente assunte, e tale differenza misura le sinergie del percorso integrato. La trattazione segnala che la combinazione delle modalità è la forma in cui la formazione è effettivamente erogata, e che il costo del percorso integrato è perciò il costo pertinente alla composizione del costo diretto complessivo del programma, mentre i costi delle modalità singole sono pertinenti alla valutazione del contributo specifico di ciascuna; e che il confronto tra i due, che la sezione dedicata al ritorno sull’investimento formativo svolgerà, è ciò che il mandato richiede, perché consente al decisore di apprezzare al tempo stesso il valore di ciascuna modalità e il vantaggio della loro combinazione.</w:t>
      </w:r>
    </w:p>
    <w:p w14:paraId="061AE8D0" w14:textId="77777777" w:rsidR="007C4598" w:rsidRDefault="007C4598"/>
    <w:p w14:paraId="5162168E" w14:textId="77777777" w:rsidR="007C4598" w:rsidRDefault="00000000">
      <w:pPr>
        <w:pStyle w:val="Titolo3"/>
        <w:spacing w:before="200" w:after="100"/>
      </w:pPr>
      <w:r>
        <w:rPr>
          <w:color w:val="16264B"/>
          <w:sz w:val="22"/>
          <w:szCs w:val="22"/>
        </w:rPr>
        <w:t>7.4.7  Il costo della formazione e il ritorno sull’investimento formativo: il confronto tra modalità singole e combinazione</w:t>
      </w:r>
    </w:p>
    <w:p w14:paraId="3B0818C2" w14:textId="77777777" w:rsidR="007C4598" w:rsidRDefault="007C4598"/>
    <w:p w14:paraId="40AA95C8" w14:textId="77777777" w:rsidR="007C4598" w:rsidRDefault="00000000">
      <w:pPr>
        <w:jc w:val="both"/>
      </w:pPr>
      <w:r>
        <w:t xml:space="preserve">Il ritorno sull’investimento formativo è valutato, in questo studio, secondo il modello di </w:t>
      </w:r>
      <w:proofErr w:type="spellStart"/>
      <w:r>
        <w:t>Kirkpatrick</w:t>
      </w:r>
      <w:proofErr w:type="spellEnd"/>
      <w:r>
        <w:t xml:space="preserve"> e l’estensione di Phillips, che articolano la misurazione dell’efficacia della formazione lungo una scala di livelli crescenti di profondità. Il primo livello misura la reazione dei partecipanti alla formazione; il secondo l’apprendimento, ossia l’acquisizione effettiva delle conoscenze e delle competenze; il terzo il mutamento dei comportamenti nella pratica, ossia l’applicazione di quanto appreso; il quarto i risultati, ossia gli effetti della formazione sugli esiti del servizio; e il quinto livello, che l’estensione di Phillips aggiunge, il ritorno economico, ossia il rapporto tra il valore degli effetti e il costo della formazione.</w:t>
      </w:r>
      <w:r>
        <w:rPr>
          <w:color w:val="555555"/>
          <w:sz w:val="16"/>
          <w:szCs w:val="16"/>
          <w:vertAlign w:val="superscript"/>
        </w:rPr>
        <w:t>[19][20]</w:t>
      </w:r>
      <w:r>
        <w:t xml:space="preserve"> Questa scala consente di graduare l’evidenza che sostiene il rendimento della formazione e di esprimerne il ritorno in forma prudenziale, distinguendo i livelli su cui l’evidenza è più solida da quelli su cui è più incerta.</w:t>
      </w:r>
    </w:p>
    <w:p w14:paraId="6B40E22F" w14:textId="77777777" w:rsidR="007C4598" w:rsidRDefault="007C4598"/>
    <w:p w14:paraId="33321EAF" w14:textId="77777777" w:rsidR="007C4598" w:rsidRDefault="00000000">
      <w:pPr>
        <w:jc w:val="both"/>
      </w:pPr>
      <w:r>
        <w:t>L’applicazione di questa scala alle quattro modalità mostra che esse si collocano diversamente lungo i livelli. La formazione universitaria agisce primariamente sui primi due livelli, la reazione e l’apprendimento, e il suo effetto sui livelli superiori, il comportamento e i risultati, è più differito, perché si manifesta nel lungo periodo attraverso la disponibilità di professionisti adeguatamente formati. La formazione post-universitaria agisce sui primi tre livelli, aggiornando le competenze e modificando i comportamenti dei professionisti già formati. La formazione lavorativa agisce primariamente sul terzo livello, il comportamento, consolidando nella pratica le competenze acquisite. L’affiancamento agisce su tutti i livelli, perché la trasmissione personalizzata incide tanto sull’apprendimento quanto sul comportamento, ed è perciò la modalità di maggiore efficacia per professionista accompagnato, ancorché di maggiore costo unitario.</w:t>
      </w:r>
    </w:p>
    <w:p w14:paraId="24CFF1EC" w14:textId="77777777" w:rsidR="007C4598" w:rsidRDefault="007C4598"/>
    <w:p w14:paraId="5880B61C" w14:textId="77777777" w:rsidR="007C4598" w:rsidRDefault="00000000">
      <w:pPr>
        <w:jc w:val="both"/>
      </w:pPr>
      <w:r>
        <w:t>Il confronto tra il costo delle modalità singole e il costo della combinazione, che il mandato richiede, può essere ora espresso. Sul piano del costo, la somma dei costi delle quattro modalità singolarmente assunte al massimo della loro intensità eccederebbe il costo del percorso integrato, perché quest’ultimo elimina le ridondanze; e la differenza tra la somma dei costi singoli e il costo della combinazione misura il vantaggio economico del percorso integrato. Sul piano del rendimento, il percorso integrato eccede la somma dei rendimenti delle modalità singole, perché ciascuna modalità potenzia le altre, e la combinazione genera un effetto sinergico che le modalità isolate non producono. Il confronto mostra perciò che la combinazione è preferibile alle modalità singole sia sul piano del costo, perché elimina le ridondanze, sia sul piano del rendimento, perché genera sinergie, e che la considerazione congiunta delle modalità è la forma corretta in cui la formazione va valutata ed erogata.</w:t>
      </w:r>
    </w:p>
    <w:p w14:paraId="5CD74608" w14:textId="77777777" w:rsidR="007C4598" w:rsidRDefault="007C4598"/>
    <w:p w14:paraId="49A69665" w14:textId="77777777" w:rsidR="007C4598" w:rsidRDefault="00000000">
      <w:pPr>
        <w:jc w:val="both"/>
      </w:pPr>
      <w:r>
        <w:t>Quanto al ritorno economico dell’investimento formativo, ossia al quinto livello dell’estensione di Phillips, la trattazione adotta la massima prudenza, in coerenza con il vincolo che governa l’opera e con la graduazione dell’evidenza. Il rendimento della formazione si manifesta attraverso l’efficacia clinica e l’</w:t>
      </w:r>
      <w:proofErr w:type="spellStart"/>
      <w:r>
        <w:t>efficientamento</w:t>
      </w:r>
      <w:proofErr w:type="spellEnd"/>
      <w:r>
        <w:t xml:space="preserve"> che le Parti dalla ottava alla decima quantificano, e la formazione è la condizione perché tali effetti si producano, perché senza competenza adeguata il servizio non produrrebbe gli esiti attesi; ma il ritorno economico della formazione non è espresso, in questa sede, attraverso un moltiplicatore autonomo, che la letteratura non sostiene con la solidità richiesta, bensì riconoscendo che il costo della formazione è una frazione del costo diretto complessivo che abilita i rendimenti quantificati negli altri strati, e che la sua omissione comprometterebbe tali rendimenti. La trattazione esprime perciò il ritorno dell’investimento formativo in forma qualitativa e prudenziale, come condizione abilitante dei benefici, e ne rinvia la quantificazione monetaria alle Parti dedicate ai benefici, dove esso si manifesta integrato negli esiti del servizio, evitando ogni duplicazione e ogni moltiplicatore non sostenuto.</w:t>
      </w:r>
    </w:p>
    <w:p w14:paraId="16E47357" w14:textId="77777777" w:rsidR="007C4598" w:rsidRDefault="007C4598"/>
    <w:p w14:paraId="5529917E" w14:textId="77777777" w:rsidR="007C4598" w:rsidRDefault="00000000">
      <w:pPr>
        <w:pStyle w:val="Titolo3"/>
        <w:spacing w:before="200" w:after="100"/>
      </w:pPr>
      <w:r>
        <w:rPr>
          <w:color w:val="16264B"/>
          <w:sz w:val="22"/>
          <w:szCs w:val="22"/>
        </w:rPr>
        <w:t>7.4.8  Le curve di adozione tecnologica e il rafforzamento delle competenze digitali pro-Intelligenza Artificiale</w:t>
      </w:r>
    </w:p>
    <w:p w14:paraId="36BF7427" w14:textId="77777777" w:rsidR="007C4598" w:rsidRDefault="007C4598"/>
    <w:p w14:paraId="69D7CCCA" w14:textId="77777777" w:rsidR="007C4598" w:rsidRDefault="00000000">
      <w:pPr>
        <w:jc w:val="both"/>
      </w:pPr>
      <w:r>
        <w:t>La formazione pro-Intelligenza Artificiale dell’insieme dei clinici intrattiene una relazione specifica con la leva digitale della sezione 7.3, perché è da essa che dipende la velocità e l’estensione con cui gli strumenti sono adottati nella pratica, e perciò l’efficacia stessa della leva. Questa relazione si esprime attraverso le curve di adozione tecnologica, che la disciplina della diffusione delle innovazioni descrive come il processo per cui un’innovazione si diffonde progressivamente in una popolazione, dai primi adottanti alla maggioranza, secondo una curva la cui pendenza dipende da fattori tra i quali la competenza degli adottanti occupa una posizione centrale.</w:t>
      </w:r>
      <w:r>
        <w:rPr>
          <w:color w:val="555555"/>
          <w:sz w:val="16"/>
          <w:szCs w:val="16"/>
          <w:vertAlign w:val="superscript"/>
        </w:rPr>
        <w:t>[22]</w:t>
      </w:r>
      <w:r>
        <w:t xml:space="preserve"> La formazione pro-Intelligenza Artificiale agisce precisamente su tale fattore, accrescendo la competenza degli adottanti e accelerando perciò la curva di adozione degli strumenti.</w:t>
      </w:r>
    </w:p>
    <w:p w14:paraId="16D84C4F" w14:textId="77777777" w:rsidR="007C4598" w:rsidRDefault="007C4598"/>
    <w:p w14:paraId="02F42DE6" w14:textId="77777777" w:rsidR="007C4598" w:rsidRDefault="00000000">
      <w:pPr>
        <w:jc w:val="both"/>
      </w:pPr>
      <w:r>
        <w:t>L’effetto della formazione sulla curva di adozione è duplice. Sul piano della velocità, la formazione accelera l’adozione, perché clinici competenti adottano gli strumenti più rapidamente e con minore resistenza; sul piano dell’estensione, la formazione amplia l’adozione, perché clinici competenti impiegano gli strumenti in modo più esteso e più appropriato. L’uno e l’altro effetto accrescono l’efficacia della leva digitale, perché un’adozione più rapida e più estesa degli strumenti ne amplifica i benefici; e perciò la formazione pro-Intelligenza Artificiale, ancorché contabilizzata nella presente sezione come costo, è condizione dell’efficacia della leva digitale della sezione 7.3, e il suo costo è in parte ciò che rende la leva efficace. La trattazione segnala questa connessione, che il principio di non duplicazione non viola, perché il costo della formazione pro-Intelligenza Artificiale è contabilizzato una sola volta, nella presente sezione, e l’effetto che esso produce sull’adozione degli strumenti è ricostruito, non contabilizzato nuovamente, nella valutazione dell’efficacia della leva.</w:t>
      </w:r>
    </w:p>
    <w:p w14:paraId="6C9170B2" w14:textId="77777777" w:rsidR="007C4598" w:rsidRDefault="007C4598"/>
    <w:p w14:paraId="229D59F3" w14:textId="77777777" w:rsidR="007C4598" w:rsidRDefault="00000000">
      <w:pPr>
        <w:jc w:val="both"/>
      </w:pPr>
      <w:r>
        <w:t>Il rafforzamento delle competenze digitali pro-Intelligenza Artificiale costituisce perciò una componente strategica del percorso formativo integrato, perché è da esso che dipende l’efficacia di uno degli strati del programma; e il suo costo, distribuito tra le quattro modalità — la formazione universitaria che introduce le competenze digitali di base, la formazione post-universitaria che le aggiorna e le certifica, la formazione lavorativa che le consolida nella pratica, l’affiancamento dell’esperto di Intelligenza Artificiale che le trasmette nelle loro componenti più complesse — è parte integrante del costo della formazione. La trattazione segnala che la considerazione congiunta delle modalità è particolarmente rilevante per le competenze digitali pro-Intelligenza Artificiale, perché esse si formano attraverso il concorso di tutte le modalità, dall’introduzione universitaria all’affiancamento specialistico, e che il loro sviluppo è perciò un esempio paradigmatico del vantaggio del percorso formativo integrato sulle modalità singolarmente assunte.</w:t>
      </w:r>
    </w:p>
    <w:p w14:paraId="09907E4C" w14:textId="77777777" w:rsidR="007C4598" w:rsidRDefault="007C4598"/>
    <w:p w14:paraId="0749D3DF" w14:textId="77777777" w:rsidR="007C4598" w:rsidRDefault="00000000">
      <w:pPr>
        <w:pStyle w:val="Titolo3"/>
        <w:spacing w:before="200" w:after="100"/>
      </w:pPr>
      <w:r>
        <w:rPr>
          <w:color w:val="16264B"/>
          <w:sz w:val="22"/>
          <w:szCs w:val="22"/>
        </w:rPr>
        <w:t>7.4.9  Il consolidamento del costo della formazione per scenario</w:t>
      </w:r>
    </w:p>
    <w:p w14:paraId="3651D692" w14:textId="77777777" w:rsidR="007C4598" w:rsidRDefault="007C4598"/>
    <w:p w14:paraId="7CA18098" w14:textId="77777777" w:rsidR="007C4598" w:rsidRDefault="00000000">
      <w:pPr>
        <w:jc w:val="both"/>
      </w:pPr>
      <w:r>
        <w:t>La ricostruzione del costo della formazione perviene ora al consolidamento, che ricompone le quattro modalità e il coordinamento del percorso integrato in una stima complessiva, distinta per scenario e corredata della banda prudenziale e della previsione falsificabile che l’opera richiede. Il consolidamento presenta tanto il costo del percorso integrato a regime, che è il valore pertinente alla composizione del costo diretto complessivo, quanto la somma dei costi delle modalità singole, il cui confronto con il costo integrato misura le sinergie del percorso.</w:t>
      </w:r>
    </w:p>
    <w:p w14:paraId="5ACF3417" w14:textId="77777777" w:rsidR="007C4598" w:rsidRDefault="007C4598"/>
    <w:p w14:paraId="5A0E2D59" w14:textId="77777777" w:rsidR="007C4598" w:rsidRDefault="00000000">
      <w:pPr>
        <w:jc w:val="both"/>
      </w:pPr>
      <w:r>
        <w:t>Il costo del percorso formativo integrato a regime si colloca, nello scenario centrale, dell’ordine di quattro milioni di euro annui, comprensivo del costo delle quattro modalità nella loro combinazione ottimizzata e del costo del coordinamento e dell’infrastruttura formativa. La somma dei costi delle quattro modalità singolarmente assunte, pari nello scenario centrale a circa tre milioni e settecentomila euro, cui si aggiunge il costo del coordinamento, mostra che il percorso integrato non eccede la somma delle modalità, ma la ottimizza, perché la combinazione consente di erogare le quattro modalità in modo coordinato a un costo prossimo alla loro somma efficiente, eliminando le ridondanze che la loro erogazione separata e non coordinata comporterebbe. Nei tre scenari, il costo del percorso formativo integrato a regime si colloca in un intervallo compreso tra tre milioni e duecentomila e cinque milioni di euro annui, dove l’estremo superiore corrisponde allo scenario prudenzialmente più oneroso e l’estremo inferiore allo scenario efficiente.</w:t>
      </w:r>
    </w:p>
    <w:p w14:paraId="6CEE84BF"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806"/>
        <w:gridCol w:w="1805"/>
        <w:gridCol w:w="1805"/>
        <w:gridCol w:w="1805"/>
        <w:gridCol w:w="1805"/>
      </w:tblGrid>
      <w:tr w:rsidR="007C4598" w14:paraId="1B46BBCD" w14:textId="77777777">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567964A" w14:textId="77777777" w:rsidR="007C4598" w:rsidRDefault="00000000">
            <w:pPr>
              <w:spacing w:after="40"/>
            </w:pPr>
            <w:r>
              <w:rPr>
                <w:b/>
                <w:bCs/>
                <w:color w:val="FFFFFF"/>
                <w:sz w:val="18"/>
                <w:szCs w:val="18"/>
              </w:rPr>
              <w:t>Modalità formativa (a regime)</w:t>
            </w:r>
          </w:p>
        </w:tc>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1FD54F2" w14:textId="77777777" w:rsidR="007C4598" w:rsidRDefault="00000000">
            <w:pPr>
              <w:spacing w:after="40"/>
            </w:pPr>
            <w:r>
              <w:rPr>
                <w:b/>
                <w:bCs/>
                <w:color w:val="FFFFFF"/>
                <w:sz w:val="18"/>
                <w:szCs w:val="18"/>
              </w:rPr>
              <w:t>Conservativo</w:t>
            </w:r>
          </w:p>
        </w:tc>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EB0AD5E" w14:textId="77777777" w:rsidR="007C4598" w:rsidRDefault="00000000">
            <w:pPr>
              <w:spacing w:after="40"/>
            </w:pPr>
            <w:r>
              <w:rPr>
                <w:b/>
                <w:bCs/>
                <w:color w:val="FFFFFF"/>
                <w:sz w:val="18"/>
                <w:szCs w:val="18"/>
              </w:rPr>
              <w:t>Centrale</w:t>
            </w:r>
          </w:p>
        </w:tc>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AF7C6BD" w14:textId="77777777" w:rsidR="007C4598" w:rsidRDefault="00000000">
            <w:pPr>
              <w:spacing w:after="40"/>
            </w:pPr>
            <w:r>
              <w:rPr>
                <w:b/>
                <w:bCs/>
                <w:color w:val="FFFFFF"/>
                <w:sz w:val="18"/>
                <w:szCs w:val="18"/>
              </w:rPr>
              <w:t>Espansivo</w:t>
            </w:r>
          </w:p>
        </w:tc>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E902777" w14:textId="77777777" w:rsidR="007C4598" w:rsidRDefault="00000000">
            <w:pPr>
              <w:spacing w:after="40"/>
            </w:pPr>
            <w:r>
              <w:rPr>
                <w:b/>
                <w:bCs/>
                <w:color w:val="FFFFFF"/>
                <w:sz w:val="18"/>
                <w:szCs w:val="18"/>
              </w:rPr>
              <w:t>Rendimento prevalente</w:t>
            </w:r>
          </w:p>
        </w:tc>
      </w:tr>
      <w:tr w:rsidR="007C4598" w14:paraId="4D87B59A"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39F6A76" w14:textId="77777777" w:rsidR="007C4598" w:rsidRDefault="00000000">
            <w:pPr>
              <w:spacing w:after="40"/>
            </w:pPr>
            <w:r>
              <w:t>Prima — universitaria (quota riforma)</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5C3F32E" w14:textId="77777777" w:rsidR="007C4598" w:rsidRDefault="00000000">
            <w:pPr>
              <w:spacing w:after="40"/>
            </w:pPr>
            <w:r>
              <w:t>0,9</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954FC09" w14:textId="77777777" w:rsidR="007C4598" w:rsidRDefault="00000000">
            <w:pPr>
              <w:spacing w:after="40"/>
            </w:pPr>
            <w:r>
              <w:t>0,6</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C55B451" w14:textId="77777777" w:rsidR="007C4598" w:rsidRDefault="00000000">
            <w:pPr>
              <w:spacing w:after="40"/>
            </w:pPr>
            <w:r>
              <w:t>0,4</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EF37978" w14:textId="77777777" w:rsidR="007C4598" w:rsidRDefault="00000000">
            <w:pPr>
              <w:spacing w:after="40"/>
            </w:pPr>
            <w:r>
              <w:t>Differito, di base</w:t>
            </w:r>
          </w:p>
        </w:tc>
      </w:tr>
      <w:tr w:rsidR="007C4598" w14:paraId="09B25226"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A4EB9F2" w14:textId="77777777" w:rsidR="007C4598" w:rsidRDefault="00000000">
            <w:pPr>
              <w:spacing w:after="40"/>
            </w:pPr>
            <w:r>
              <w:t>Seconda — post-universitaria (ECM, certificazioni)</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940736B" w14:textId="77777777" w:rsidR="007C4598" w:rsidRDefault="00000000">
            <w:pPr>
              <w:spacing w:after="40"/>
            </w:pPr>
            <w:r>
              <w:t>1,6</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898CF66" w14:textId="77777777" w:rsidR="007C4598" w:rsidRDefault="00000000">
            <w:pPr>
              <w:spacing w:after="40"/>
            </w:pPr>
            <w:r>
              <w:t>1,2</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9595BBD" w14:textId="77777777" w:rsidR="007C4598" w:rsidRDefault="00000000">
            <w:pPr>
              <w:spacing w:after="40"/>
            </w:pPr>
            <w:r>
              <w:t>0,8</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42139C8" w14:textId="77777777" w:rsidR="007C4598" w:rsidRDefault="00000000">
            <w:pPr>
              <w:spacing w:after="40"/>
            </w:pPr>
            <w:r>
              <w:t>Continuo, di aggiornamento</w:t>
            </w:r>
          </w:p>
        </w:tc>
      </w:tr>
      <w:tr w:rsidR="007C4598" w14:paraId="73A0E58B"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90640E4" w14:textId="77777777" w:rsidR="007C4598" w:rsidRDefault="00000000">
            <w:pPr>
              <w:spacing w:after="40"/>
            </w:pPr>
            <w:r>
              <w:t>Terza — lavorativa e sul posto di lavoro</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FF43070" w14:textId="77777777" w:rsidR="007C4598" w:rsidRDefault="00000000">
            <w:pPr>
              <w:spacing w:after="40"/>
            </w:pPr>
            <w:r>
              <w:t>1,4</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5F308B5" w14:textId="77777777" w:rsidR="007C4598" w:rsidRDefault="00000000">
            <w:pPr>
              <w:spacing w:after="40"/>
            </w:pPr>
            <w:r>
              <w:t>1,0</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7A207A9" w14:textId="77777777" w:rsidR="007C4598" w:rsidRDefault="00000000">
            <w:pPr>
              <w:spacing w:after="40"/>
            </w:pPr>
            <w:r>
              <w:t>0,7</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E0C9444" w14:textId="77777777" w:rsidR="007C4598" w:rsidRDefault="00000000">
            <w:pPr>
              <w:spacing w:after="40"/>
            </w:pPr>
            <w:r>
              <w:t>Rapido, di consolidamento</w:t>
            </w:r>
          </w:p>
        </w:tc>
      </w:tr>
      <w:tr w:rsidR="007C4598" w14:paraId="545EBACF"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E92F476" w14:textId="77777777" w:rsidR="007C4598" w:rsidRDefault="00000000">
            <w:pPr>
              <w:spacing w:after="40"/>
            </w:pPr>
            <w:r>
              <w:t>Quarta — affiancamento ed esperto di IA</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6B95384" w14:textId="77777777" w:rsidR="007C4598" w:rsidRDefault="00000000">
            <w:pPr>
              <w:spacing w:after="40"/>
            </w:pPr>
            <w:r>
              <w:t>1,3</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EC5EA82" w14:textId="77777777" w:rsidR="007C4598" w:rsidRDefault="00000000">
            <w:pPr>
              <w:spacing w:after="40"/>
            </w:pPr>
            <w:r>
              <w:t>0,9</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9C26B39" w14:textId="77777777" w:rsidR="007C4598" w:rsidRDefault="00000000">
            <w:pPr>
              <w:spacing w:after="40"/>
            </w:pPr>
            <w:r>
              <w:t>0,6</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298360E" w14:textId="77777777" w:rsidR="007C4598" w:rsidRDefault="00000000">
            <w:pPr>
              <w:spacing w:after="40"/>
            </w:pPr>
            <w:r>
              <w:t>Intensivo, di trasmissione</w:t>
            </w:r>
          </w:p>
        </w:tc>
      </w:tr>
      <w:tr w:rsidR="007C4598" w14:paraId="1686BFA0"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1317D7A" w14:textId="77777777" w:rsidR="007C4598" w:rsidRDefault="00000000">
            <w:pPr>
              <w:spacing w:after="40"/>
            </w:pPr>
            <w:r>
              <w:t>Coordinamento e infrastruttura formativa</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2A788D5" w14:textId="77777777" w:rsidR="007C4598" w:rsidRDefault="00000000">
            <w:pPr>
              <w:spacing w:after="40"/>
            </w:pPr>
            <w:r>
              <w:t>0,5</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0395994" w14:textId="77777777" w:rsidR="007C4598" w:rsidRDefault="00000000">
            <w:pPr>
              <w:spacing w:after="40"/>
            </w:pPr>
            <w:r>
              <w:t>0,3</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32E4287" w14:textId="77777777" w:rsidR="007C4598" w:rsidRDefault="00000000">
            <w:pPr>
              <w:spacing w:after="40"/>
            </w:pPr>
            <w:r>
              <w:t>0,2</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0BB24FD" w14:textId="77777777" w:rsidR="007C4598" w:rsidRDefault="00000000">
            <w:pPr>
              <w:spacing w:after="40"/>
            </w:pPr>
            <w:r>
              <w:t>Abilitante</w:t>
            </w:r>
          </w:p>
        </w:tc>
      </w:tr>
      <w:tr w:rsidR="007C4598" w14:paraId="34F06843"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A721C11" w14:textId="77777777" w:rsidR="007C4598" w:rsidRDefault="00000000">
            <w:pPr>
              <w:spacing w:after="40"/>
            </w:pPr>
            <w:r>
              <w:rPr>
                <w:b/>
                <w:bCs/>
              </w:rPr>
              <w:t>Percorso formativo integrato</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6AB81D5" w14:textId="77777777" w:rsidR="007C4598" w:rsidRDefault="00000000">
            <w:pPr>
              <w:spacing w:after="40"/>
            </w:pPr>
            <w:r>
              <w:rPr>
                <w:b/>
                <w:bCs/>
              </w:rPr>
              <w:t>≈ 5,0</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CA0910F" w14:textId="77777777" w:rsidR="007C4598" w:rsidRDefault="00000000">
            <w:pPr>
              <w:spacing w:after="40"/>
            </w:pPr>
            <w:r>
              <w:rPr>
                <w:b/>
                <w:bCs/>
              </w:rPr>
              <w:t>≈ 4,0</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6E9CDA2" w14:textId="77777777" w:rsidR="007C4598" w:rsidRDefault="00000000">
            <w:pPr>
              <w:spacing w:after="40"/>
            </w:pPr>
            <w:r>
              <w:rPr>
                <w:b/>
                <w:bCs/>
              </w:rPr>
              <w:t>≈ 3,2</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28289E2" w14:textId="77777777" w:rsidR="007C4598" w:rsidRDefault="00000000">
            <w:pPr>
              <w:spacing w:after="40"/>
            </w:pPr>
            <w:r>
              <w:rPr>
                <w:b/>
                <w:bCs/>
              </w:rPr>
              <w:t>Sinergico</w:t>
            </w:r>
          </w:p>
        </w:tc>
      </w:tr>
    </w:tbl>
    <w:p w14:paraId="05DC9EEC" w14:textId="77777777" w:rsidR="007C4598" w:rsidRDefault="007C4598"/>
    <w:p w14:paraId="7BC96945" w14:textId="77777777" w:rsidR="007C4598" w:rsidRDefault="00000000">
      <w:pPr>
        <w:jc w:val="both"/>
      </w:pPr>
      <w:r>
        <w:rPr>
          <w:b/>
          <w:bCs/>
        </w:rPr>
        <w:t>Tabella 7.4.9</w:t>
      </w:r>
      <w:r>
        <w:rPr>
          <w:i/>
          <w:iCs/>
        </w:rPr>
        <w:t xml:space="preserve"> — Consolidamento del costo della formazione a regime, per scenario, in milioni di euro annui. Il percorso integrato ottimizza la combinazione delle quattro modalità. Lo scenario conservativo è il prudenzialmente più oneroso. Nell’anno di avvio il costo della formazione è più elevato, dell’ordine di 6-7 milioni nello scenario centrale, per la formazione intensiva della prima coorte.</w:t>
      </w:r>
    </w:p>
    <w:p w14:paraId="78D87C57" w14:textId="77777777" w:rsidR="007C4598" w:rsidRDefault="007C4598"/>
    <w:p w14:paraId="2427149C" w14:textId="77777777" w:rsidR="007C4598" w:rsidRDefault="00000000">
      <w:pPr>
        <w:jc w:val="both"/>
      </w:pPr>
      <w:r>
        <w:t>Il costo della formazione presenta un profilo temporale marcato, che lo distingue dalle altre voci del costo diretto e che la sezione 7.5 ricomporrà nel profilo complessivo. Nell’anno di avvio, il costo della formazione è significativamente più elevato del valore a regime, dell’ordine di sei-sette milioni di euro nello scenario centrale, perché la prima coorte di professionisti richiede una formazione intensiva e simultanea attraverso tutte le modalità, che concentra nell’avvio un onere formativo che a regime si distribuisce sui soli nuovi entranti e sull’aggiornamento continuo. Negli anni successivi, con il progressivo completamento della formazione della prima coorte e l’estensione della copertura del servizio secondo la curva di adozione, il costo della formazione decresce verso il valore a regime di quattro milioni di euro, che riflette l’onere ricorrente dell’aggiornamento continuo e della formazione dei nuovi entranti. Questo profilo, con un avvio elevato e una decrescita verso il regime, è coerente con la natura della formazione, che richiede un investimento iniziale intensivo per costituire la competenza dell’insieme dei clinici e un investimento ricorrente più contenuto per mantenerla.</w:t>
      </w:r>
    </w:p>
    <w:p w14:paraId="0A4E7A05" w14:textId="77777777" w:rsidR="007C4598" w:rsidRDefault="007C4598"/>
    <w:p w14:paraId="7FABC105" w14:textId="77777777" w:rsidR="007C4598" w:rsidRDefault="00000000">
      <w:pPr>
        <w:jc w:val="both"/>
      </w:pPr>
      <w:r>
        <w:t>Su questa base è possibile formulare la previsione falsificabile complessiva del costo della formazione, che le Parti undicesima e quindicesima sottoporranno a verifica. A regime, il costo del percorso formativo integrato non dovrebbe eccedere i cinque milioni di euro annui nello scenario prudenzialmente più oneroso, né collocarsi al di sotto dei tre milioni e duecentomila euro nello scenario efficiente, e dovrebbe attestarsi attorno al valore centrale di quattro milioni di euro; nell’anno di avvio, il costo della formazione dovrebbe collocarsi dell’ordine di sei-sette milioni di euro, per poi decrescere verso il valore a regime entro il quinto anno. La previsione è enunciata in forma di banda, con indicazione degli estremi di confutazione e del profilo temporale, e sarà verificata sui dati effettivi del costo della formazione, distintamente per il valore a regime e per il profilo di avvio, in coerenza con il vincolo di falsificabilità che governa l’opera.</w:t>
      </w:r>
    </w:p>
    <w:p w14:paraId="7B18C749"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2B0C8F68"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0A24012" w14:textId="77777777" w:rsidR="007C4598" w:rsidRDefault="00000000">
            <w:pPr>
              <w:spacing w:after="40"/>
            </w:pPr>
            <w:r>
              <w:rPr>
                <w:b/>
                <w:bCs/>
                <w:color w:val="FFFFFF"/>
                <w:sz w:val="18"/>
                <w:szCs w:val="18"/>
              </w:rPr>
              <w:t xml:space="preserve">SEGNAPOSTO INFOGRAFICA — CODICE CANVA-FRIENDLY Il costo della formazione — le quattro modalità, la combinazione e il profilo di avvio Tipo grafico:  Grafico combinato: barre raggruppate per le 4 modalità (a regime) + linea sovrapposta del profilo temporale (avvio elevato → decrescita verso il regime), stile piatto e preciso Dimensioni:  1920 × 1080 </w:t>
            </w:r>
            <w:proofErr w:type="spellStart"/>
            <w:r>
              <w:rPr>
                <w:b/>
                <w:bCs/>
                <w:color w:val="FFFFFF"/>
                <w:sz w:val="18"/>
                <w:szCs w:val="18"/>
              </w:rPr>
              <w:t>px</w:t>
            </w:r>
            <w:proofErr w:type="spellEnd"/>
            <w:r>
              <w:rPr>
                <w:b/>
                <w:bCs/>
                <w:color w:val="FFFFFF"/>
                <w:sz w:val="18"/>
                <w:szCs w:val="18"/>
              </w:rPr>
              <w:t xml:space="preserve"> (orizzontale) — variante 1080 × 1350 </w:t>
            </w:r>
            <w:proofErr w:type="spellStart"/>
            <w:r>
              <w:rPr>
                <w:b/>
                <w:bCs/>
                <w:color w:val="FFFFFF"/>
                <w:sz w:val="18"/>
                <w:szCs w:val="18"/>
              </w:rPr>
              <w:t>px</w:t>
            </w:r>
            <w:proofErr w:type="spellEnd"/>
            <w:r>
              <w:rPr>
                <w:b/>
                <w:bCs/>
                <w:color w:val="FFFFFF"/>
                <w:sz w:val="18"/>
                <w:szCs w:val="18"/>
              </w:rPr>
              <w:t xml:space="preserve"> (verticale) Sfondo:  Gradiente bianco 85% (#FFFFFF) → crema 15% (#FBF7EE), verticale dall’alto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44 </w:t>
            </w:r>
            <w:proofErr w:type="spellStart"/>
            <w:r>
              <w:rPr>
                <w:b/>
                <w:bCs/>
                <w:color w:val="FFFFFF"/>
                <w:sz w:val="18"/>
                <w:szCs w:val="18"/>
              </w:rPr>
              <w:t>pt</w:t>
            </w:r>
            <w:proofErr w:type="spellEnd"/>
            <w:r>
              <w:rPr>
                <w:b/>
                <w:bCs/>
                <w:color w:val="FFFFFF"/>
                <w:sz w:val="18"/>
                <w:szCs w:val="18"/>
              </w:rPr>
              <w:t xml:space="preserve"> </w:t>
            </w:r>
            <w:proofErr w:type="spellStart"/>
            <w:r>
              <w:rPr>
                <w:b/>
                <w:bCs/>
                <w:color w:val="FFFFFF"/>
                <w:sz w:val="18"/>
                <w:szCs w:val="18"/>
              </w:rPr>
              <w:t>Bold</w:t>
            </w:r>
            <w:proofErr w:type="spellEnd"/>
            <w:r>
              <w:rPr>
                <w:b/>
                <w:bCs/>
                <w:color w:val="FFFFFF"/>
                <w:sz w:val="18"/>
                <w:szCs w:val="18"/>
              </w:rPr>
              <w:t xml:space="preserve">, etichette modalità 20 </w:t>
            </w:r>
            <w:proofErr w:type="spellStart"/>
            <w:r>
              <w:rPr>
                <w:b/>
                <w:bCs/>
                <w:color w:val="FFFFFF"/>
                <w:sz w:val="18"/>
                <w:szCs w:val="18"/>
              </w:rPr>
              <w:t>pt</w:t>
            </w:r>
            <w:proofErr w:type="spellEnd"/>
            <w:r>
              <w:rPr>
                <w:b/>
                <w:bCs/>
                <w:color w:val="FFFFFF"/>
                <w:sz w:val="18"/>
                <w:szCs w:val="18"/>
              </w:rPr>
              <w:t xml:space="preserve"> </w:t>
            </w:r>
            <w:proofErr w:type="spellStart"/>
            <w:r>
              <w:rPr>
                <w:b/>
                <w:bCs/>
                <w:color w:val="FFFFFF"/>
                <w:sz w:val="18"/>
                <w:szCs w:val="18"/>
              </w:rPr>
              <w:t>SemiBold</w:t>
            </w:r>
            <w:proofErr w:type="spellEnd"/>
            <w:r>
              <w:rPr>
                <w:b/>
                <w:bCs/>
                <w:color w:val="FFFFFF"/>
                <w:sz w:val="18"/>
                <w:szCs w:val="18"/>
              </w:rPr>
              <w:t xml:space="preserve">, valori 18 </w:t>
            </w:r>
            <w:proofErr w:type="spellStart"/>
            <w:r>
              <w:rPr>
                <w:b/>
                <w:bCs/>
                <w:color w:val="FFFFFF"/>
                <w:sz w:val="18"/>
                <w:szCs w:val="18"/>
              </w:rPr>
              <w:t>pt</w:t>
            </w:r>
            <w:proofErr w:type="spellEnd"/>
            <w:r>
              <w:rPr>
                <w:b/>
                <w:bCs/>
                <w:color w:val="FFFFFF"/>
                <w:sz w:val="18"/>
                <w:szCs w:val="18"/>
              </w:rPr>
              <w:t xml:space="preserve"> </w:t>
            </w:r>
            <w:proofErr w:type="spellStart"/>
            <w:r>
              <w:rPr>
                <w:b/>
                <w:bCs/>
                <w:color w:val="FFFFFF"/>
                <w:sz w:val="18"/>
                <w:szCs w:val="18"/>
              </w:rPr>
              <w:t>SemiBold</w:t>
            </w:r>
            <w:proofErr w:type="spellEnd"/>
            <w:r>
              <w:rPr>
                <w:b/>
                <w:bCs/>
                <w:color w:val="FFFFFF"/>
                <w:sz w:val="18"/>
                <w:szCs w:val="18"/>
              </w:rPr>
              <w:t xml:space="preserve">, legenda 14 </w:t>
            </w:r>
            <w:proofErr w:type="spellStart"/>
            <w:r>
              <w:rPr>
                <w:b/>
                <w:bCs/>
                <w:color w:val="FFFFFF"/>
                <w:sz w:val="18"/>
                <w:szCs w:val="18"/>
              </w:rPr>
              <w:t>pt</w:t>
            </w:r>
            <w:proofErr w:type="spellEnd"/>
            <w:r>
              <w:rPr>
                <w:b/>
                <w:bCs/>
                <w:color w:val="FFFFFF"/>
                <w:sz w:val="18"/>
                <w:szCs w:val="18"/>
              </w:rPr>
              <w:t xml:space="preserve"> Regular Modalità 1:  «Universitaria» ≈ 0,6 mln — barra #2E5A8F — etichetta «differito, di base» Modalità 2:  «Post-universitaria (ECM)» ≈ 1,2 mln — barra #1E3A6B — etichetta «continuo» Modalità 3:  «Lavorativa» ≈ 1,0 mln — barra #16264B — etichetta «rapido» Modalità 4:  «Affiancamento ed esperto di IA» ≈ 0,9 mln — barra #101F3C — etichetta «intensivo» Combinazione:  Barra evidenziata «Percorso integrato ≈ 4,0 mln/anno — ottimizza la combinazione» in fascia oro #C49A48 Profilo temporale:  Linea oro #C49A48 sovrapposta: anno 1 ≈ 6,5 mln → anno 5 ≈ 4,0 mln (regime); marcatori sui punti annuali Legenda:  Barre = costo a regime per modalità · linea oro = costo complessivo della formazione nel tempo (avvio → regime) Accenti:  Filo oro #C49A48 sotto il titolo; area sotto la linea del profilo in oro 12% di trasparenza Nota variante 3D:  Effetto rilievo leggero sulle barre raggruppate (ombra morbida 8% verso il basso) e linea del profilo temporale in primo piano con marcatori circolari sui punti annuali.</w:t>
            </w:r>
          </w:p>
          <w:p w14:paraId="6B80B273" w14:textId="77777777" w:rsidR="007C4598" w:rsidRDefault="00000000">
            <w:pPr>
              <w:spacing w:before="120" w:after="60"/>
              <w:jc w:val="center"/>
            </w:pPr>
            <w:r>
              <w:rPr>
                <w:noProof/>
              </w:rPr>
              <w:drawing>
                <wp:inline distT="0" distB="0" distL="0" distR="0" wp14:anchorId="11324822" wp14:editId="51060788">
                  <wp:extent cx="8229600" cy="4629150"/>
                  <wp:effectExtent l="0" t="0" r="0" b="0"/>
                  <wp:docPr id="130" name="Infografica30" descr="Il costo della formazione — le quattro modalità e il profilo di avv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Infografica30"/>
                          <pic:cNvPicPr>
                            <a:picLocks noChangeAspect="1" noChangeArrowheads="1"/>
                          </pic:cNvPicPr>
                        </pic:nvPicPr>
                        <pic:blipFill>
                          <a:blip r:embed="rId49">
                            <a:extLst>
                              <a:ext uri="{96DAC541-7B7A-43D3-8B79-37D633B846F1}">
                                <asvg:svgBlip xmlns:asvg="http://schemas.microsoft.com/office/drawing/2016/SVG/main" r:embed="rId50"/>
                              </a:ext>
                            </a:extLst>
                          </a:blip>
                          <a:stretch>
                            <a:fillRect/>
                          </a:stretch>
                        </pic:blipFill>
                        <pic:spPr bwMode="auto">
                          <a:xfrm>
                            <a:off x="0" y="0"/>
                            <a:ext cx="8229600" cy="4629150"/>
                          </a:xfrm>
                          <a:prstGeom prst="rect">
                            <a:avLst/>
                          </a:prstGeom>
                          <a:noFill/>
                          <a:ln>
                            <a:noFill/>
                          </a:ln>
                        </pic:spPr>
                      </pic:pic>
                    </a:graphicData>
                  </a:graphic>
                </wp:inline>
              </w:drawing>
            </w:r>
          </w:p>
          <w:p w14:paraId="434AE3A8" w14:textId="77777777" w:rsidR="007C4598" w:rsidRDefault="00000000">
            <w:pPr>
              <w:spacing w:before="40" w:after="200"/>
              <w:jc w:val="center"/>
            </w:pPr>
            <w:r>
              <w:rPr>
                <w:i/>
                <w:color w:val="2E5A8F"/>
                <w:sz w:val="16"/>
                <w:szCs w:val="16"/>
              </w:rPr>
              <w:t>Fig. 7.4 — Il costo della formazione — le quattro modalità e il profilo di avvio. Elaborazione dello studio · Luigi De Michele · Giugno 2026.</w:t>
            </w:r>
          </w:p>
        </w:tc>
      </w:tr>
    </w:tbl>
    <w:p w14:paraId="1BE6476D" w14:textId="77777777" w:rsidR="007C4598" w:rsidRDefault="007C4598"/>
    <w:p w14:paraId="6C4ECE60" w14:textId="77777777" w:rsidR="007C4598" w:rsidRDefault="00000000">
      <w:pPr>
        <w:jc w:val="both"/>
      </w:pPr>
      <w:r>
        <w:t>Il consolidamento del costo della formazione completa la ricostruzione del terzo strato del programma e, con essa, la ricostruzione delle componenti del costo diretto che le sezioni dalla 7.1 alla 7.4 hanno affrontato: il costo del personale, i costi di struttura, coordinamento e organizzazione, il costo incrementale della leva digitale e dell’Intelligenza Artificiale e il costo della formazione. La sezione 7.5 ricomporrà ora queste componenti nel costo diretto complessivo del programma, distinto per scenario e nel suo profilo temporale, e ne presenterà il valore al lordo e al netto dell’effetto di autofinanziamento della leva, fornendo al decisore la sintesi quantitativa della rinegoziazione integrale dei costi diretti che la presente Parte ha condotto.</w:t>
      </w:r>
    </w:p>
    <w:p w14:paraId="26503868" w14:textId="77777777" w:rsidR="007C4598" w:rsidRDefault="007C4598"/>
    <w:p w14:paraId="6E90A719" w14:textId="77777777" w:rsidR="007C4598" w:rsidRDefault="00000000">
      <w:pPr>
        <w:pStyle w:val="Titolo2"/>
        <w:spacing w:before="200" w:after="100"/>
      </w:pPr>
      <w:r>
        <w:rPr>
          <w:sz w:val="22"/>
          <w:szCs w:val="22"/>
        </w:rPr>
        <w:t>7.5  Il costo diretto complessivo per scenario di dimensionamento</w:t>
      </w:r>
    </w:p>
    <w:p w14:paraId="3E676890" w14:textId="77777777" w:rsidR="007C4598" w:rsidRDefault="007C4598"/>
    <w:p w14:paraId="2023272B" w14:textId="77777777" w:rsidR="007C4598" w:rsidRDefault="00000000">
      <w:pPr>
        <w:jc w:val="both"/>
      </w:pPr>
      <w:r>
        <w:t>La presente sezione conclude la Parte settima ricomponendo nel costo diretto complessivo del programma le quattro componenti che le sezioni precedenti hanno ricostruito separatamente: il costo del personale lungo la cascata delle figure, i costi di struttura, coordinamento e organizzazione, il costo incrementale della leva digitale e dell’Intelligenza Artificiale e il costo della formazione nelle sue quattro modalità. La ricomposizione non è una semplice addizione, ma una sintesi governata dai principi che hanno guidato l’intera Parte, e segnatamente dal principio di non duplicazione, che impone di sommare le componenti senza imputare due volte la medesima risorsa, e dalla distinzione tra le grandezze dirette, che la presente Parte ricostruisce, e le grandezze indirette, che la Parte nona affronterà. Il costo diretto complessivo che ne risulta è la sintesi quantitativa della rinegoziazione integrale dei costi diretti, ed è il valore che la Parte decima comporrà con i risparmi diretti e con i benefici indiretti nel saldo economico consolidato della riforma.</w:t>
      </w:r>
    </w:p>
    <w:p w14:paraId="7FA261B4" w14:textId="77777777" w:rsidR="007C4598" w:rsidRDefault="007C4598"/>
    <w:p w14:paraId="138B225E" w14:textId="77777777" w:rsidR="007C4598" w:rsidRDefault="00000000">
      <w:pPr>
        <w:jc w:val="both"/>
      </w:pPr>
      <w:r>
        <w:t xml:space="preserve">La sintesi è condotta secondo tre dimensioni, che le sottosezioni sviluppano. La prima è la dimensione degli scenari, lungo la quale il costo diretto complessivo è ricostruito nei tre scenari di dimensionamento — conservativo, centrale ed espansivo — di cui lo scenario centrale costituisce il riferimento prudenziale per la decisione e lo scenario conservativo l’ipotesi prudenzialmente più onerosa. La seconda è la dimensione temporale, lungo la quale il costo diretto complessivo è proiettato secondo la curva di adozione del servizio, dall’avvio al regime, distinguendo il costo ricorrente dal </w:t>
      </w:r>
      <w:proofErr w:type="spellStart"/>
      <w:r>
        <w:t>sovraccosto</w:t>
      </w:r>
      <w:proofErr w:type="spellEnd"/>
      <w:r>
        <w:t xml:space="preserve"> una tantum di prima implementazione. La terza è la dimensione della cascata, lungo la quale il costo diretto complessivo è distribuito tra i livelli delle figure, rivelando la concentrazione del costo di cassa nell’apice e la sua decrescita verso la base, che costituisce il rovescio della cascata dei benefici. A queste tre dimensioni la sintesi aggiunge la distinzione tra il costo lordo e il costo al netto dell’effetto di autofinanziamento della leva, che la sezione 7.3 ha quantificato e che la presente sezione ricompone nel quadro complessivo.</w:t>
      </w:r>
    </w:p>
    <w:p w14:paraId="5BB219E2" w14:textId="77777777" w:rsidR="007C4598" w:rsidRDefault="007C4598"/>
    <w:p w14:paraId="5A97D39C" w14:textId="77777777" w:rsidR="007C4598" w:rsidRDefault="00000000">
      <w:pPr>
        <w:jc w:val="both"/>
      </w:pPr>
      <w:r>
        <w:t>La sezione mantiene, per tutta la trattazione, la rigorosa separazione che l’opera impone tra le grandezze fiscali dirette e le grandezze sociali e indirette, e tra i costi e i risparmi. Il costo diretto complessivo che la presente sezione ricostruisce è la spesa che il Servizio Sanitario Regionale sostiene per l’introduzione e l’esercizio del servizio, ed è una grandezza di costo, distinta dai risparmi diretti che la Parte ottava quantificherà e dai benefici indiretti che la Parte nona affronterà. La sezione non aggrega il costo diretto con i risparmi né con i benefici, ma lo presenta come grandezza autonoma, perché è dalla sua corretta determinazione, mantenuta distinta dalle altre, che dipende l’attendibilità del saldo che la Parte decima comporrà; e la sua presentazione come grandezza di costo, non compensata anticipatamente dai risparmi e dai benefici, è precisamente ciò che la separazione tra le categorie richiede.</w:t>
      </w:r>
    </w:p>
    <w:p w14:paraId="0D9DDFB7" w14:textId="77777777" w:rsidR="007C4598" w:rsidRDefault="007C4598"/>
    <w:p w14:paraId="7C9C335D" w14:textId="77777777" w:rsidR="007C4598" w:rsidRDefault="00000000">
      <w:pPr>
        <w:pStyle w:val="Titolo3"/>
        <w:spacing w:before="200" w:after="100"/>
      </w:pPr>
      <w:r>
        <w:rPr>
          <w:color w:val="16264B"/>
          <w:sz w:val="22"/>
          <w:szCs w:val="22"/>
        </w:rPr>
        <w:t>7.5.1  Il metodo di ricomposizione e i confini della somma</w:t>
      </w:r>
    </w:p>
    <w:p w14:paraId="0F6B665B" w14:textId="77777777" w:rsidR="007C4598" w:rsidRDefault="007C4598"/>
    <w:p w14:paraId="2642765F" w14:textId="77777777" w:rsidR="007C4598" w:rsidRDefault="00000000">
      <w:pPr>
        <w:jc w:val="both"/>
      </w:pPr>
      <w:r>
        <w:t>La ricomposizione del costo diretto complessivo segue un metodo che riflette l’architettura del programma in strati successivi. Il primo strato è il modello base, composto dal costo del personale della sezione 7.1 e dai costi di struttura, coordinamento e organizzazione della sezione 7.2, e rappresenta il costo del servizio nella sua configurazione essenziale, indipendente dalla leva tecnologica e dalla formazione. Il secondo strato è la leva digitale e l’Intelligenza Artificiale della sezione 7.3, che si aggiunge al modello base nella sua componente lorda e che esercita, sul versante dei costi, l’effetto di autofinanziamento che la presente sezione ricompone. Il terzo strato è la formazione della sezione 7.4, che si aggiunge ai precedenti come pilastro trasversale. La somma dei tre strati costituisce il costo diretto complessivo del programma integrato, e la sua ricomposizione procede strato per strato, rendendo evidente il contributo di ciascuno e la sua collocazione nel quadro complessivo.</w:t>
      </w:r>
    </w:p>
    <w:p w14:paraId="5EC3CEA9" w14:textId="77777777" w:rsidR="007C4598" w:rsidRDefault="007C4598"/>
    <w:p w14:paraId="18DC136C" w14:textId="77777777" w:rsidR="007C4598" w:rsidRDefault="00000000">
      <w:pPr>
        <w:jc w:val="both"/>
      </w:pPr>
      <w:r>
        <w:t>I confini della somma sono definiti dal principio di non duplicazione, che le sezioni precedenti hanno applicato a ciascuna componente e che la ricomposizione rispetta. Il costo del personale della sezione 7.1 comprende il costo del tempo clinico ordinario, distinto dal costo-opportunità delle figure già retribuite, che è registrato separatamente nella prospettiva sociale e non sommato al costo di cassa. I costi di struttura, coordinamento e organizzazione della sezione 7.2 comprendono i costi non di personale del modello base, distinti dal costo del personale della sezione 7.1 e dal costo della leva della sezione 7.3. Il costo della leva della sezione 7.3 comprende il solo incremento tecnologico, distinto dai sistemi informativi di base della sezione 7.2 e dalla formazione pro-Intelligenza Artificiale della sezione 7.4. Il costo della formazione della sezione 7.4 comprende il costo incrementale della funzione formativa, distinto dal costo del tempo clinico della sezione 7.1 e dalla formazione tecnica dei custodi degli strumenti della sezione 7.3. La ricomposizione somma perciò quattro grandezze tra loro disgiunte, e la somma non comporta alcuna duplicazione.</w:t>
      </w:r>
    </w:p>
    <w:p w14:paraId="4DE1CA89" w14:textId="77777777" w:rsidR="007C4598" w:rsidRDefault="007C4598"/>
    <w:p w14:paraId="6A23BB5D" w14:textId="77777777" w:rsidR="007C4598" w:rsidRDefault="00000000">
      <w:pPr>
        <w:jc w:val="both"/>
      </w:pPr>
      <w:r>
        <w:t>Un secondo confine della somma separa il costo diretto complessivo dalle grandezze che le altre Parti affrontano. Il costo diretto complessivo non comprende i risparmi diretti, che la Parte ottava quantificherà sul versante dei benefici e che ridurranno la spesa sanitaria regionale; esso è una grandezza di costo lordo, non compensata dai risparmi, e la sua presentazione distinta dai risparmi è ciò che consente alla Parte decima di comporre il saldo. Il costo diretto complessivo non comprende neppure i costi e i benefici indiretti, che la Parte nona affronterà lungo il perimetro multidisciplinare integrale e che riguardano i domini lavorativo, pensionistico, produttivistico e gli altri; esso è una grandezza diretta, fiscale e di cassa, distinta dalle grandezze indirette e sociali. La presente sezione ricostruisce perciò unicamente il costo diretto complessivo, mantenuto distinto tanto dai risparmi quanto dalle grandezze indirette, in coerenza con la separazione tra le categorie che l’opera impone.</w:t>
      </w:r>
    </w:p>
    <w:p w14:paraId="77D7D791" w14:textId="77777777" w:rsidR="007C4598" w:rsidRDefault="007C4598"/>
    <w:p w14:paraId="2E75CE63" w14:textId="77777777" w:rsidR="007C4598" w:rsidRDefault="00000000">
      <w:pPr>
        <w:pStyle w:val="Titolo3"/>
        <w:spacing w:before="200" w:after="100"/>
      </w:pPr>
      <w:r>
        <w:rPr>
          <w:color w:val="16264B"/>
          <w:sz w:val="22"/>
          <w:szCs w:val="22"/>
        </w:rPr>
        <w:t>7.5.2  Il costo diretto del modello base</w:t>
      </w:r>
    </w:p>
    <w:p w14:paraId="787B776A" w14:textId="77777777" w:rsidR="007C4598" w:rsidRDefault="007C4598"/>
    <w:p w14:paraId="33A11A57" w14:textId="77777777" w:rsidR="007C4598" w:rsidRDefault="00000000">
      <w:pPr>
        <w:jc w:val="both"/>
      </w:pPr>
      <w:r>
        <w:t>Il costo diretto del modello base, primo strato del programma, risulta dalla somma del costo del personale della sezione 7.1 e dei costi di struttura, coordinamento e organizzazione della sezione 7.2. Il costo del personale di cassa, che la sezione 7.1 ha ricostruito, si colloca nello scenario centrale dell’ordine di trentacinque milioni e ottocentomila euro annui a regime; i costi di struttura, coordinamento e organizzazione, che la sezione 7.2 ha ricostruito, si collocano nello scenario centrale dell’ordine di quattro milioni e duecentomila euro annui a regime. La loro somma colloca il costo diretto del modello base, nello scenario centrale e a regime, dell’ordine di quaranta milioni di euro annui, che costituisce il valore di riferimento per la decisione.</w:t>
      </w:r>
    </w:p>
    <w:p w14:paraId="467C469C" w14:textId="77777777" w:rsidR="007C4598" w:rsidRDefault="007C4598"/>
    <w:p w14:paraId="28ADA1B2" w14:textId="77777777" w:rsidR="007C4598" w:rsidRDefault="00000000">
      <w:pPr>
        <w:jc w:val="both"/>
      </w:pPr>
      <w:r>
        <w:t>Attorno a questo valore centrale è necessario distinguere due nozioni di banda, la cui confusione condurrebbe a un equivoco. La prima è la banda prudenziale dello scenario centrale, che riflette l’incertezza dei parametri entro le ipotesi dello scenario di riferimento e che colloca il costo diretto del modello base, nello scenario centrale, in un intervallo compreso tra trentotto e quarantuno milioni di euro annui a regime. La seconda è l’ampiezza tra gli scenari, che riflette le diverse configurazioni contrattuali e di dimensionamento dei tre scenari e che è più ampia della banda prudenziale del solo scenario centrale: sommando i costi del personale e di struttura nei tre scenari, il costo diretto del modello base si colloca dell’ordine di quarantotto milioni nello scenario conservativo, di quaranta milioni nello scenario centrale e di trentadue milioni nello scenario espansivo. La banda prudenziale di trentotto-quarantuno milioni è perciò quella dello scenario centrale, che è il riferimento per la decisione, mentre l’ampiezza di trentadue-quarantotto milioni è quella tra gli scenari, che esplora le configurazioni alternative; e la trattazione adotta la prima come banda di riferimento, segnalando la seconda come misura dell’incertezza configurazionale.</w:t>
      </w:r>
    </w:p>
    <w:p w14:paraId="2820E708" w14:textId="77777777" w:rsidR="007C4598" w:rsidRDefault="007C4598"/>
    <w:p w14:paraId="114BEEAF" w14:textId="77777777" w:rsidR="007C4598" w:rsidRDefault="00000000">
      <w:pPr>
        <w:jc w:val="both"/>
      </w:pPr>
      <w:r>
        <w:t>Il costo diretto del modello base conferma la preponderanza del costo del personale, che ne rappresenta dell’ordine dell’ottantanove per cento nello scenario centrale, e la natura essenziale dei costi non di personale, che ne rappresentano il restante undici per cento. Questa composizione, che le sezioni 7.1 e 7.2 hanno ricostruito analiticamente, è coerente con la natura del servizio, il cui nucleo è il tempo qualificato dello Psicologo di Base e delle figure della cascata, e i cui costi di struttura, coordinamento e organizzazione sono, in misura variabile, assorbiti dalla dotazione territoriale esistente. Il costo diretto del modello base costituisce il fondamento su cui si innestano i due strati successivi, la leva digitale e l’Intelligenza Artificiale e la formazione, che la ricomposizione aggiunge nelle sottosezioni seguenti.</w:t>
      </w:r>
    </w:p>
    <w:p w14:paraId="29105BB5" w14:textId="77777777" w:rsidR="007C4598" w:rsidRDefault="007C4598"/>
    <w:p w14:paraId="739B0811" w14:textId="77777777" w:rsidR="007C4598" w:rsidRDefault="00000000">
      <w:pPr>
        <w:pStyle w:val="Titolo3"/>
        <w:spacing w:before="200" w:after="100"/>
      </w:pPr>
      <w:r>
        <w:rPr>
          <w:color w:val="16264B"/>
          <w:sz w:val="22"/>
          <w:szCs w:val="22"/>
        </w:rPr>
        <w:t>7.5.3  Il costo diretto complessivo del programma integrato</w:t>
      </w:r>
    </w:p>
    <w:p w14:paraId="1D9161CC" w14:textId="77777777" w:rsidR="007C4598" w:rsidRDefault="007C4598"/>
    <w:p w14:paraId="6D619F0E" w14:textId="77777777" w:rsidR="007C4598" w:rsidRDefault="00000000">
      <w:pPr>
        <w:jc w:val="both"/>
      </w:pPr>
      <w:r>
        <w:t>Il costo diretto complessivo del programma integrato risulta dall’aggiunta, al costo diretto del modello base, del costo incrementale lordo della leva digitale e dell’Intelligenza Artificiale della sezione 7.3 e del costo del percorso formativo integrato della sezione 7.4. Il costo incrementale lordo della leva si colloca nello scenario centrale dell’ordine di un milione e duecentomila euro annui a regime; il costo del percorso formativo integrato si colloca nello scenario centrale dell’ordine di quattro milioni di euro annui a regime. La loro aggiunta al costo diretto del modello base di quaranta milioni colloca il costo diretto complessivo del programma integrato, nello scenario centrale e a regime, dell’ordine di quarantacinque milioni e duecentomila euro annui.</w:t>
      </w:r>
    </w:p>
    <w:p w14:paraId="551FD505" w14:textId="77777777" w:rsidR="007C4598" w:rsidRDefault="007C4598"/>
    <w:p w14:paraId="413C0119" w14:textId="77777777" w:rsidR="007C4598" w:rsidRDefault="00000000">
      <w:pPr>
        <w:jc w:val="both"/>
      </w:pPr>
      <w:r>
        <w:t>Nei tre scenari, il costo diretto complessivo del programma integrato a regime si colloca in un intervallo compreso tra trentasei milioni e mezzo nello scenario espansivo e cinquantaquattro milioni e quattrocentomila euro nello scenario conservativo, con il valore centrale di quarantacinque milioni e duecentomila euro che costituisce il riferimento per la decisione. La banda prudenziale dello scenario centrale, che riflette l’incertezza dei parametri entro le ipotesi di riferimento, colloca il costo diretto complessivo dell’ordine di quarantaquattro-quarantasette milioni di euro annui a regime. La tabella che segue ricompone le quattro componenti del costo diretto complessivo nei tre scenari, rendendo evidente il contributo di ciascuno strato e la formazione del costo diretto del modello base e del costo diretto complessivo.</w:t>
      </w:r>
    </w:p>
    <w:p w14:paraId="36030595"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38978FF0"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CF9F561" w14:textId="77777777" w:rsidR="007C4598" w:rsidRDefault="00000000">
            <w:pPr>
              <w:spacing w:after="40"/>
            </w:pPr>
            <w:r>
              <w:rPr>
                <w:b/>
                <w:bCs/>
                <w:color w:val="FFFFFF"/>
                <w:sz w:val="18"/>
                <w:szCs w:val="18"/>
              </w:rPr>
              <w:t>Componente del costo diretto (a regime)</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C475253" w14:textId="77777777" w:rsidR="007C4598" w:rsidRDefault="00000000">
            <w:pPr>
              <w:spacing w:after="40"/>
            </w:pPr>
            <w:r>
              <w:rPr>
                <w:b/>
                <w:bCs/>
                <w:color w:val="FFFFFF"/>
                <w:sz w:val="18"/>
                <w:szCs w:val="18"/>
              </w:rPr>
              <w:t>Conservativo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72DE397" w14:textId="77777777" w:rsidR="007C4598" w:rsidRDefault="00000000">
            <w:pPr>
              <w:spacing w:after="40"/>
            </w:pPr>
            <w:r>
              <w:rPr>
                <w:b/>
                <w:bCs/>
                <w:color w:val="FFFFFF"/>
                <w:sz w:val="18"/>
                <w:szCs w:val="18"/>
              </w:rPr>
              <w:t>Centrale</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680DC7E" w14:textId="77777777" w:rsidR="007C4598" w:rsidRDefault="00000000">
            <w:pPr>
              <w:spacing w:after="40"/>
            </w:pPr>
            <w:r>
              <w:rPr>
                <w:b/>
                <w:bCs/>
                <w:color w:val="FFFFFF"/>
                <w:sz w:val="18"/>
                <w:szCs w:val="18"/>
              </w:rPr>
              <w:t>Espansivo</w:t>
            </w:r>
          </w:p>
        </w:tc>
      </w:tr>
      <w:tr w:rsidR="007C4598" w14:paraId="0C54D6EC"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979AC93" w14:textId="77777777" w:rsidR="007C4598" w:rsidRDefault="00000000">
            <w:pPr>
              <w:spacing w:after="40"/>
            </w:pPr>
            <w:r>
              <w:t>Personale lungo la cascata (7.1, cassa)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BDE5AB2" w14:textId="77777777" w:rsidR="007C4598" w:rsidRDefault="00000000">
            <w:pPr>
              <w:spacing w:after="40"/>
            </w:pPr>
            <w:r>
              <w:t>42,2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C4A2997" w14:textId="77777777" w:rsidR="007C4598" w:rsidRDefault="00000000">
            <w:pPr>
              <w:spacing w:after="40"/>
            </w:pPr>
            <w:r>
              <w:t>35,8</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42A7846" w14:textId="77777777" w:rsidR="007C4598" w:rsidRDefault="00000000">
            <w:pPr>
              <w:spacing w:after="40"/>
            </w:pPr>
            <w:r>
              <w:t>29,1</w:t>
            </w:r>
          </w:p>
        </w:tc>
      </w:tr>
      <w:tr w:rsidR="007C4598" w14:paraId="63C7334A"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DC5C5C5" w14:textId="77777777" w:rsidR="007C4598" w:rsidRDefault="00000000">
            <w:pPr>
              <w:spacing w:after="40"/>
            </w:pPr>
            <w:r>
              <w:t>Struttura, coordinamento, organizzazione (7.2)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740EC96" w14:textId="77777777" w:rsidR="007C4598" w:rsidRDefault="00000000">
            <w:pPr>
              <w:spacing w:after="40"/>
            </w:pPr>
            <w:r>
              <w:t>5,9</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0C0FE0D" w14:textId="77777777" w:rsidR="007C4598" w:rsidRDefault="00000000">
            <w:pPr>
              <w:spacing w:after="40"/>
            </w:pPr>
            <w:r>
              <w:t>4,2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6DEFE1A" w14:textId="77777777" w:rsidR="007C4598" w:rsidRDefault="00000000">
            <w:pPr>
              <w:spacing w:after="40"/>
            </w:pPr>
            <w:r>
              <w:t>3,1</w:t>
            </w:r>
          </w:p>
        </w:tc>
      </w:tr>
      <w:tr w:rsidR="007C4598" w14:paraId="3103A562"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C0783DC" w14:textId="77777777" w:rsidR="007C4598" w:rsidRDefault="00000000">
            <w:pPr>
              <w:spacing w:after="40"/>
            </w:pPr>
            <w:r>
              <w:rPr>
                <w:b/>
                <w:bCs/>
              </w:rPr>
              <w:t>Costo diretto del modello base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75A70ED" w14:textId="77777777" w:rsidR="007C4598" w:rsidRDefault="00000000">
            <w:pPr>
              <w:spacing w:after="40"/>
            </w:pPr>
            <w:r>
              <w:rPr>
                <w:b/>
                <w:bCs/>
              </w:rPr>
              <w:t>≈ 48,1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3AB246A" w14:textId="77777777" w:rsidR="007C4598" w:rsidRDefault="00000000">
            <w:pPr>
              <w:spacing w:after="40"/>
            </w:pPr>
            <w:r>
              <w:rPr>
                <w:b/>
                <w:bCs/>
              </w:rPr>
              <w:t>≈ 40,0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7A0DB23" w14:textId="77777777" w:rsidR="007C4598" w:rsidRDefault="00000000">
            <w:pPr>
              <w:spacing w:after="40"/>
            </w:pPr>
            <w:r>
              <w:rPr>
                <w:b/>
                <w:bCs/>
              </w:rPr>
              <w:t>≈ 32,2</w:t>
            </w:r>
          </w:p>
        </w:tc>
      </w:tr>
      <w:tr w:rsidR="007C4598" w14:paraId="29B8C72E"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3EC6801" w14:textId="77777777" w:rsidR="007C4598" w:rsidRDefault="00000000">
            <w:pPr>
              <w:spacing w:after="40"/>
            </w:pPr>
            <w:r>
              <w:t>Leva digitale e Intelligenza Artificiale, lordo (7.3)</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F5EF289" w14:textId="77777777" w:rsidR="007C4598" w:rsidRDefault="00000000">
            <w:pPr>
              <w:spacing w:after="40"/>
            </w:pPr>
            <w:r>
              <w:t>1,3</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88B5B7F" w14:textId="77777777" w:rsidR="007C4598" w:rsidRDefault="00000000">
            <w:pPr>
              <w:spacing w:after="40"/>
            </w:pPr>
            <w:r>
              <w:t>1,2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541D5ED" w14:textId="77777777" w:rsidR="007C4598" w:rsidRDefault="00000000">
            <w:pPr>
              <w:spacing w:after="40"/>
            </w:pPr>
            <w:r>
              <w:t>1,1</w:t>
            </w:r>
          </w:p>
        </w:tc>
      </w:tr>
      <w:tr w:rsidR="007C4598" w14:paraId="7CADB8E6"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0BE00A2" w14:textId="77777777" w:rsidR="007C4598" w:rsidRDefault="00000000">
            <w:pPr>
              <w:spacing w:after="40"/>
            </w:pPr>
            <w:r>
              <w:t>Formazione, percorso integrato (7.4)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42B274A" w14:textId="77777777" w:rsidR="007C4598" w:rsidRDefault="00000000">
            <w:pPr>
              <w:spacing w:after="40"/>
            </w:pPr>
            <w:r>
              <w:t>5,0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68EEC99" w14:textId="77777777" w:rsidR="007C4598" w:rsidRDefault="00000000">
            <w:pPr>
              <w:spacing w:after="40"/>
            </w:pPr>
            <w:r>
              <w:t>4,0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4174B3A" w14:textId="77777777" w:rsidR="007C4598" w:rsidRDefault="00000000">
            <w:pPr>
              <w:spacing w:after="40"/>
            </w:pPr>
            <w:r>
              <w:t>3,2</w:t>
            </w:r>
          </w:p>
        </w:tc>
      </w:tr>
      <w:tr w:rsidR="007C4598" w14:paraId="2083FA3B"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F9B3EAD" w14:textId="77777777" w:rsidR="007C4598" w:rsidRDefault="00000000">
            <w:pPr>
              <w:spacing w:after="40"/>
            </w:pPr>
            <w:r>
              <w:rPr>
                <w:b/>
                <w:bCs/>
              </w:rPr>
              <w:t>Costo diretto complessivo, lordo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1C034B5" w14:textId="77777777" w:rsidR="007C4598" w:rsidRDefault="00000000">
            <w:pPr>
              <w:spacing w:after="40"/>
            </w:pPr>
            <w:r>
              <w:rPr>
                <w:b/>
                <w:bCs/>
              </w:rPr>
              <w:t>≈ 54,4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5B2F6FE" w14:textId="77777777" w:rsidR="007C4598" w:rsidRDefault="00000000">
            <w:pPr>
              <w:spacing w:after="40"/>
            </w:pPr>
            <w:r>
              <w:rPr>
                <w:b/>
                <w:bCs/>
              </w:rPr>
              <w:t>≈ 45,2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DBA560C" w14:textId="77777777" w:rsidR="007C4598" w:rsidRDefault="00000000">
            <w:pPr>
              <w:spacing w:after="40"/>
            </w:pPr>
            <w:r>
              <w:rPr>
                <w:b/>
                <w:bCs/>
              </w:rPr>
              <w:t>≈ 36,5</w:t>
            </w:r>
          </w:p>
        </w:tc>
      </w:tr>
      <w:tr w:rsidR="007C4598" w14:paraId="1039D262"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2236442" w14:textId="77777777" w:rsidR="007C4598" w:rsidRDefault="00000000">
            <w:pPr>
              <w:spacing w:after="40"/>
            </w:pPr>
            <w:r>
              <w:t>Effetto di autofinanziamento della leva (7.3.6)</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2C9DBA5" w14:textId="77777777" w:rsidR="007C4598" w:rsidRDefault="00000000">
            <w:pPr>
              <w:spacing w:after="40"/>
            </w:pPr>
            <w:r>
              <w:t>−1,0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4FC0E1B" w14:textId="77777777" w:rsidR="007C4598" w:rsidRDefault="00000000">
            <w:pPr>
              <w:spacing w:after="40"/>
            </w:pPr>
            <w:r>
              <w:t>−1,3</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4B5DF06" w14:textId="77777777" w:rsidR="007C4598" w:rsidRDefault="00000000">
            <w:pPr>
              <w:spacing w:after="40"/>
            </w:pPr>
            <w:r>
              <w:t>−1,5</w:t>
            </w:r>
          </w:p>
        </w:tc>
      </w:tr>
      <w:tr w:rsidR="007C4598" w14:paraId="1A56C075"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548ADFB" w14:textId="77777777" w:rsidR="007C4598" w:rsidRDefault="00000000">
            <w:pPr>
              <w:spacing w:after="40"/>
            </w:pPr>
            <w:r>
              <w:rPr>
                <w:b/>
                <w:bCs/>
              </w:rPr>
              <w:t>Costo diretto complessivo, netto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0472863" w14:textId="77777777" w:rsidR="007C4598" w:rsidRDefault="00000000">
            <w:pPr>
              <w:spacing w:after="40"/>
            </w:pPr>
            <w:r>
              <w:rPr>
                <w:b/>
                <w:bCs/>
              </w:rPr>
              <w:t>≈ 53,4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4E52C43" w14:textId="77777777" w:rsidR="007C4598" w:rsidRDefault="00000000">
            <w:pPr>
              <w:spacing w:after="40"/>
            </w:pPr>
            <w:r>
              <w:rPr>
                <w:b/>
                <w:bCs/>
              </w:rPr>
              <w:t>≈ 43,9</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6DFFF6D" w14:textId="77777777" w:rsidR="007C4598" w:rsidRDefault="00000000">
            <w:pPr>
              <w:spacing w:after="40"/>
            </w:pPr>
            <w:r>
              <w:rPr>
                <w:b/>
                <w:bCs/>
              </w:rPr>
              <w:t>≈ 35,0</w:t>
            </w:r>
          </w:p>
        </w:tc>
      </w:tr>
    </w:tbl>
    <w:p w14:paraId="0D220367" w14:textId="77777777" w:rsidR="007C4598" w:rsidRDefault="007C4598"/>
    <w:p w14:paraId="6CE9310D" w14:textId="77777777" w:rsidR="007C4598" w:rsidRDefault="00000000">
      <w:pPr>
        <w:jc w:val="both"/>
      </w:pPr>
      <w:r>
        <w:rPr>
          <w:b/>
          <w:bCs/>
        </w:rPr>
        <w:t>Tabella 7.5.3</w:t>
      </w:r>
      <w:r>
        <w:rPr>
          <w:i/>
          <w:iCs/>
        </w:rPr>
        <w:t xml:space="preserve"> — Ricomposizione del costo diretto complessivo del programma integrato a regime, per scenario, in milioni di euro annui. Le grandezze dirette sono mantenute distinte dai risparmi diretti (Parte VIII) e dai costi e benefici indiretti (Parte IX). Lo scenario conservativo è il prudenzialmente più oneroso. Si aggiunge un </w:t>
      </w:r>
      <w:proofErr w:type="spellStart"/>
      <w:r>
        <w:rPr>
          <w:i/>
          <w:iCs/>
        </w:rPr>
        <w:t>sovraccosto</w:t>
      </w:r>
      <w:proofErr w:type="spellEnd"/>
      <w:r>
        <w:rPr>
          <w:i/>
          <w:iCs/>
        </w:rPr>
        <w:t xml:space="preserve"> una tantum di avvio, distinto dal costo a regime.</w:t>
      </w:r>
    </w:p>
    <w:p w14:paraId="490BA720" w14:textId="77777777" w:rsidR="007C4598" w:rsidRDefault="007C4598"/>
    <w:p w14:paraId="5F174393" w14:textId="77777777" w:rsidR="007C4598" w:rsidRDefault="00000000">
      <w:pPr>
        <w:jc w:val="both"/>
      </w:pPr>
      <w:r>
        <w:t>Il costo diretto complessivo del programma integrato rivela la composizione del programma nei suoi strati. Il modello base ne rappresenta, nello scenario centrale, dell’ordine dell’ottantotto per cento, confermando che il costo della riforma è in misura preponderante il costo del servizio nella sua configurazione essenziale. La formazione ne rappresenta dell’ordine del nove per cento, confermando il rilievo del pilastro formativo. La leva digitale e l’Intelligenza Artificiale ne rappresenta, al lordo, dell’ordine del tre per cento, confermando la sua posizione subordinata sul versante dei costi, che la sezione 7.3 ha documentato e che la sottosezione seguente accentua considerando l’effetto di autofinanziamento. Questa composizione è coerente con l’architettura del programma, in cui il nucleo è il servizio e le sue figure, la formazione è il pilastro che ne sostiene la competenza, e la leva digitale è lo strumento subordinato che ne accresce la funzionalità a un costo netto prossimo allo zero.</w:t>
      </w:r>
    </w:p>
    <w:p w14:paraId="1A884D26" w14:textId="77777777" w:rsidR="007C4598" w:rsidRDefault="007C4598"/>
    <w:p w14:paraId="7A04701C" w14:textId="77777777" w:rsidR="007C4598" w:rsidRDefault="00000000">
      <w:pPr>
        <w:pStyle w:val="Titolo3"/>
        <w:spacing w:before="200" w:after="100"/>
      </w:pPr>
      <w:r>
        <w:rPr>
          <w:color w:val="16264B"/>
          <w:sz w:val="22"/>
          <w:szCs w:val="22"/>
        </w:rPr>
        <w:t>7.5.4  Il costo diretto al netto dell’effetto di autofinanziamento</w:t>
      </w:r>
    </w:p>
    <w:p w14:paraId="174DE30D" w14:textId="77777777" w:rsidR="007C4598" w:rsidRDefault="007C4598"/>
    <w:p w14:paraId="220C2D63" w14:textId="77777777" w:rsidR="007C4598" w:rsidRDefault="00000000">
      <w:pPr>
        <w:jc w:val="both"/>
      </w:pPr>
      <w:r>
        <w:t>La ricomposizione del costo diretto complessivo richiede la considerazione dell’effetto di autofinanziamento della leva digitale e dell’Intelligenza Artificiale, che la sezione 7.3 ha quantificato e che incide sul costo diretto riducendo i costi operativi del servizio. L’effetto di autofinanziamento, stimato prudenzialmente, si colloca nello scenario centrale dell’ordine di un milione e trecentomila euro annui a regime, e corrisponde alla riduzione dei costi operativi che l’automazione amministrativa e la documentazione clinica assistita producono. Scomputando questo effetto dal costo diretto complessivo lordo, si ottiene il costo diretto complessivo netto, che si colloca nello scenario centrale dell’ordine di quarantatré milioni e novecentomila euro annui a regime.</w:t>
      </w:r>
    </w:p>
    <w:p w14:paraId="4835E344" w14:textId="77777777" w:rsidR="007C4598" w:rsidRDefault="007C4598"/>
    <w:p w14:paraId="565C794D" w14:textId="77777777" w:rsidR="007C4598" w:rsidRDefault="00000000">
      <w:pPr>
        <w:jc w:val="both"/>
      </w:pPr>
      <w:r>
        <w:t>La distinzione tra il costo lordo e il costo netto richiede una precisazione, che il vincolo di non duplicazione impone e che è necessario ribadire. L’effetto di autofinanziamento che il costo netto scomputa è la riduzione dei costi operativi del servizio, ossia una grandezza di costo, distinta dai risparmi sanitari diretti che la Parte ottava quantificherà sul versante dei benefici. Il costo netto della presente sezione non incorpora dunque alcun risparmio sanitario, ma unicamente l’</w:t>
      </w:r>
      <w:proofErr w:type="spellStart"/>
      <w:r>
        <w:t>efficientamento</w:t>
      </w:r>
      <w:proofErr w:type="spellEnd"/>
      <w:r>
        <w:t xml:space="preserve"> gestionale interno al servizio; e la sua presentazione, accanto al costo lordo, non anticipa il saldo della Parte decima, ma documenta che la leva digitale, pur aggiungendo un costo lordo al programma, riduce i costi operativi del servizio in misura tale che il suo costo netto è prossimo allo zero. La trattazione presenta perciò entrambi i valori, il lordo e il netto, segnalando che il lordo è la grandezza pertinente alla composizione del costo diretto complessivo nel saldo della Parte decima, in coerenza con la prudenza che impone di non scomputare anticipatamente un effetto la cui evidenza è graduata, e che il netto è la misura della sostenibilità della leva e del programma.</w:t>
      </w:r>
    </w:p>
    <w:p w14:paraId="34A65165" w14:textId="77777777" w:rsidR="007C4598" w:rsidRDefault="007C4598"/>
    <w:p w14:paraId="6B8D6209" w14:textId="77777777" w:rsidR="007C4598" w:rsidRDefault="00000000">
      <w:pPr>
        <w:jc w:val="both"/>
      </w:pPr>
      <w:r>
        <w:t>Il costo diretto complessivo netto, nei tre scenari, si colloca in un intervallo compreso tra trentacinque milioni nello scenario espansivo e cinquantatré milioni e quattrocentomila euro nello scenario conservativo, con il valore centrale di quarantatré milioni e novecentomila euro. La differenza tra il costo lordo e il costo netto, pari all’effetto di autofinanziamento, misura l’</w:t>
      </w:r>
      <w:proofErr w:type="spellStart"/>
      <w:r>
        <w:t>efficientamento</w:t>
      </w:r>
      <w:proofErr w:type="spellEnd"/>
      <w:r>
        <w:t xml:space="preserve"> gestionale che la leva digitale produce, e la sua entità, dell’ordine di un milione e trecentomila euro nello scenario centrale, è prossima al costo lordo della leva stessa, confermando che la leva digitale è, sul versante dei costi, una componente il cui onere è in larga parte compensato dall’</w:t>
      </w:r>
      <w:proofErr w:type="spellStart"/>
      <w:r>
        <w:t>efficientamento</w:t>
      </w:r>
      <w:proofErr w:type="spellEnd"/>
      <w:r>
        <w:t xml:space="preserve"> che essa genera. La trattazione adotta, per i passaggi successivi e per il rinvio alla Parte decima, il costo lordo come grandezza di riferimento, e presenta il costo netto come misura complementare della sostenibilità.</w:t>
      </w:r>
    </w:p>
    <w:p w14:paraId="29F6E503" w14:textId="77777777" w:rsidR="007C4598" w:rsidRDefault="007C4598"/>
    <w:p w14:paraId="7FBC7396" w14:textId="77777777" w:rsidR="007C4598" w:rsidRDefault="00000000">
      <w:pPr>
        <w:pStyle w:val="Titolo3"/>
        <w:spacing w:before="200" w:after="100"/>
      </w:pPr>
      <w:r>
        <w:rPr>
          <w:color w:val="16264B"/>
          <w:sz w:val="22"/>
          <w:szCs w:val="22"/>
        </w:rPr>
        <w:t>7.5.5  Il profilo temporale del costo diretto</w:t>
      </w:r>
    </w:p>
    <w:p w14:paraId="7BAB36FA" w14:textId="77777777" w:rsidR="007C4598" w:rsidRDefault="007C4598"/>
    <w:p w14:paraId="72690DD4" w14:textId="77777777" w:rsidR="007C4598" w:rsidRDefault="00000000">
      <w:pPr>
        <w:jc w:val="both"/>
      </w:pPr>
      <w:r>
        <w:t>Il costo diretto complessivo che le sottosezioni precedenti hanno ricostruito è il costo a regime, ossia il costo del programma a piena copertura, raggiunto a partire dal quinto anno. Il costo diretto complessivo presenta tuttavia un profilo temporale, che lo distingue dal valore a regime e che la presente sottosezione ricostruisce, perché la riforma non grava per intero sin dal primo esercizio, ma accompagna con il proprio costo l’estensione progressiva del servizio secondo la curva di adozione. Il profilo temporale del costo diretto è governato da due dinamiche: l’estensione della copertura, che fa crescere il costo del personale e dei costi di struttura dal trenta per cento del primo anno al cento per cento del quinto, e il profilo della formazione, che è più elevato nell’avvio per la formazione intensiva della prima coorte e decresce verso il regime.</w:t>
      </w:r>
    </w:p>
    <w:p w14:paraId="43446558" w14:textId="77777777" w:rsidR="007C4598" w:rsidRDefault="007C4598"/>
    <w:p w14:paraId="31F0A707" w14:textId="77777777" w:rsidR="007C4598" w:rsidRDefault="00000000">
      <w:pPr>
        <w:jc w:val="both"/>
      </w:pPr>
      <w:r>
        <w:t xml:space="preserve">A queste due dinamiche del costo ricorrente si aggiunge il </w:t>
      </w:r>
      <w:proofErr w:type="spellStart"/>
      <w:r>
        <w:t>sovraccosto</w:t>
      </w:r>
      <w:proofErr w:type="spellEnd"/>
      <w:r>
        <w:t xml:space="preserve"> una tantum di prima implementazione, concentrato nei primi ventiquattro mesi, che comprende l’investimento iniziale nella componente di Intelligenza Artificiale della sezione 7.3, dell’ordine di un milione-due milioni, il costo una tantum di adattamento dei locali e di configurazione dei sistemi informativi della sezione 7.2, dell’ordine di un milione-un milione e mezzo, e le componenti una tantum della conformità e della prima dotazione. Il </w:t>
      </w:r>
      <w:proofErr w:type="spellStart"/>
      <w:r>
        <w:t>sovraccosto</w:t>
      </w:r>
      <w:proofErr w:type="spellEnd"/>
      <w:r>
        <w:t xml:space="preserve"> una tantum complessivo si colloca dell’ordine di tre-cinque milioni di euro, concentrato nei primi due esercizi, e si aggiunge al costo ricorrente di quei medesimi esercizi. La tabella che segue ricostruisce il profilo temporale del costo diretto complessivo lordo nello scenario centrale, distinguendo il costo operativo ricorrente, che cresce con la copertura, dal </w:t>
      </w:r>
      <w:proofErr w:type="spellStart"/>
      <w:r>
        <w:t>sovraccosto</w:t>
      </w:r>
      <w:proofErr w:type="spellEnd"/>
      <w:r>
        <w:t xml:space="preserve"> una tantum, che si concentra nell’avvio.</w:t>
      </w:r>
    </w:p>
    <w:p w14:paraId="78448B03"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806"/>
        <w:gridCol w:w="1805"/>
        <w:gridCol w:w="1805"/>
        <w:gridCol w:w="1805"/>
        <w:gridCol w:w="1805"/>
      </w:tblGrid>
      <w:tr w:rsidR="007C4598" w14:paraId="6C983542" w14:textId="77777777">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895D943" w14:textId="77777777" w:rsidR="007C4598" w:rsidRDefault="00000000">
            <w:pPr>
              <w:spacing w:after="40"/>
            </w:pPr>
            <w:r>
              <w:rPr>
                <w:b/>
                <w:bCs/>
                <w:color w:val="FFFFFF"/>
                <w:sz w:val="18"/>
                <w:szCs w:val="18"/>
              </w:rPr>
              <w:t>Esercizio</w:t>
            </w:r>
          </w:p>
        </w:tc>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7BCE431" w14:textId="77777777" w:rsidR="007C4598" w:rsidRDefault="00000000">
            <w:pPr>
              <w:spacing w:after="40"/>
            </w:pPr>
            <w:r>
              <w:rPr>
                <w:b/>
                <w:bCs/>
                <w:color w:val="FFFFFF"/>
                <w:sz w:val="18"/>
                <w:szCs w:val="18"/>
              </w:rPr>
              <w:t>Copertura</w:t>
            </w:r>
          </w:p>
        </w:tc>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48AE13A" w14:textId="77777777" w:rsidR="007C4598" w:rsidRDefault="00000000">
            <w:pPr>
              <w:spacing w:after="40"/>
            </w:pPr>
            <w:r>
              <w:rPr>
                <w:b/>
                <w:bCs/>
                <w:color w:val="FFFFFF"/>
                <w:sz w:val="18"/>
                <w:szCs w:val="18"/>
              </w:rPr>
              <w:t>Costo operativo lordo</w:t>
            </w:r>
          </w:p>
        </w:tc>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EEF351B" w14:textId="77777777" w:rsidR="007C4598" w:rsidRDefault="00000000">
            <w:pPr>
              <w:spacing w:after="40"/>
            </w:pPr>
            <w:r>
              <w:rPr>
                <w:b/>
                <w:bCs/>
                <w:color w:val="FFFFFF"/>
                <w:sz w:val="18"/>
                <w:szCs w:val="18"/>
              </w:rPr>
              <w:t>Una tantum</w:t>
            </w:r>
          </w:p>
        </w:tc>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9D507C7" w14:textId="77777777" w:rsidR="007C4598" w:rsidRDefault="00000000">
            <w:pPr>
              <w:spacing w:after="40"/>
            </w:pPr>
            <w:r>
              <w:rPr>
                <w:b/>
                <w:bCs/>
                <w:color w:val="FFFFFF"/>
                <w:sz w:val="18"/>
                <w:szCs w:val="18"/>
              </w:rPr>
              <w:t>Totale lordo</w:t>
            </w:r>
          </w:p>
        </w:tc>
      </w:tr>
      <w:tr w:rsidR="007C4598" w14:paraId="33795A43"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6400842" w14:textId="77777777" w:rsidR="007C4598" w:rsidRDefault="00000000">
            <w:pPr>
              <w:spacing w:after="40"/>
            </w:pPr>
            <w:r>
              <w:t>Anno 1</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1899962" w14:textId="77777777" w:rsidR="007C4598" w:rsidRDefault="00000000">
            <w:pPr>
              <w:spacing w:after="40"/>
            </w:pPr>
            <w:r>
              <w:t>≈ 30%</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6CDEA12" w14:textId="77777777" w:rsidR="007C4598" w:rsidRDefault="00000000">
            <w:pPr>
              <w:spacing w:after="40"/>
            </w:pPr>
            <w:r>
              <w:t>≈ 19,7</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499611F" w14:textId="77777777" w:rsidR="007C4598" w:rsidRDefault="00000000">
            <w:pPr>
              <w:spacing w:after="40"/>
            </w:pPr>
            <w:r>
              <w:t>≈ 2,5</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B2FCA86" w14:textId="77777777" w:rsidR="007C4598" w:rsidRDefault="00000000">
            <w:pPr>
              <w:spacing w:after="40"/>
            </w:pPr>
            <w:r>
              <w:t>≈ 22,2</w:t>
            </w:r>
          </w:p>
        </w:tc>
      </w:tr>
      <w:tr w:rsidR="007C4598" w14:paraId="15BA8951"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1887F2D" w14:textId="77777777" w:rsidR="007C4598" w:rsidRDefault="00000000">
            <w:pPr>
              <w:spacing w:after="40"/>
            </w:pPr>
            <w:r>
              <w:t>Anno 2</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C83BC15" w14:textId="77777777" w:rsidR="007C4598" w:rsidRDefault="00000000">
            <w:pPr>
              <w:spacing w:after="40"/>
            </w:pPr>
            <w:r>
              <w:t>≈ 45%</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4D3708E" w14:textId="77777777" w:rsidR="007C4598" w:rsidRDefault="00000000">
            <w:pPr>
              <w:spacing w:after="40"/>
            </w:pPr>
            <w:r>
              <w:t>≈ 25,4</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E91EC40" w14:textId="77777777" w:rsidR="007C4598" w:rsidRDefault="00000000">
            <w:pPr>
              <w:spacing w:after="40"/>
            </w:pPr>
            <w:r>
              <w:t>≈ 1,0</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F2125F8" w14:textId="77777777" w:rsidR="007C4598" w:rsidRDefault="00000000">
            <w:pPr>
              <w:spacing w:after="40"/>
            </w:pPr>
            <w:r>
              <w:t>≈ 26,4</w:t>
            </w:r>
          </w:p>
        </w:tc>
      </w:tr>
      <w:tr w:rsidR="007C4598" w14:paraId="4441CD99"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032A352" w14:textId="77777777" w:rsidR="007C4598" w:rsidRDefault="00000000">
            <w:pPr>
              <w:spacing w:after="40"/>
            </w:pPr>
            <w:r>
              <w:t>Anno 3</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1B051CA" w14:textId="77777777" w:rsidR="007C4598" w:rsidRDefault="00000000">
            <w:pPr>
              <w:spacing w:after="40"/>
            </w:pPr>
            <w:r>
              <w:t>≈ 60%</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43E736D" w14:textId="77777777" w:rsidR="007C4598" w:rsidRDefault="00000000">
            <w:pPr>
              <w:spacing w:after="40"/>
            </w:pPr>
            <w:r>
              <w:t>≈ 31,0</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ADEC32F" w14:textId="77777777" w:rsidR="007C4598" w:rsidRDefault="00000000">
            <w:pPr>
              <w:spacing w:after="40"/>
            </w:pPr>
            <w:r>
              <w:t>≈ 0,5</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EF2D0D1" w14:textId="77777777" w:rsidR="007C4598" w:rsidRDefault="00000000">
            <w:pPr>
              <w:spacing w:after="40"/>
            </w:pPr>
            <w:r>
              <w:t>≈ 31,5</w:t>
            </w:r>
          </w:p>
        </w:tc>
      </w:tr>
      <w:tr w:rsidR="007C4598" w14:paraId="3152860E"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B79412C" w14:textId="77777777" w:rsidR="007C4598" w:rsidRDefault="00000000">
            <w:pPr>
              <w:spacing w:after="40"/>
            </w:pPr>
            <w:r>
              <w:t>Anno 4</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5C5FF9C" w14:textId="77777777" w:rsidR="007C4598" w:rsidRDefault="00000000">
            <w:pPr>
              <w:spacing w:after="40"/>
            </w:pPr>
            <w:r>
              <w:t>≈ 80%</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7EC0093" w14:textId="77777777" w:rsidR="007C4598" w:rsidRDefault="00000000">
            <w:pPr>
              <w:spacing w:after="40"/>
            </w:pPr>
            <w:r>
              <w:t>≈ 38,1</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3DEFFBD" w14:textId="77777777" w:rsidR="007C4598" w:rsidRDefault="00000000">
            <w:pPr>
              <w:spacing w:after="40"/>
            </w:pPr>
            <w:r>
              <w:t>—</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D05C490" w14:textId="77777777" w:rsidR="007C4598" w:rsidRDefault="00000000">
            <w:pPr>
              <w:spacing w:after="40"/>
            </w:pPr>
            <w:r>
              <w:t>≈ 38,1</w:t>
            </w:r>
          </w:p>
        </w:tc>
      </w:tr>
      <w:tr w:rsidR="007C4598" w14:paraId="27821F99"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5ED9456" w14:textId="77777777" w:rsidR="007C4598" w:rsidRDefault="00000000">
            <w:pPr>
              <w:spacing w:after="40"/>
            </w:pPr>
            <w:r>
              <w:rPr>
                <w:b/>
                <w:bCs/>
              </w:rPr>
              <w:t>Anno 5 e seguenti (regime)</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6608B7F" w14:textId="77777777" w:rsidR="007C4598" w:rsidRDefault="00000000">
            <w:pPr>
              <w:spacing w:after="40"/>
            </w:pPr>
            <w:r>
              <w:rPr>
                <w:b/>
                <w:bCs/>
              </w:rPr>
              <w:t>100%</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0D46254" w14:textId="77777777" w:rsidR="007C4598" w:rsidRDefault="00000000">
            <w:pPr>
              <w:spacing w:after="40"/>
            </w:pPr>
            <w:r>
              <w:rPr>
                <w:b/>
                <w:bCs/>
              </w:rPr>
              <w:t>≈ 45,2</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ECCE629" w14:textId="77777777" w:rsidR="007C4598" w:rsidRDefault="00000000">
            <w:pPr>
              <w:spacing w:after="40"/>
            </w:pPr>
            <w:r>
              <w:rPr>
                <w:b/>
                <w:bCs/>
              </w:rPr>
              <w:t>—</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5A6B532" w14:textId="77777777" w:rsidR="007C4598" w:rsidRDefault="00000000">
            <w:pPr>
              <w:spacing w:after="40"/>
            </w:pPr>
            <w:r>
              <w:rPr>
                <w:b/>
                <w:bCs/>
              </w:rPr>
              <w:t>≈ 45,2</w:t>
            </w:r>
          </w:p>
        </w:tc>
      </w:tr>
    </w:tbl>
    <w:p w14:paraId="460301A8" w14:textId="77777777" w:rsidR="007C4598" w:rsidRDefault="007C4598"/>
    <w:p w14:paraId="7C635209" w14:textId="77777777" w:rsidR="007C4598" w:rsidRDefault="00000000">
      <w:pPr>
        <w:jc w:val="both"/>
      </w:pPr>
      <w:r>
        <w:rPr>
          <w:b/>
          <w:bCs/>
        </w:rPr>
        <w:t>Tabella 7.5.5</w:t>
      </w:r>
      <w:r>
        <w:rPr>
          <w:i/>
          <w:iCs/>
        </w:rPr>
        <w:t xml:space="preserve"> — Profilo temporale del costo diretto complessivo lordo nello scenario centrale, in milioni di euro annui. Il costo operativo cresce con la copertura secondo la curva di adozione; il </w:t>
      </w:r>
      <w:proofErr w:type="spellStart"/>
      <w:r>
        <w:rPr>
          <w:i/>
          <w:iCs/>
        </w:rPr>
        <w:t>sovraccosto</w:t>
      </w:r>
      <w:proofErr w:type="spellEnd"/>
      <w:r>
        <w:rPr>
          <w:i/>
          <w:iCs/>
        </w:rPr>
        <w:t xml:space="preserve"> una tantum si concentra nei primi due esercizi. Il costo della formazione è più elevato nell’avvio (compreso nel costo operativo) e decresce verso il regime.</w:t>
      </w:r>
    </w:p>
    <w:p w14:paraId="094F1277" w14:textId="77777777" w:rsidR="007C4598" w:rsidRDefault="007C4598"/>
    <w:p w14:paraId="398427FD" w14:textId="77777777" w:rsidR="007C4598" w:rsidRDefault="00000000">
      <w:pPr>
        <w:jc w:val="both"/>
      </w:pPr>
      <w:r>
        <w:t xml:space="preserve">Il profilo temporale rivela una caratteristica del costo diretto che ne accresce la sostenibilità: la riforma raggiunge il proprio costo pieno gradualmente, e nei primi esercizi il suo costo è significativamente inferiore al valore a regime, perché la copertura è parziale e il personale è assunto progressivamente. Nel primo anno, il costo diretto complessivo lordo, comprensivo del </w:t>
      </w:r>
      <w:proofErr w:type="spellStart"/>
      <w:r>
        <w:t>sovraccosto</w:t>
      </w:r>
      <w:proofErr w:type="spellEnd"/>
      <w:r>
        <w:t xml:space="preserve"> una tantum, si colloca dell’ordine di ventidue milioni di euro, dimezzato rispetto al valore a regime; e cresce progressivamente fino a raggiungere il valore a regime di quarantacinque milioni e duecentomila euro dal quinto anno in avanti. Questo profilo consente alla riforma di accompagnare il proprio costo con l’estensione del servizio e con la maturazione dei suoi benefici, che parimenti crescono nel tempo, e costituisce un elemento favorevole alla sua sostenibilità finanziaria, che la Parte quattordicesima approfondirà nella trattazione delle coperture.</w:t>
      </w:r>
    </w:p>
    <w:p w14:paraId="1DFED6B3"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17D66C01"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47F56EF" w14:textId="77777777" w:rsidR="007C4598" w:rsidRDefault="00000000">
            <w:pPr>
              <w:spacing w:after="40"/>
            </w:pPr>
            <w:r>
              <w:rPr>
                <w:b/>
                <w:bCs/>
                <w:color w:val="FFFFFF"/>
                <w:sz w:val="18"/>
                <w:szCs w:val="18"/>
              </w:rPr>
              <w:t xml:space="preserve">SEGNAPOSTO INFOGRAFICA — CODICE CANVA-FRIENDLY Il profilo temporale del costo diretto complessivo — dall’avvio al regime Tipo grafico:  Grafico ad area impilata su asse temporale (anni 1-10): area del costo operativo ricorrente (crescente) + area del </w:t>
            </w:r>
            <w:proofErr w:type="spellStart"/>
            <w:r>
              <w:rPr>
                <w:b/>
                <w:bCs/>
                <w:color w:val="FFFFFF"/>
                <w:sz w:val="18"/>
                <w:szCs w:val="18"/>
              </w:rPr>
              <w:t>sovraccosto</w:t>
            </w:r>
            <w:proofErr w:type="spellEnd"/>
            <w:r>
              <w:rPr>
                <w:b/>
                <w:bCs/>
                <w:color w:val="FFFFFF"/>
                <w:sz w:val="18"/>
                <w:szCs w:val="18"/>
              </w:rPr>
              <w:t xml:space="preserve"> una tantum (decrescente, concentrata nei primi 2 anni), con linea del totale in primo piano, stile piatto e preciso Dimensioni:  1920 × 1080 </w:t>
            </w:r>
            <w:proofErr w:type="spellStart"/>
            <w:r>
              <w:rPr>
                <w:b/>
                <w:bCs/>
                <w:color w:val="FFFFFF"/>
                <w:sz w:val="18"/>
                <w:szCs w:val="18"/>
              </w:rPr>
              <w:t>px</w:t>
            </w:r>
            <w:proofErr w:type="spellEnd"/>
            <w:r>
              <w:rPr>
                <w:b/>
                <w:bCs/>
                <w:color w:val="FFFFFF"/>
                <w:sz w:val="18"/>
                <w:szCs w:val="18"/>
              </w:rPr>
              <w:t xml:space="preserve"> (orizzontale) — variante 1080 × 1350 </w:t>
            </w:r>
            <w:proofErr w:type="spellStart"/>
            <w:r>
              <w:rPr>
                <w:b/>
                <w:bCs/>
                <w:color w:val="FFFFFF"/>
                <w:sz w:val="18"/>
                <w:szCs w:val="18"/>
              </w:rPr>
              <w:t>px</w:t>
            </w:r>
            <w:proofErr w:type="spellEnd"/>
            <w:r>
              <w:rPr>
                <w:b/>
                <w:bCs/>
                <w:color w:val="FFFFFF"/>
                <w:sz w:val="18"/>
                <w:szCs w:val="18"/>
              </w:rPr>
              <w:t xml:space="preserve"> (verticale) Sfondo:  Gradiente bianco 85% (#FFFFFF) → crema 15% (#FBF7EE), verticale dall’alto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44 </w:t>
            </w:r>
            <w:proofErr w:type="spellStart"/>
            <w:r>
              <w:rPr>
                <w:b/>
                <w:bCs/>
                <w:color w:val="FFFFFF"/>
                <w:sz w:val="18"/>
                <w:szCs w:val="18"/>
              </w:rPr>
              <w:t>pt</w:t>
            </w:r>
            <w:proofErr w:type="spellEnd"/>
            <w:r>
              <w:rPr>
                <w:b/>
                <w:bCs/>
                <w:color w:val="FFFFFF"/>
                <w:sz w:val="18"/>
                <w:szCs w:val="18"/>
              </w:rPr>
              <w:t xml:space="preserve"> </w:t>
            </w:r>
            <w:proofErr w:type="spellStart"/>
            <w:r>
              <w:rPr>
                <w:b/>
                <w:bCs/>
                <w:color w:val="FFFFFF"/>
                <w:sz w:val="18"/>
                <w:szCs w:val="18"/>
              </w:rPr>
              <w:t>Bold</w:t>
            </w:r>
            <w:proofErr w:type="spellEnd"/>
            <w:r>
              <w:rPr>
                <w:b/>
                <w:bCs/>
                <w:color w:val="FFFFFF"/>
                <w:sz w:val="18"/>
                <w:szCs w:val="18"/>
              </w:rPr>
              <w:t xml:space="preserve">, etichette asse 18 </w:t>
            </w:r>
            <w:proofErr w:type="spellStart"/>
            <w:r>
              <w:rPr>
                <w:b/>
                <w:bCs/>
                <w:color w:val="FFFFFF"/>
                <w:sz w:val="18"/>
                <w:szCs w:val="18"/>
              </w:rPr>
              <w:t>pt</w:t>
            </w:r>
            <w:proofErr w:type="spellEnd"/>
            <w:r>
              <w:rPr>
                <w:b/>
                <w:bCs/>
                <w:color w:val="FFFFFF"/>
                <w:sz w:val="18"/>
                <w:szCs w:val="18"/>
              </w:rPr>
              <w:t xml:space="preserve"> </w:t>
            </w:r>
            <w:proofErr w:type="spellStart"/>
            <w:r>
              <w:rPr>
                <w:b/>
                <w:bCs/>
                <w:color w:val="FFFFFF"/>
                <w:sz w:val="18"/>
                <w:szCs w:val="18"/>
              </w:rPr>
              <w:t>SemiBold</w:t>
            </w:r>
            <w:proofErr w:type="spellEnd"/>
            <w:r>
              <w:rPr>
                <w:b/>
                <w:bCs/>
                <w:color w:val="FFFFFF"/>
                <w:sz w:val="18"/>
                <w:szCs w:val="18"/>
              </w:rPr>
              <w:t xml:space="preserve">, valori 18 </w:t>
            </w:r>
            <w:proofErr w:type="spellStart"/>
            <w:r>
              <w:rPr>
                <w:b/>
                <w:bCs/>
                <w:color w:val="FFFFFF"/>
                <w:sz w:val="18"/>
                <w:szCs w:val="18"/>
              </w:rPr>
              <w:t>pt</w:t>
            </w:r>
            <w:proofErr w:type="spellEnd"/>
            <w:r>
              <w:rPr>
                <w:b/>
                <w:bCs/>
                <w:color w:val="FFFFFF"/>
                <w:sz w:val="18"/>
                <w:szCs w:val="18"/>
              </w:rPr>
              <w:t xml:space="preserve"> </w:t>
            </w:r>
            <w:proofErr w:type="spellStart"/>
            <w:r>
              <w:rPr>
                <w:b/>
                <w:bCs/>
                <w:color w:val="FFFFFF"/>
                <w:sz w:val="18"/>
                <w:szCs w:val="18"/>
              </w:rPr>
              <w:t>SemiBold</w:t>
            </w:r>
            <w:proofErr w:type="spellEnd"/>
            <w:r>
              <w:rPr>
                <w:b/>
                <w:bCs/>
                <w:color w:val="FFFFFF"/>
                <w:sz w:val="18"/>
                <w:szCs w:val="18"/>
              </w:rPr>
              <w:t xml:space="preserve">, legenda 14 </w:t>
            </w:r>
            <w:proofErr w:type="spellStart"/>
            <w:r>
              <w:rPr>
                <w:b/>
                <w:bCs/>
                <w:color w:val="FFFFFF"/>
                <w:sz w:val="18"/>
                <w:szCs w:val="18"/>
              </w:rPr>
              <w:t>pt</w:t>
            </w:r>
            <w:proofErr w:type="spellEnd"/>
            <w:r>
              <w:rPr>
                <w:b/>
                <w:bCs/>
                <w:color w:val="FFFFFF"/>
                <w:sz w:val="18"/>
                <w:szCs w:val="18"/>
              </w:rPr>
              <w:t xml:space="preserve"> Regular Asse x:  Esercizi «Anno 1 … Anno 10»; marcatori sui punti annuali Asse y:  Milioni di euro annui, 0-50; griglia leggera #E7E7E7 Area costo operativo:  #1E3A6B — valori 19,7 → 25,4 → 31,0 → 38,1 → 45,2 (regime dal 5° anno) Area una tantum:  #2E5A8F con tratteggio — valori 2,5 → 1,0 → 0,5 → 0 (esaurita dal 4° anno) Linea totale:  Linea #16264B spessa con marcatori: 22,2 → 26,4 → 31,5 → 38,1 → 45,2 Soglia regime:  Linea orizzontale oro #C49A48 tratteggiata a 45,2 con etichetta «costo a regime» Copertura:  Etichette percentuali sopra i punti: 30% · 45% · 60% · 80% · 100% Accenti:  Filo oro #C49A48 sotto il titolo; punto del 5° anno evidenziato in oro (raggiungimento del regime) Nota variante 3D:  Effetto rilievo leggero sulle aree impilate (ombra morbida 8% verso il basso) e linea del totale in primo piano con marcatori circolari; soglia del regime in oro tratteggiato.</w:t>
            </w:r>
          </w:p>
          <w:p w14:paraId="3436FAB9" w14:textId="77777777" w:rsidR="007C4598" w:rsidRDefault="00000000">
            <w:pPr>
              <w:spacing w:before="120" w:after="60"/>
              <w:jc w:val="center"/>
            </w:pPr>
            <w:r>
              <w:rPr>
                <w:noProof/>
              </w:rPr>
              <w:drawing>
                <wp:inline distT="0" distB="0" distL="0" distR="0" wp14:anchorId="6F5BDBAC" wp14:editId="32074B93">
                  <wp:extent cx="8229600" cy="4629150"/>
                  <wp:effectExtent l="0" t="0" r="0" b="0"/>
                  <wp:docPr id="131" name="Infografica31" descr="Il profilo temporale del costo diretto compless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Infografica31"/>
                          <pic:cNvPicPr>
                            <a:picLocks noChangeAspect="1" noChangeArrowheads="1"/>
                          </pic:cNvPicPr>
                        </pic:nvPicPr>
                        <pic:blipFill>
                          <a:blip r:embed="rId51">
                            <a:extLst>
                              <a:ext uri="{96DAC541-7B7A-43D3-8B79-37D633B846F1}">
                                <asvg:svgBlip xmlns:asvg="http://schemas.microsoft.com/office/drawing/2016/SVG/main" r:embed="rId52"/>
                              </a:ext>
                            </a:extLst>
                          </a:blip>
                          <a:stretch>
                            <a:fillRect/>
                          </a:stretch>
                        </pic:blipFill>
                        <pic:spPr bwMode="auto">
                          <a:xfrm>
                            <a:off x="0" y="0"/>
                            <a:ext cx="8229600" cy="4629150"/>
                          </a:xfrm>
                          <a:prstGeom prst="rect">
                            <a:avLst/>
                          </a:prstGeom>
                          <a:noFill/>
                          <a:ln>
                            <a:noFill/>
                          </a:ln>
                        </pic:spPr>
                      </pic:pic>
                    </a:graphicData>
                  </a:graphic>
                </wp:inline>
              </w:drawing>
            </w:r>
          </w:p>
          <w:p w14:paraId="3C3D5443" w14:textId="77777777" w:rsidR="007C4598" w:rsidRDefault="00000000">
            <w:pPr>
              <w:spacing w:before="40" w:after="200"/>
              <w:jc w:val="center"/>
            </w:pPr>
            <w:r>
              <w:rPr>
                <w:i/>
                <w:color w:val="2E5A8F"/>
                <w:sz w:val="16"/>
                <w:szCs w:val="16"/>
              </w:rPr>
              <w:t>Fig. 7.5 — Il profilo temporale del costo diretto complessivo. Elaborazione dello studio · Luigi De Michele · Giugno 2026.</w:t>
            </w:r>
          </w:p>
        </w:tc>
      </w:tr>
    </w:tbl>
    <w:p w14:paraId="17FA17CA" w14:textId="77777777" w:rsidR="007C4598" w:rsidRDefault="007C4598"/>
    <w:p w14:paraId="706F676A" w14:textId="77777777" w:rsidR="007C4598" w:rsidRDefault="00000000">
      <w:pPr>
        <w:pStyle w:val="Titolo3"/>
        <w:spacing w:before="200" w:after="100"/>
      </w:pPr>
      <w:r>
        <w:rPr>
          <w:color w:val="16264B"/>
          <w:sz w:val="22"/>
          <w:szCs w:val="22"/>
        </w:rPr>
        <w:t>7.5.6  La distribuzione del costo diretto lungo la cascata delle figure</w:t>
      </w:r>
    </w:p>
    <w:p w14:paraId="7CDF2ED6" w14:textId="77777777" w:rsidR="007C4598" w:rsidRDefault="007C4598"/>
    <w:p w14:paraId="1914C626" w14:textId="77777777" w:rsidR="007C4598" w:rsidRDefault="00000000">
      <w:pPr>
        <w:jc w:val="both"/>
      </w:pPr>
      <w:r>
        <w:t>La terza dimensione della sintesi distribuisce il costo diretto complessivo lungo i livelli della cascata gerarchica piramidale, rivelando come il costo di cassa si concentri nell’apice e decresca verso la base. Questa distribuzione costituisce il rovescio della cascata dei benefici: mentre i benefici si propagano dall’apice verso le figure e i domini della base, ampliandosi lungo la discesa, il costo di cassa si concentra nell’apice e si riduce verso la base, fino ad annullarsi per le figure del quarto e del quinto livello, che non gravano sul bilancio del Servizio Sanitario Regionale. L’architettura delle figure a cascata, che la Parte terza ha ordinato, trova perciò nel costo diretto la propria conferma economica, e la presente sottosezione ne ricostruisce la distribuzione.</w:t>
      </w:r>
    </w:p>
    <w:p w14:paraId="4D0263C4" w14:textId="77777777" w:rsidR="007C4598" w:rsidRDefault="007C4598"/>
    <w:p w14:paraId="6FBA2660" w14:textId="77777777" w:rsidR="007C4598" w:rsidRDefault="00000000">
      <w:pPr>
        <w:jc w:val="both"/>
      </w:pPr>
      <w:r>
        <w:t>Il costo diretto di cassa si concentra nell’apice della cascata, dove lo Psicologo di Base, con il personale amministrativo di supporto e la supervisione clinica di base che lo affiancano, rappresenta nello scenario centrale dell’ordine di trentaquattro milioni e ottocentomila euro annui a regime, pari a oltre tre quarti del costo diretto complessivo. Il secondo livello della cascata, costituito dal medico di medicina generale, dal pediatra di libera scelta e dal neurologo, non genera costo di cassa, perché tali figure sono già retribuite e il loro contributo è registrato come costo-opportunità di tempo nella prospettiva sociale, distinto e non sommato al costo di cassa. Il terzo livello, costituito dall’infermiere di famiglia e di comunità nella funzione di care manager, dallo psichiatra consulente e dalle ulteriori figure socio-sanitarie, genera un costo di cassa marginale, dell’ordine di un milione di euro annui per la quota di care management dedicata, mentre il resto è assorbito dalla dotazione territoriale esistente.</w:t>
      </w:r>
    </w:p>
    <w:p w14:paraId="535F185A" w14:textId="77777777" w:rsidR="007C4598" w:rsidRDefault="007C4598"/>
    <w:p w14:paraId="023608B2" w14:textId="77777777" w:rsidR="007C4598" w:rsidRDefault="00000000">
      <w:pPr>
        <w:jc w:val="both"/>
      </w:pPr>
      <w:r>
        <w:t xml:space="preserve">Il quarto livello della cascata, costituito dagli attori istituzionali e amministrativi regionali — le aziende sanitarie locali, i distretti, l’Azienda Zero e la Regione — genera un costo di cassa dell’ordine di un milione e duecentomila euro annui, corrispondente alla funzione di </w:t>
      </w:r>
      <w:proofErr w:type="spellStart"/>
      <w:r>
        <w:t>governance</w:t>
      </w:r>
      <w:proofErr w:type="spellEnd"/>
      <w:r>
        <w:t xml:space="preserve"> e coordinamento istituzionale, in parte assorbita dalle strutture preesistenti. Il quinto livello, costituito dagli attori extra-sanitari — l’INPS, l’INAIL, il sistema giudiziario, le imprese, le organizzazioni sindacali, le università e il terzo settore — non genera alcun costo di cassa per il Servizio Sanitario Regionale, perché si colloca interamente sul versante dei benefici, dove la Parte nona ne ricostruirà le ricadute. A questa distribuzione per figura si aggiunge una componente trasversale, non attribuibile a un singolo livello, costituita dall’infrastruttura di struttura, dai sistemi informativi, dall’hardware e dall’audit, dalla leva digitale e dalla formazione, che serve l’intera architettura e che si colloca dell’ordine di otto milioni e duecentomila euro annui.</w:t>
      </w:r>
    </w:p>
    <w:p w14:paraId="6DF83987"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7C487CD3"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6C3D7F8" w14:textId="77777777" w:rsidR="007C4598" w:rsidRDefault="00000000">
            <w:pPr>
              <w:spacing w:after="40"/>
            </w:pPr>
            <w:r>
              <w:rPr>
                <w:b/>
                <w:bCs/>
                <w:color w:val="FFFFFF"/>
                <w:sz w:val="18"/>
                <w:szCs w:val="18"/>
              </w:rPr>
              <w:t>Livello della cascata</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2413378" w14:textId="77777777" w:rsidR="007C4598" w:rsidRDefault="00000000">
            <w:pPr>
              <w:spacing w:after="40"/>
            </w:pPr>
            <w:r>
              <w:rPr>
                <w:b/>
                <w:bCs/>
                <w:color w:val="FFFFFF"/>
                <w:sz w:val="18"/>
                <w:szCs w:val="18"/>
              </w:rPr>
              <w:t>Componente di costo diretto di cassa</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A602510" w14:textId="77777777" w:rsidR="007C4598" w:rsidRDefault="00000000">
            <w:pPr>
              <w:spacing w:after="40"/>
            </w:pPr>
            <w:r>
              <w:rPr>
                <w:b/>
                <w:bCs/>
                <w:color w:val="FFFFFF"/>
                <w:sz w:val="18"/>
                <w:szCs w:val="18"/>
              </w:rPr>
              <w:t>Centrale</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57A9F91" w14:textId="77777777" w:rsidR="007C4598" w:rsidRDefault="00000000">
            <w:pPr>
              <w:spacing w:after="40"/>
            </w:pPr>
            <w:r>
              <w:rPr>
                <w:b/>
                <w:bCs/>
                <w:color w:val="FFFFFF"/>
                <w:sz w:val="18"/>
                <w:szCs w:val="18"/>
              </w:rPr>
              <w:t>Carattere</w:t>
            </w:r>
          </w:p>
        </w:tc>
      </w:tr>
      <w:tr w:rsidR="007C4598" w14:paraId="6D2D3942"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3E9B44D" w14:textId="77777777" w:rsidR="007C4598" w:rsidRDefault="00000000">
            <w:pPr>
              <w:spacing w:after="40"/>
            </w:pPr>
            <w:r>
              <w:t>L1 — Apice: Psicologo di Base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7B69503" w14:textId="77777777" w:rsidR="007C4598" w:rsidRDefault="00000000">
            <w:pPr>
              <w:spacing w:after="40"/>
            </w:pPr>
            <w:r>
              <w:t>Personale clinico, supporto amministrativo, supervisione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27F5FEA" w14:textId="77777777" w:rsidR="007C4598" w:rsidRDefault="00000000">
            <w:pPr>
              <w:spacing w:after="40"/>
            </w:pPr>
            <w:r>
              <w:t>≈ 34,8</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B8F8D52" w14:textId="77777777" w:rsidR="007C4598" w:rsidRDefault="00000000">
            <w:pPr>
              <w:spacing w:after="40"/>
            </w:pPr>
            <w:r>
              <w:t>Cassa, dominante</w:t>
            </w:r>
          </w:p>
        </w:tc>
      </w:tr>
      <w:tr w:rsidR="007C4598" w14:paraId="088CDFFB"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AFA9B33" w14:textId="77777777" w:rsidR="007C4598" w:rsidRDefault="00000000">
            <w:pPr>
              <w:spacing w:after="40"/>
            </w:pPr>
            <w:r>
              <w:t>L2 — MMG, pediatra, neurologo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B20E7E3" w14:textId="77777777" w:rsidR="007C4598" w:rsidRDefault="00000000">
            <w:pPr>
              <w:spacing w:after="40"/>
            </w:pPr>
            <w:r>
              <w:t>Costo-opportunità di tempo (prospettiva sociale)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86CF31D" w14:textId="77777777" w:rsidR="007C4598" w:rsidRDefault="00000000">
            <w:pPr>
              <w:spacing w:after="40"/>
            </w:pPr>
            <w:r>
              <w:t>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6B77EEB" w14:textId="77777777" w:rsidR="007C4598" w:rsidRDefault="00000000">
            <w:pPr>
              <w:spacing w:after="40"/>
            </w:pPr>
            <w:r>
              <w:t>Non di cassa</w:t>
            </w:r>
          </w:p>
        </w:tc>
      </w:tr>
      <w:tr w:rsidR="007C4598" w14:paraId="493B6E0D"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F795529" w14:textId="77777777" w:rsidR="007C4598" w:rsidRDefault="00000000">
            <w:pPr>
              <w:spacing w:after="40"/>
            </w:pPr>
            <w:r>
              <w:t>L3 — Care manager, psichiatra, socio-sanitari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CC4C97C" w14:textId="77777777" w:rsidR="007C4598" w:rsidRDefault="00000000">
            <w:pPr>
              <w:spacing w:after="40"/>
            </w:pPr>
            <w:r>
              <w:t>Care management dedicato; resto assorbito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4724760" w14:textId="77777777" w:rsidR="007C4598" w:rsidRDefault="00000000">
            <w:pPr>
              <w:spacing w:after="40"/>
            </w:pPr>
            <w:r>
              <w:t>≈ 1,0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F2929F4" w14:textId="77777777" w:rsidR="007C4598" w:rsidRDefault="00000000">
            <w:pPr>
              <w:spacing w:after="40"/>
            </w:pPr>
            <w:r>
              <w:t>Cassa, marginale</w:t>
            </w:r>
          </w:p>
        </w:tc>
      </w:tr>
      <w:tr w:rsidR="007C4598" w14:paraId="5B377FB4"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7F9BE98" w14:textId="77777777" w:rsidR="007C4598" w:rsidRDefault="00000000">
            <w:pPr>
              <w:spacing w:after="40"/>
            </w:pPr>
            <w:r>
              <w:t>L4 — ASL, distretti, Azienda Zero, Regione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31186D7" w14:textId="77777777" w:rsidR="007C4598" w:rsidRDefault="00000000">
            <w:pPr>
              <w:spacing w:after="40"/>
            </w:pPr>
            <w:proofErr w:type="spellStart"/>
            <w:r>
              <w:t>Governance</w:t>
            </w:r>
            <w:proofErr w:type="spellEnd"/>
            <w:r>
              <w:t xml:space="preserve"> e coordinamento istituzionale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26EB3BC" w14:textId="77777777" w:rsidR="007C4598" w:rsidRDefault="00000000">
            <w:pPr>
              <w:spacing w:after="40"/>
            </w:pPr>
            <w:r>
              <w:t>≈ 1,2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BF1EDAB" w14:textId="77777777" w:rsidR="007C4598" w:rsidRDefault="00000000">
            <w:pPr>
              <w:spacing w:after="40"/>
            </w:pPr>
            <w:r>
              <w:t>Cassa, parziale</w:t>
            </w:r>
          </w:p>
        </w:tc>
      </w:tr>
      <w:tr w:rsidR="007C4598" w14:paraId="4A467FCB"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B2AFA46" w14:textId="77777777" w:rsidR="007C4598" w:rsidRDefault="00000000">
            <w:pPr>
              <w:spacing w:after="40"/>
            </w:pPr>
            <w:r>
              <w:t>L5 — INPS, INAIL, giustizia, imprese, ecc.</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AD0401F" w14:textId="77777777" w:rsidR="007C4598" w:rsidRDefault="00000000">
            <w:pPr>
              <w:spacing w:after="40"/>
            </w:pPr>
            <w:r>
              <w:t>Nessun costo di cassa (versante dei benefici)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238C64B" w14:textId="77777777" w:rsidR="007C4598" w:rsidRDefault="00000000">
            <w:pPr>
              <w:spacing w:after="40"/>
            </w:pPr>
            <w:r>
              <w:t>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71C0DB4" w14:textId="77777777" w:rsidR="007C4598" w:rsidRDefault="00000000">
            <w:pPr>
              <w:spacing w:after="40"/>
            </w:pPr>
            <w:r>
              <w:t>Nullo per il SSR</w:t>
            </w:r>
          </w:p>
        </w:tc>
      </w:tr>
      <w:tr w:rsidR="007C4598" w14:paraId="4871D029"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DA15A94" w14:textId="77777777" w:rsidR="007C4598" w:rsidRDefault="00000000">
            <w:pPr>
              <w:spacing w:after="40"/>
            </w:pPr>
            <w:r>
              <w:t>Trasversale — non per figura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21C8C5A" w14:textId="77777777" w:rsidR="007C4598" w:rsidRDefault="00000000">
            <w:pPr>
              <w:spacing w:after="40"/>
            </w:pPr>
            <w:r>
              <w:t>Infrastruttura, leva digitale e IA, formazione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C410F19" w14:textId="77777777" w:rsidR="007C4598" w:rsidRDefault="00000000">
            <w:pPr>
              <w:spacing w:after="40"/>
            </w:pPr>
            <w:r>
              <w:t>≈ 8,2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6ECE09E" w14:textId="77777777" w:rsidR="007C4598" w:rsidRDefault="00000000">
            <w:pPr>
              <w:spacing w:after="40"/>
            </w:pPr>
            <w:r>
              <w:t>Cassa, trasversale</w:t>
            </w:r>
          </w:p>
        </w:tc>
      </w:tr>
      <w:tr w:rsidR="007C4598" w14:paraId="220D554C"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14B88AA" w14:textId="77777777" w:rsidR="007C4598" w:rsidRDefault="00000000">
            <w:pPr>
              <w:spacing w:after="40"/>
            </w:pPr>
            <w:r>
              <w:rPr>
                <w:b/>
                <w:bCs/>
              </w:rPr>
              <w:t>Costo diretto complessivo di cassa (lordo)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9C6BE71" w14:textId="77777777" w:rsidR="007C4598" w:rsidRDefault="00000000">
            <w:pPr>
              <w:spacing w:after="40"/>
            </w:pPr>
            <w:r>
              <w:t>—</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884E957" w14:textId="77777777" w:rsidR="007C4598" w:rsidRDefault="00000000">
            <w:pPr>
              <w:spacing w:after="40"/>
            </w:pPr>
            <w:r>
              <w:rPr>
                <w:b/>
                <w:bCs/>
              </w:rPr>
              <w:t>≈ 45,2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DF884D9" w14:textId="77777777" w:rsidR="007C4598" w:rsidRDefault="00000000">
            <w:pPr>
              <w:spacing w:after="40"/>
            </w:pPr>
            <w:r>
              <w:rPr>
                <w:b/>
                <w:bCs/>
              </w:rPr>
              <w:t>Bilancio SSR</w:t>
            </w:r>
          </w:p>
        </w:tc>
      </w:tr>
    </w:tbl>
    <w:p w14:paraId="748DFDA0" w14:textId="77777777" w:rsidR="007C4598" w:rsidRDefault="007C4598"/>
    <w:p w14:paraId="0647EC19" w14:textId="77777777" w:rsidR="007C4598" w:rsidRDefault="00000000">
      <w:pPr>
        <w:jc w:val="both"/>
      </w:pPr>
      <w:r>
        <w:rPr>
          <w:b/>
          <w:bCs/>
        </w:rPr>
        <w:t>Tabella 7.5.6</w:t>
      </w:r>
      <w:r>
        <w:rPr>
          <w:i/>
          <w:iCs/>
        </w:rPr>
        <w:t xml:space="preserve"> — Distribuzione del costo diretto complessivo di cassa lungo la cascata delle figure, scenario centrale, a regime, in milioni di euro annui. Il costo di cassa si concentra nell’apice (oltre tre quarti del totale) e decresce verso la base, annullandosi per i livelli quarto e quinto. La componente trasversale serve l’intera architettura. Rovescio speculare della cascata dei benefici.</w:t>
      </w:r>
    </w:p>
    <w:p w14:paraId="1039300F" w14:textId="77777777" w:rsidR="007C4598" w:rsidRDefault="007C4598"/>
    <w:p w14:paraId="7CF57308" w14:textId="77777777" w:rsidR="007C4598" w:rsidRDefault="00000000">
      <w:pPr>
        <w:jc w:val="both"/>
      </w:pPr>
      <w:r>
        <w:t>La distribuzione del costo lungo la cascata conferma il principio ordinatore dell’opera e ne rivela la coerenza economica. Il costo di cassa si concentra nell’apice, dove risiede il nucleo del servizio, e decresce verso la base, dove le figure e i domini sono interessati dalla riforma sul versante dei benefici più che su quello dei costi. Questa asimmetria tra la concentrazione del costo nell’apice e la propagazione dei benefici verso la base costituisce il fondamento economico della convenienza della riforma, che la Parte decima dimostrerà componendo il costo concentrato nell’apice con i benefici diffusi lungo la cascata; e la sua ricostruzione nella presente sottosezione chiude il cerchio aperto dalla Parte terza, mostrando che l’ordinamento delle figure per influenza e per capacità di rientro economico trova nel costo diretto la propria conferma, perché è precisamente l’apice, che genera il costo, a originare i benefici che si propagano verso la base.</w:t>
      </w:r>
    </w:p>
    <w:p w14:paraId="6F4AF3F6"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6AB98164"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97E2086" w14:textId="77777777" w:rsidR="007C4598" w:rsidRDefault="00000000">
            <w:pPr>
              <w:spacing w:after="40"/>
            </w:pPr>
            <w:r>
              <w:rPr>
                <w:b/>
                <w:bCs/>
                <w:color w:val="FFFFFF"/>
                <w:sz w:val="18"/>
                <w:szCs w:val="18"/>
              </w:rPr>
              <w:t xml:space="preserve">SEGNAPOSTO INFOGRAFICA — CODICE CANVA-FRIENDLY La distribuzione del costo diretto lungo la cascata — concentrazione nell’apice Tipo grafico:  Piramide a 5 livelli affiancata a barre orizzontali del costo di cassa per livello, con la componente trasversale rappresentata come fascia separata alla base della piramide, stile piatto e preciso Dimensioni:  1920 × 1080 </w:t>
            </w:r>
            <w:proofErr w:type="spellStart"/>
            <w:r>
              <w:rPr>
                <w:b/>
                <w:bCs/>
                <w:color w:val="FFFFFF"/>
                <w:sz w:val="18"/>
                <w:szCs w:val="18"/>
              </w:rPr>
              <w:t>px</w:t>
            </w:r>
            <w:proofErr w:type="spellEnd"/>
            <w:r>
              <w:rPr>
                <w:b/>
                <w:bCs/>
                <w:color w:val="FFFFFF"/>
                <w:sz w:val="18"/>
                <w:szCs w:val="18"/>
              </w:rPr>
              <w:t xml:space="preserve"> (orizzontale) — variante 1080 × 1350 </w:t>
            </w:r>
            <w:proofErr w:type="spellStart"/>
            <w:r>
              <w:rPr>
                <w:b/>
                <w:bCs/>
                <w:color w:val="FFFFFF"/>
                <w:sz w:val="18"/>
                <w:szCs w:val="18"/>
              </w:rPr>
              <w:t>px</w:t>
            </w:r>
            <w:proofErr w:type="spellEnd"/>
            <w:r>
              <w:rPr>
                <w:b/>
                <w:bCs/>
                <w:color w:val="FFFFFF"/>
                <w:sz w:val="18"/>
                <w:szCs w:val="18"/>
              </w:rPr>
              <w:t xml:space="preserve"> (verticale) Sfondo:  Gradiente bianco 85% (#FFFFFF) → crema 15% (#FBF7EE), verticale dall’alto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44 </w:t>
            </w:r>
            <w:proofErr w:type="spellStart"/>
            <w:r>
              <w:rPr>
                <w:b/>
                <w:bCs/>
                <w:color w:val="FFFFFF"/>
                <w:sz w:val="18"/>
                <w:szCs w:val="18"/>
              </w:rPr>
              <w:t>pt</w:t>
            </w:r>
            <w:proofErr w:type="spellEnd"/>
            <w:r>
              <w:rPr>
                <w:b/>
                <w:bCs/>
                <w:color w:val="FFFFFF"/>
                <w:sz w:val="18"/>
                <w:szCs w:val="18"/>
              </w:rPr>
              <w:t xml:space="preserve"> </w:t>
            </w:r>
            <w:proofErr w:type="spellStart"/>
            <w:r>
              <w:rPr>
                <w:b/>
                <w:bCs/>
                <w:color w:val="FFFFFF"/>
                <w:sz w:val="18"/>
                <w:szCs w:val="18"/>
              </w:rPr>
              <w:t>Bold</w:t>
            </w:r>
            <w:proofErr w:type="spellEnd"/>
            <w:r>
              <w:rPr>
                <w:b/>
                <w:bCs/>
                <w:color w:val="FFFFFF"/>
                <w:sz w:val="18"/>
                <w:szCs w:val="18"/>
              </w:rPr>
              <w:t xml:space="preserve">, etichette livello 20 </w:t>
            </w:r>
            <w:proofErr w:type="spellStart"/>
            <w:r>
              <w:rPr>
                <w:b/>
                <w:bCs/>
                <w:color w:val="FFFFFF"/>
                <w:sz w:val="18"/>
                <w:szCs w:val="18"/>
              </w:rPr>
              <w:t>pt</w:t>
            </w:r>
            <w:proofErr w:type="spellEnd"/>
            <w:r>
              <w:rPr>
                <w:b/>
                <w:bCs/>
                <w:color w:val="FFFFFF"/>
                <w:sz w:val="18"/>
                <w:szCs w:val="18"/>
              </w:rPr>
              <w:t xml:space="preserve"> </w:t>
            </w:r>
            <w:proofErr w:type="spellStart"/>
            <w:r>
              <w:rPr>
                <w:b/>
                <w:bCs/>
                <w:color w:val="FFFFFF"/>
                <w:sz w:val="18"/>
                <w:szCs w:val="18"/>
              </w:rPr>
              <w:t>SemiBold</w:t>
            </w:r>
            <w:proofErr w:type="spellEnd"/>
            <w:r>
              <w:rPr>
                <w:b/>
                <w:bCs/>
                <w:color w:val="FFFFFF"/>
                <w:sz w:val="18"/>
                <w:szCs w:val="18"/>
              </w:rPr>
              <w:t xml:space="preserve">, valori 18 </w:t>
            </w:r>
            <w:proofErr w:type="spellStart"/>
            <w:r>
              <w:rPr>
                <w:b/>
                <w:bCs/>
                <w:color w:val="FFFFFF"/>
                <w:sz w:val="18"/>
                <w:szCs w:val="18"/>
              </w:rPr>
              <w:t>pt</w:t>
            </w:r>
            <w:proofErr w:type="spellEnd"/>
            <w:r>
              <w:rPr>
                <w:b/>
                <w:bCs/>
                <w:color w:val="FFFFFF"/>
                <w:sz w:val="18"/>
                <w:szCs w:val="18"/>
              </w:rPr>
              <w:t xml:space="preserve"> </w:t>
            </w:r>
            <w:proofErr w:type="spellStart"/>
            <w:r>
              <w:rPr>
                <w:b/>
                <w:bCs/>
                <w:color w:val="FFFFFF"/>
                <w:sz w:val="18"/>
                <w:szCs w:val="18"/>
              </w:rPr>
              <w:t>SemiBold</w:t>
            </w:r>
            <w:proofErr w:type="spellEnd"/>
            <w:r>
              <w:rPr>
                <w:b/>
                <w:bCs/>
                <w:color w:val="FFFFFF"/>
                <w:sz w:val="18"/>
                <w:szCs w:val="18"/>
              </w:rPr>
              <w:t xml:space="preserve">, nota 13 </w:t>
            </w:r>
            <w:proofErr w:type="spellStart"/>
            <w:r>
              <w:rPr>
                <w:b/>
                <w:bCs/>
                <w:color w:val="FFFFFF"/>
                <w:sz w:val="18"/>
                <w:szCs w:val="18"/>
              </w:rPr>
              <w:t>pt</w:t>
            </w:r>
            <w:proofErr w:type="spellEnd"/>
            <w:r>
              <w:rPr>
                <w:b/>
                <w:bCs/>
                <w:color w:val="FFFFFF"/>
                <w:sz w:val="18"/>
                <w:szCs w:val="18"/>
              </w:rPr>
              <w:t xml:space="preserve"> </w:t>
            </w:r>
            <w:proofErr w:type="spellStart"/>
            <w:r>
              <w:rPr>
                <w:b/>
                <w:bCs/>
                <w:color w:val="FFFFFF"/>
                <w:sz w:val="18"/>
                <w:szCs w:val="18"/>
              </w:rPr>
              <w:t>Italic</w:t>
            </w:r>
            <w:proofErr w:type="spellEnd"/>
            <w:r>
              <w:rPr>
                <w:b/>
                <w:bCs/>
                <w:color w:val="FFFFFF"/>
                <w:sz w:val="18"/>
                <w:szCs w:val="18"/>
              </w:rPr>
              <w:t xml:space="preserve"> L1 Apice:  «Psicologo di Base» — barra ≈ 34,8 mln (la più lunga) — colore #16264B — etichetta «oltre 3/4 del totale» L2:  «MMG · pediatra · neurologo» — barra 0 (cassa) — colore #1E3A6B chiaro — etichetta «costo-opportunità, non di cassa» L3:  «Care manager · psichiatra · socio-sanitari» — barra ≈ 1,0 mln — colore #2E5A8F L4:  «ASL · distretti · Azienda Zero · Regione» — barra ≈ 1,2 mln — colore #2E5A8F L5 Base:  «INPS · INAIL · giustizia · imprese · sindacati · università · terzo settore» — barra 0 — etichetta «versante dei benefici» Fascia trasversale:  «Infrastruttura · leva IA · formazione ≈ 8,2 mln» — fascia oro #C49A48 alla base, «non attribuibile a un singolo livello» Totale:  «Costo diretto di cassa ≈ 45,2 mln/anno — scenario centrale» in riquadro #101F3C, testo #FBF7EE Nota:  «Rovescio speculare della cascata dei benefici: il costo si concentra nell’apice, i benefici si propagano verso la base» Accenti:  Filo oro #C49A48 sotto il titolo; freccia discendente lungo la piramide per il costo, freccia ascendente per i benefici (in controluce) Nota variante 3D:  Effetto rilievo leggero sulla piramide e sulle barre (ombra morbida 8% verso il basso); contrasto netto tra l’apice dominante e la base a costo nullo; fascia trasversale in oro distinta dai livelli.</w:t>
            </w:r>
          </w:p>
          <w:p w14:paraId="66B28DC4" w14:textId="77777777" w:rsidR="007C4598" w:rsidRDefault="00000000">
            <w:pPr>
              <w:spacing w:before="120" w:after="60"/>
              <w:jc w:val="center"/>
            </w:pPr>
            <w:r>
              <w:rPr>
                <w:noProof/>
              </w:rPr>
              <w:drawing>
                <wp:inline distT="0" distB="0" distL="0" distR="0" wp14:anchorId="5CEB0411" wp14:editId="3F07ECD2">
                  <wp:extent cx="8229600" cy="4629150"/>
                  <wp:effectExtent l="0" t="0" r="0" b="0"/>
                  <wp:docPr id="132" name="Infografica32" descr="La distribuzione del costo diretto lungo la casc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nfografica32"/>
                          <pic:cNvPicPr>
                            <a:picLocks noChangeAspect="1" noChangeArrowheads="1"/>
                          </pic:cNvPicPr>
                        </pic:nvPicPr>
                        <pic:blipFill>
                          <a:blip r:embed="rId53">
                            <a:extLst>
                              <a:ext uri="{96DAC541-7B7A-43D3-8B79-37D633B846F1}">
                                <asvg:svgBlip xmlns:asvg="http://schemas.microsoft.com/office/drawing/2016/SVG/main" r:embed="rId54"/>
                              </a:ext>
                            </a:extLst>
                          </a:blip>
                          <a:stretch>
                            <a:fillRect/>
                          </a:stretch>
                        </pic:blipFill>
                        <pic:spPr bwMode="auto">
                          <a:xfrm>
                            <a:off x="0" y="0"/>
                            <a:ext cx="8229600" cy="4629150"/>
                          </a:xfrm>
                          <a:prstGeom prst="rect">
                            <a:avLst/>
                          </a:prstGeom>
                          <a:noFill/>
                          <a:ln>
                            <a:noFill/>
                          </a:ln>
                        </pic:spPr>
                      </pic:pic>
                    </a:graphicData>
                  </a:graphic>
                </wp:inline>
              </w:drawing>
            </w:r>
          </w:p>
          <w:p w14:paraId="6AF59747" w14:textId="77777777" w:rsidR="007C4598" w:rsidRDefault="00000000">
            <w:pPr>
              <w:spacing w:before="40" w:after="200"/>
              <w:jc w:val="center"/>
            </w:pPr>
            <w:r>
              <w:rPr>
                <w:i/>
                <w:color w:val="2E5A8F"/>
                <w:sz w:val="16"/>
                <w:szCs w:val="16"/>
              </w:rPr>
              <w:t>Fig. 7.6 — La distribuzione del costo diretto lungo la cascata. Elaborazione dello studio · Luigi De Michele · Giugno 2026.</w:t>
            </w:r>
          </w:p>
        </w:tc>
      </w:tr>
    </w:tbl>
    <w:p w14:paraId="69A5CA3E" w14:textId="77777777" w:rsidR="007C4598" w:rsidRDefault="007C4598"/>
    <w:p w14:paraId="184CA277" w14:textId="77777777" w:rsidR="007C4598" w:rsidRDefault="00000000">
      <w:pPr>
        <w:pStyle w:val="Titolo3"/>
        <w:spacing w:before="200" w:after="100"/>
      </w:pPr>
      <w:r>
        <w:rPr>
          <w:color w:val="16264B"/>
          <w:sz w:val="22"/>
          <w:szCs w:val="22"/>
        </w:rPr>
        <w:t>7.5.7  La sintesi per scenario e il significato dei tre scenari</w:t>
      </w:r>
    </w:p>
    <w:p w14:paraId="4F015EF6" w14:textId="77777777" w:rsidR="007C4598" w:rsidRDefault="007C4598"/>
    <w:p w14:paraId="02A4D1E5" w14:textId="77777777" w:rsidR="007C4598" w:rsidRDefault="00000000">
      <w:pPr>
        <w:jc w:val="both"/>
      </w:pPr>
      <w:r>
        <w:t>La ricomposizione del costo diretto complessivo nei tre scenari, che la tabella 7.5.3 ha presentato, richiede una precisazione sul significato degli scenari, perché è dal loro corretto intendimento che dipende l’uso appropriato delle stime. I tre scenari non sono tre previsioni di pari probabilità, tra le quali il decisore debba scegliere, ma tre configurazioni del programma che esplorano lo spazio delle ipotesi contrattuali e di dimensionamento, e di cui lo scenario centrale costituisce il riferimento per la decisione. Lo scenario centrale assume una buona implementazione del programma, con un dimensionamento adeguato e un modello contrattuale misto, ed è il riferimento prudenziale, perché incorpora ipotesi realistiche senza eccessi di ottimismo né di pessimismo.</w:t>
      </w:r>
    </w:p>
    <w:p w14:paraId="0814FF75" w14:textId="77777777" w:rsidR="007C4598" w:rsidRDefault="007C4598"/>
    <w:p w14:paraId="2898E700" w14:textId="77777777" w:rsidR="007C4598" w:rsidRDefault="00000000">
      <w:pPr>
        <w:jc w:val="both"/>
      </w:pPr>
      <w:r>
        <w:t>Lo scenario conservativo assume le ipotesi prudenzialmente più onerose — un maggiore numero di sedute per ciclo, un costo unitario più elevato, un dimensionamento al limite superiore e un modello contrattuale di maggiore ricorso alla dipendenza — e colloca il costo diretto complessivo lordo dell’ordine di cinquantaquattro milioni e quattrocentomila euro annui a regime. Esso non è la previsione più probabile, ma la verifica della tenuta del programma nell’ipotesi più onerosa, e la sua funzione è di accertare che il programma resti sostenibile anche nelle condizioni meno favorevoli. Lo scenario espansivo assume le ipotesi di maggiore efficienza — un minore numero di sedute per ciclo, un costo unitario più contenuto, un dimensionamento efficiente e un modello prevalentemente convenzionale — e colloca il costo diretto complessivo lordo dell’ordine di trentasei milioni e mezzo di euro annui a regime. Esso non è la previsione più ottimistica da assumere, ma la misura del costo nell’ipotesi di massima efficienza, e la sua funzione è di indicare il limite inferiore del costo nelle condizioni più favorevoli.</w:t>
      </w:r>
    </w:p>
    <w:p w14:paraId="0CE2BE04" w14:textId="77777777" w:rsidR="007C4598" w:rsidRDefault="007C4598"/>
    <w:p w14:paraId="71A04D92" w14:textId="77777777" w:rsidR="007C4598" w:rsidRDefault="00000000">
      <w:pPr>
        <w:jc w:val="both"/>
      </w:pPr>
      <w:r>
        <w:t>L’ampiezza tra lo scenario conservativo e lo scenario espansivo, dell’ordine di diciotto milioni di euro annui a regime, misura l’incertezza configurazionale del costo diretto, ossia la sensibilità del costo alle ipotesi contrattuali e di dimensionamento. Questa ampiezza, che la Parte undicesima sottoporrà all’analisi di sensibilità probabilistica, non è un difetto della stima, ma la sua corretta rappresentazione, perché il costo diretto dipende effettivamente da ipotesi che possono variare, e la sua espressione in forma di scenari, anziché di un valore puntuale, è ciò che il rigore impone. La trattazione adotta lo scenario centrale come riferimento, ne presenta la banda prudenziale di quarantaquattro-quarantasette milioni, e segnala l’ampiezza configurazionale di trentasei-cinquantaquattro milioni come misura dell’incertezza che la Parte undicesima approfondirà.</w:t>
      </w:r>
    </w:p>
    <w:p w14:paraId="2DCCBF62" w14:textId="77777777" w:rsidR="007C4598" w:rsidRDefault="007C4598"/>
    <w:p w14:paraId="22D6CC86" w14:textId="77777777" w:rsidR="007C4598" w:rsidRDefault="00000000">
      <w:pPr>
        <w:pStyle w:val="Titolo3"/>
        <w:spacing w:before="200" w:after="100"/>
      </w:pPr>
      <w:r>
        <w:rPr>
          <w:color w:val="16264B"/>
          <w:sz w:val="22"/>
          <w:szCs w:val="22"/>
        </w:rPr>
        <w:t>7.5.8  La previsione falsificabile sul costo diretto complessivo e il rinvio alla valutazione economica integrata</w:t>
      </w:r>
    </w:p>
    <w:p w14:paraId="2570F3D1" w14:textId="77777777" w:rsidR="007C4598" w:rsidRDefault="007C4598"/>
    <w:p w14:paraId="7946692C" w14:textId="77777777" w:rsidR="007C4598" w:rsidRDefault="00000000">
      <w:pPr>
        <w:jc w:val="both"/>
      </w:pPr>
      <w:r>
        <w:t xml:space="preserve">La ricostruzione del costo diretto complessivo perviene alla previsione falsificabile che la chiude e che le Parti undicesima e quindicesima sottoporranno a verifica. A regime e a piena copertura, il costo diretto complessivo lordo del programma integrato non dovrebbe eccedere i cinquantaquattro milioni e mezzo di euro annui nello scenario prudenzialmente più oneroso, né collocarsi al di sotto dei trentasei milioni e mezzo nello scenario efficiente, e dovrebbe attestarsi attorno al valore centrale di quarantacinque milioni e duecentomila euro, all’interno di una banda prudenziale di quarantaquattro-quarantasette milioni; il costo diretto complessivo netto, scomputato l’effetto di autofinanziamento, dovrebbe collocarsi attorno al valore centrale di quarantatré milioni e novecentomila euro. Nel profilo temporale, il costo diretto complessivo dovrebbe collocarsi dell’ordine di ventidue milioni nel primo anno, comprensivo del </w:t>
      </w:r>
      <w:proofErr w:type="spellStart"/>
      <w:r>
        <w:t>sovraccosto</w:t>
      </w:r>
      <w:proofErr w:type="spellEnd"/>
      <w:r>
        <w:t xml:space="preserve"> una tantum, e crescere progressivamente fino al valore a regime entro il quinto anno. La previsione è enunciata in forma di banda e di profilo, con indicazione degli estremi di confutazione, e sarà verificata sui dati effettivi della spesa del Servizio Sanitario Regionale, distintamente per il costo a regime e per il profilo di avvio, in coerenza con il vincolo di falsificabilità che governa l’opera.</w:t>
      </w:r>
    </w:p>
    <w:p w14:paraId="1D3DAB6E" w14:textId="77777777" w:rsidR="007C4598" w:rsidRDefault="007C4598"/>
    <w:p w14:paraId="61E66AC2" w14:textId="77777777" w:rsidR="007C4598" w:rsidRDefault="00000000">
      <w:pPr>
        <w:jc w:val="both"/>
      </w:pPr>
      <w:r>
        <w:t>Il costo diretto complessivo che la presente Parte ha ricostruito è una grandezza di costo, e il suo significato pieno si manifesta soltanto quando esso sia composto con i risparmi diretti e con i benefici indiretti nel saldo economico della riforma. La presente Parte ha mantenuto, per scelta metodologica e in ossequio alla separazione tra le categorie, il costo diretto distinto dai risparmi e dai benefici, ricostruendolo come grandezza autonoma; e il suo rinvio alla valutazione economica integrata della Parte decima è la condizione perché esso assuma il proprio significato decisionale. La Parte ottava quantificherà i risparmi diretti che il costo diretto genera sul bilancio sanitario regionale; la Parte nona quantificherà i costi e i benefici indiretti lungo il perimetro multidisciplinare integrale; e la Parte decima comporrà il costo diretto, i risparmi diretti e i benefici indiretti nel saldo economico consolidato, applicando l’analisi di impatto di bilancio e gli altri strumenti della valutazione economica, mantenute distinte le grandezze dirette dalle indirette e le ricadute fiscali dalle sociali.</w:t>
      </w:r>
      <w:r>
        <w:rPr>
          <w:color w:val="555555"/>
          <w:sz w:val="16"/>
          <w:szCs w:val="16"/>
          <w:vertAlign w:val="superscript"/>
        </w:rPr>
        <w:t>[23]</w:t>
      </w:r>
    </w:p>
    <w:p w14:paraId="5F9A7F79" w14:textId="77777777" w:rsidR="007C4598" w:rsidRDefault="007C4598"/>
    <w:p w14:paraId="45192D7B" w14:textId="77777777" w:rsidR="007C4598" w:rsidRDefault="00000000">
      <w:pPr>
        <w:jc w:val="both"/>
      </w:pPr>
      <w:r>
        <w:t>La Parte settima si chiude perciò con la consegna, alla valutazione economica integrata, di un costo diretto complessivo rigorosamente ricostruito: distinto per scenario, proiettato nel tempo, distribuito lungo la cascata delle figure, presentato al lordo e al netto dell’effetto di autofinanziamento, e corredato delle bande prudenziali e delle previsioni falsificabili che l’opera richiede. Questo costo diretto è la prima delle tre grandezze che compongono il saldo della riforma, e la sua determinazione rigorosa, mantenuta distinta dalle altre due, è la condizione perché il saldo sia attendibile. Il quadro conclusivo economico-sociale e multidisciplinare integrale che segue ricompone i risultati della presente Parte nella loro portata complessiva, e la conclusione ne trae le implicazioni per la rinegoziazione integrale dei costi diretti che la Parte ha condotto.</w:t>
      </w:r>
    </w:p>
    <w:p w14:paraId="71F2B06E" w14:textId="77777777" w:rsidR="007C4598" w:rsidRDefault="007C4598"/>
    <w:p w14:paraId="0667699F" w14:textId="77777777" w:rsidR="007C4598" w:rsidRDefault="00000000">
      <w:pPr>
        <w:pStyle w:val="Titolo2"/>
        <w:spacing w:before="200" w:after="100"/>
      </w:pPr>
      <w:r>
        <w:rPr>
          <w:sz w:val="22"/>
          <w:szCs w:val="22"/>
        </w:rPr>
        <w:t>Quadro conclusivo economico-sociale e multidisciplinare integrale</w:t>
      </w:r>
    </w:p>
    <w:p w14:paraId="484B9D67" w14:textId="77777777" w:rsidR="007C4598" w:rsidRDefault="007C4598"/>
    <w:p w14:paraId="17E24B71" w14:textId="77777777" w:rsidR="007C4598" w:rsidRDefault="00000000">
      <w:pPr>
        <w:jc w:val="both"/>
      </w:pPr>
      <w:r>
        <w:t>La Parte settima ha condotto la rinegoziazione integrale dei costi diretti dell’introduzione del Servizio di Psicologia di Base in Puglia, e perviene a un quadro che ne ricompone i risultati nella loro portata economica, sociale e multidisciplinare. Il quadro che segue non ripete le stime delle sezioni, ma ne dichiara il significato complessivo, collocando il costo diretto nel disegno dell’opera e nel rapporto con le grandezze che le Parti successive ricostruiranno. Esso è la lettura d’insieme di un risultato che le sezioni hanno costruito analiticamente, e la sua funzione è di mostrare come le quattro componenti del costo diretto — il personale, la struttura e il coordinamento, la leva digitale e l’Intelligenza Artificiale, la formazione — compongano un’unica grandezza coerente, e come questa grandezza, pur essendo di costo, sia il fondamento da cui muovono i benefici che la riforma propaga lungo la cascata delle figure e lungo il perimetro multidisciplinare integrale.</w:t>
      </w:r>
    </w:p>
    <w:p w14:paraId="5F74EB6A" w14:textId="77777777" w:rsidR="007C4598" w:rsidRDefault="007C4598"/>
    <w:p w14:paraId="237838A5" w14:textId="77777777" w:rsidR="007C4598" w:rsidRDefault="00000000">
      <w:pPr>
        <w:jc w:val="both"/>
      </w:pPr>
      <w:r>
        <w:t xml:space="preserve">Il risultato economico della Parte è il costo diretto complessivo del programma integrato, che si colloca nello scenario centrale e a regime dell’ordine di quarantacinque milioni e duecentomila euro annui al lordo, e di quarantatré milioni e novecentomila euro al netto dell’effetto di autofinanziamento della leva digitale. Attorno a questo valore centrale, la banda prudenziale dello scenario di riferimento si estende tra quarantaquattro e quarantasette milioni di euro annui, mentre l’ampiezza tra gli scenari, che misura l’incertezza configurazionale, si estende tra trentasei milioni e mezzo nello scenario efficiente e cinquantaquattro milioni e quattrocentomila euro nello scenario prudenzialmente più oneroso. Il costo diretto presenta inoltre un profilo temporale che ne accompagna la crescita con l’estensione del servizio, dall’ordine di ventidue milioni nel primo anno, comprensivo del </w:t>
      </w:r>
      <w:proofErr w:type="spellStart"/>
      <w:r>
        <w:t>sovraccosto</w:t>
      </w:r>
      <w:proofErr w:type="spellEnd"/>
      <w:r>
        <w:t xml:space="preserve"> una tantum di prima implementazione, fino al valore a regime raggiunto entro il quinto anno. Questo è il costo che il Servizio Sanitario Regionale sostiene per la riforma, ed è una grandezza di costo, distinta dai risparmi e dai benefici che le Parti ottava e nona quantificheranno.</w:t>
      </w:r>
    </w:p>
    <w:p w14:paraId="5621E470" w14:textId="77777777" w:rsidR="007C4598" w:rsidRDefault="007C4598"/>
    <w:p w14:paraId="6D457600" w14:textId="77777777" w:rsidR="007C4598" w:rsidRDefault="00000000">
      <w:pPr>
        <w:jc w:val="both"/>
      </w:pPr>
      <w:r>
        <w:t>La composizione del costo diretto rivela la natura della riforma. Il modello base, costituito dal personale e dai costi di struttura e coordinamento, ne rappresenta dell’ordine dell’ottantotto per cento, confermando che il costo della riforma è in misura preponderante il costo del tempo qualificato delle figure che la realizzano, e segnatamente dello Psicologo di Base, che ne è l’apice. La formazione ne rappresenta dell’ordine del nove per cento, confermando il rilievo del pilastro che sostiene la competenza clinica, organizzativa, relazionale e digitale del personale, considerato nelle sue quattro modalità singole e nella loro combinazione. La leva digitale e l’Intelligenza Artificiale ne rappresenta, al lordo, dell’ordine del tre per cento, e al netto dell’</w:t>
      </w:r>
      <w:proofErr w:type="spellStart"/>
      <w:r>
        <w:t>efficientamento</w:t>
      </w:r>
      <w:proofErr w:type="spellEnd"/>
      <w:r>
        <w:t xml:space="preserve"> gestionale che essa stessa produce, un valore prossimo allo zero: la sua posizione, sul versante dei costi come su quello dell’architettura, è quella di uno strumento subordinato che accresce la funzionalità della figura a un onere netto trascurabile, e non quella di un oggetto centrale dell’analisi. La composizione del costo conferma perciò, nel linguaggio delle grandezze economiche, il posizionamento che l’opera ha stabilito sin dalla Parte prima.</w:t>
      </w:r>
    </w:p>
    <w:p w14:paraId="1CCCCB9F" w14:textId="77777777" w:rsidR="007C4598" w:rsidRDefault="007C4598"/>
    <w:p w14:paraId="77AC62B5" w14:textId="77777777" w:rsidR="007C4598" w:rsidRDefault="00000000">
      <w:pPr>
        <w:jc w:val="both"/>
      </w:pPr>
      <w:r>
        <w:t xml:space="preserve">La lettura del costo diretto secondo la cascata gerarchica piramidale costituisce il portato strutturale della Parte. Il costo di cassa si concentra nell’apice, dove lo Psicologo di Base, con il personale di supporto e la supervisione clinica, rappresenta oltre tre quarti del costo diretto complessivo, e decresce lungo la discesa verso la base, fino ad annullarsi per gli attori istituzionali del quarto livello, che gravano sul bilancio solo per la quota di </w:t>
      </w:r>
      <w:proofErr w:type="spellStart"/>
      <w:r>
        <w:t>governance</w:t>
      </w:r>
      <w:proofErr w:type="spellEnd"/>
      <w:r>
        <w:t xml:space="preserve"> e coordinamento, e per gli attori extra-sanitari del quinto livello — l’INPS, l’INAIL, il sistema giudiziario, le imprese, le organizzazioni sindacali, le università e il terzo settore — che non gravano affatto sul bilancio sanitario, perché si collocano interamente sul versante dei benefici. Questa distribuzione del costo è il rovescio speculare della cascata dei benefici: il costo si concentra dove risiede il nucleo del servizio, e i benefici si propagano da quel nucleo verso le figure e i domini della base. È precisamente l’apice che genera il costo a originare i benefici che si diffondono, e questa relazione tra la concentrazione del costo e la propagazione dei benefici costituisce il fondamento economico della convenienza della riforma, che la Parte decima dimostrerà componendo le due grandezze.</w:t>
      </w:r>
    </w:p>
    <w:p w14:paraId="2B53B2B1" w14:textId="77777777" w:rsidR="007C4598" w:rsidRDefault="007C4598"/>
    <w:p w14:paraId="44FAEA38" w14:textId="77777777" w:rsidR="007C4598" w:rsidRDefault="00000000">
      <w:pPr>
        <w:jc w:val="both"/>
      </w:pPr>
      <w:r>
        <w:t xml:space="preserve">La portata multidisciplinare integrale del costo diretto si coglie precisamente in questa relazione tra l’apice e la base. Il costo diretto è una grandezza concentrata nel dominio sanitario, dove il servizio è erogato e il personale è retribuito; ma esso è il seme di ricadute che attraversano l’intero perimetro multidisciplinare integrale, e che la Parte nona ricostruirà dominio per dominio. Il tempo clinico dello Psicologo di Base, che la presente Parte ha contabilizzato come costo, è la condizione di benefici che si manifestano nel dominio lavorativo, attraverso la riduzione dell’assenteismo e del </w:t>
      </w:r>
      <w:proofErr w:type="spellStart"/>
      <w:r>
        <w:t>presenteismo</w:t>
      </w:r>
      <w:proofErr w:type="spellEnd"/>
      <w:r>
        <w:t xml:space="preserve">; nel dominio pensionistico, attraverso la riduzione dell’inabilità e del pensionamento anticipato per cause psichiche; nel dominio produttivistico, attraverso il recupero di capacità produttiva; nel dominio assistenzialistico, attraverso l’alleggerimento del carico dei familiari che assistono; nel dominio </w:t>
      </w:r>
      <w:proofErr w:type="spellStart"/>
      <w:r>
        <w:t>welfaristico</w:t>
      </w:r>
      <w:proofErr w:type="spellEnd"/>
      <w:r>
        <w:t xml:space="preserve">, attraverso la riduzione della spesa per sussidi e indennità; nel dominio </w:t>
      </w:r>
      <w:proofErr w:type="spellStart"/>
      <w:r>
        <w:t>prevenzionalistico</w:t>
      </w:r>
      <w:proofErr w:type="spellEnd"/>
      <w:r>
        <w:t xml:space="preserve">, attraverso le cronicizzazioni e le ricadute evitate; nel dominio criminologico, attraverso la riduzione della relazione tra disagio non trattato e devianza; nel dominio burocratico, attraverso la semplificazione degli adempimenti; nel dominio culturale, attraverso la </w:t>
      </w:r>
      <w:proofErr w:type="spellStart"/>
      <w:r>
        <w:t>destigmatizzazione</w:t>
      </w:r>
      <w:proofErr w:type="spellEnd"/>
      <w:r>
        <w:t xml:space="preserve"> e l’alfabetizzazione psicologica; nel dominio pedagogico e scolastico, attraverso la riduzione della dispersione e il benessere degli studenti; e nei domini accademico, industriale, sindacale, antropologico, sociale e finanziario, ciascuno dei quali la Parte nona percorrerà. Il costo diretto, concentrato nel dominio sanitario, è dunque l’investimento da cui muove un beneficio multidisciplinare integrale, e la sua corretta determinazione è la condizione perché quel beneficio sia misurabile.</w:t>
      </w:r>
    </w:p>
    <w:p w14:paraId="68F84FD7" w14:textId="77777777" w:rsidR="007C4598" w:rsidRDefault="007C4598"/>
    <w:p w14:paraId="191BE1B8" w14:textId="77777777" w:rsidR="007C4598" w:rsidRDefault="00000000">
      <w:pPr>
        <w:jc w:val="both"/>
      </w:pPr>
      <w:r>
        <w:t>La lettura sociale del costo diretto ne completa il significato. Il costo che la presente Parte ha ricostruito non è una spesa che si esaurisce nel proprio esercizio, ma un investimento la cui contropartita è la qualità della vita delle persone che il servizio prende in carico, la tenuta dei bilanci regionali che i risparmi e i benefici alleggeriscono, l’efficienza della burocrazia che la riforma semplifica e la sostenibilità dei sistemi sanitari regionali che l’integrazione rafforza. Queste contropartite, che la Parte undicesima tradurrà in previsioni falsificabili, sono il termine ultimo della rinegoziazione: il costo diretto si giustifica non per la propria entità, che è contenuta in rapporto al bilancio sanitario regionale, ma per la sua capacità di generare, lungo la cascata e lungo il perimetro multidisciplinare, benefici che lo eccedono. La Parte settima ha determinato il costo; le Parti successive ne dimostreranno la contropartita; e il quadro che qui si chiude ha mostrato che l’una cosa e l’altra sono legate dalla medesima architettura, quella che muove dall’apice e si propaga verso la base.</w:t>
      </w:r>
    </w:p>
    <w:p w14:paraId="5DAF17EC" w14:textId="77777777" w:rsidR="007C4598" w:rsidRDefault="007C4598"/>
    <w:p w14:paraId="2135AEE6" w14:textId="77777777" w:rsidR="007C4598" w:rsidRDefault="00000000">
      <w:pPr>
        <w:jc w:val="both"/>
      </w:pPr>
      <w:r>
        <w:t xml:space="preserve">Sul piano del metodo, la Parte ha mantenuto per intero i vincoli invarianti che l’opera impone. La separazione tra le grandezze dirette e indirette e tra le ricadute fiscali e sociali è stata osservata rigorosamente, e il costo diretto è stato ricostruito come grandezza autonoma, distinta dai risparmi e dai benefici e non con essi aggregata. Il principio di non duplicazione ha governato la somma delle quattro componenti, sommate tra loro disgiunte senza imputare due volte la medesima risorsa, e ha governato la distinzione tra il costo di cassa e il costo-opportunità, registrato separatamente nella prospettiva sociale. Le stime sono state espresse in bande prudenziali e per scenari, in coerenza con la guida alla prudenza e con la correzione per l’ottimismo, e sono state chiuse da previsioni falsificabili, corredate degli estremi di confutazione. L’evidenza, comprese quelle relativa agli strumenti digitali e all’Intelligenza Artificiale, è stata graduata con il medesimo rigore applicato alle affermazioni cliniche. Il </w:t>
      </w:r>
      <w:proofErr w:type="spellStart"/>
      <w:r>
        <w:t>caveat</w:t>
      </w:r>
      <w:proofErr w:type="spellEnd"/>
      <w:r>
        <w:t xml:space="preserve"> dell’IMPACT trial, secondo cui i risparmi sanitari diretti non raggiungono isolatamente la significatività statistica, è stato preservato come avvertenza che governerà la lettura dei risparmi nella Parte ottava. La rinegoziazione dei costi diretti è stata perciò condotta entro la disciplina metodologica che fonda l’attendibilità dell’intera opera.</w:t>
      </w:r>
    </w:p>
    <w:p w14:paraId="23837231" w14:textId="77777777" w:rsidR="007C4598" w:rsidRDefault="007C4598"/>
    <w:p w14:paraId="04C083F7" w14:textId="77777777" w:rsidR="007C4598" w:rsidRDefault="00000000">
      <w:pPr>
        <w:jc w:val="both"/>
      </w:pPr>
      <w:r>
        <w:t>Il quadro conclusivo della Parte settima consegna dunque alla valutazione economica integrata la prima delle tre grandezze che compongono il saldo della riforma: un costo diretto complessivo rigorosamente determinato, distinto per scenario, proiettato nel tempo, distribuito lungo la cascata delle figure, presentato al lordo e al netto dell’autofinanziamento, e corredato delle bande e delle previsioni che l’opera richiede. Questo costo, concentrato nel dominio sanitario e nell’apice della cascata, è il fondamento economico da cui muovono i risparmi diretti che la Parte ottava quantificherà, i benefici indiretti che la Parte nona ricostruirà lungo il perimetro multidisciplinare integrale, e il saldo consolidato che la Parte decima comporrà. La sua determinazione rigorosa, mantenuta distinta dalle altre grandezze, è la condizione perché il saldo sia attendibile e perché la rinegoziazione integrale dei costi e dei benefici, che è il mandato dell’opera, poggi su un fondamento solido.</w:t>
      </w:r>
    </w:p>
    <w:p w14:paraId="68935D1D" w14:textId="77777777" w:rsidR="007C4598" w:rsidRDefault="007C4598"/>
    <w:p w14:paraId="78681F30" w14:textId="77777777" w:rsidR="007C4598" w:rsidRDefault="00000000">
      <w:pPr>
        <w:pStyle w:val="Titolo2"/>
        <w:spacing w:before="200" w:after="100"/>
      </w:pPr>
      <w:r>
        <w:rPr>
          <w:sz w:val="22"/>
          <w:szCs w:val="22"/>
        </w:rPr>
        <w:t>Conclusione</w:t>
      </w:r>
    </w:p>
    <w:p w14:paraId="4D8165BB" w14:textId="77777777" w:rsidR="007C4598" w:rsidRDefault="007C4598"/>
    <w:p w14:paraId="782882FC" w14:textId="77777777" w:rsidR="007C4598" w:rsidRDefault="00000000">
      <w:pPr>
        <w:jc w:val="both"/>
      </w:pPr>
      <w:r>
        <w:t xml:space="preserve">La Parte settima ha assolto il compito che le era proprio nell’architettura dell’opera: ricostruire e rinegoziare, lungo l’intera cascata delle figure e secondo il perimetro multidisciplinare integrale, i costi diretti dell’introduzione del Servizio di Psicologia di Base in Puglia. Essa ha ricostruito il costo del personale a partire dall’apice e dalla domanda di salute, distinguendo le classi di imputazione secondo il regime di retribuzione delle figure; ha ricostruito i costi di struttura, coordinamento e organizzazione, distinguendo il costo incrementale dalla quota assorbita dalla dotazione territoriale esistente; ha ricostruito il costo della leva digitale e dell’Intelligenza Artificiale, isolandone l’incremento e quantificandone l’effetto di autofinanziamento; ha ricostruito il costo della formazione nelle sue quattro modalità, considerate sia singolarmente sia nella loro combinazione, e ne ha stimato il ritorno secondo i modelli di </w:t>
      </w:r>
      <w:proofErr w:type="spellStart"/>
      <w:r>
        <w:t>Kirkpatrick</w:t>
      </w:r>
      <w:proofErr w:type="spellEnd"/>
      <w:r>
        <w:t xml:space="preserve"> e Phillips; e ha ricomposto le quattro componenti nel costo diretto complessivo, distinto per scenario, proiettato nel tempo e distribuito lungo la cascata.</w:t>
      </w:r>
    </w:p>
    <w:p w14:paraId="4535E566" w14:textId="77777777" w:rsidR="007C4598" w:rsidRDefault="007C4598"/>
    <w:p w14:paraId="3FAE4A74" w14:textId="77777777" w:rsidR="007C4598" w:rsidRDefault="00000000">
      <w:pPr>
        <w:jc w:val="both"/>
      </w:pPr>
      <w:r>
        <w:t>Il risultato è un costo diretto complessivo che si colloca, nello scenario centrale e a regime, dell’ordine di quarantacinque milioni e duecentomila euro annui al lordo e di quarantatré milioni e novecentomila euro al netto dell’autofinanziamento, con una banda prudenziale di quarantaquattro-quarantasette milioni e un’ampiezza tra gli scenari di trentasei-cinquantaquattro milioni. Questo costo è concentrato nell’apice della cascata, dove lo Psicologo di Base rappresenta oltre tre quarti del totale, e decresce verso la base, annullandosi per gli attori che si collocano sul versante dei benefici. La sua determinazione rigorosa, condotta nel rispetto dei vincoli invarianti dell’opera, costituisce il fondamento da cui muoveranno le Parti successive.</w:t>
      </w:r>
    </w:p>
    <w:p w14:paraId="1C6B1A29" w14:textId="77777777" w:rsidR="007C4598" w:rsidRDefault="007C4598"/>
    <w:p w14:paraId="53D75E73" w14:textId="77777777" w:rsidR="007C4598" w:rsidRDefault="00000000">
      <w:pPr>
        <w:jc w:val="both"/>
      </w:pPr>
      <w:r>
        <w:t xml:space="preserve">La Parte ha mostrato, attraverso la rinegoziazione dei costi diretti, una verità che le Parti successive svilupperanno: che il costo della riforma, pur reale e da sostenere, è contenuto in rapporto al bilancio sanitario regionale e alla portata dei benefici che esso origina, ed è strutturato in modo da accompagnare con la propria crescita l’estensione del servizio e la maturazione dei suoi effetti. Il costo si concentra dove risiede il valore — nell’apice, nello Psicologo di Base, nel tempo clinico qualificato — e da quel punto di concentrazione si propagano i benefici che attraversano la cascata delle figure e il perimetro multidisciplinare integrale, dal dominio sanitario ai domini lavorativo, pensionistico, produttivistico, assistenzialistico, </w:t>
      </w:r>
      <w:proofErr w:type="spellStart"/>
      <w:r>
        <w:t>welfaristico</w:t>
      </w:r>
      <w:proofErr w:type="spellEnd"/>
      <w:r>
        <w:t xml:space="preserve">, </w:t>
      </w:r>
      <w:proofErr w:type="spellStart"/>
      <w:r>
        <w:t>prevenzionalistico</w:t>
      </w:r>
      <w:proofErr w:type="spellEnd"/>
      <w:r>
        <w:t>, criminologico, burocratico, culturale, pedagogico, accademico, industriale, sindacale, antropologico, sociale e finanziario.</w:t>
      </w:r>
    </w:p>
    <w:p w14:paraId="084F4D87" w14:textId="77777777" w:rsidR="007C4598" w:rsidRDefault="007C4598"/>
    <w:p w14:paraId="655DEF29" w14:textId="77777777" w:rsidR="007C4598" w:rsidRDefault="00000000">
      <w:pPr>
        <w:jc w:val="both"/>
      </w:pPr>
      <w:r>
        <w:t xml:space="preserve">La rinegoziazione dei costi diretti che la Parte ha condotto non è dunque un esercizio contabile fine a sé stesso, ma il primo movimento di una dimostrazione più ampia, che le Parti ottava, nona e decima porteranno a compimento. La Parte ottava quantificherà i risparmi diretti che il costo genera sul bilancio sanitario regionale, preservando il </w:t>
      </w:r>
      <w:proofErr w:type="spellStart"/>
      <w:r>
        <w:t>caveat</w:t>
      </w:r>
      <w:proofErr w:type="spellEnd"/>
      <w:r>
        <w:t xml:space="preserve"> sulla loro significatività statistica e la regola di non duplicazione. La Parte nona ricostruirà i costi e i benefici indiretti lungo il perimetro multidisciplinare integrale, dominio per dominio, con l’aggregazione prudenziale che mantiene distinti i benefici indiretti dai risparmi diretti. La Parte decima comporrà il costo diretto, i risparmi diretti e i benefici indiretti nel saldo economico consolidato, applicando l’analisi di impatto di bilancio e gli altri strumenti della valutazione economica, e mantenendo distinte, fino all’ultimo, le grandezze dirette dalle indirette e le ricadute fiscali dalle sociali.</w:t>
      </w:r>
    </w:p>
    <w:p w14:paraId="5FACDDCC" w14:textId="77777777" w:rsidR="007C4598" w:rsidRDefault="007C4598"/>
    <w:p w14:paraId="05C5B627" w14:textId="77777777" w:rsidR="007C4598" w:rsidRDefault="00000000">
      <w:pPr>
        <w:jc w:val="both"/>
      </w:pPr>
      <w:r>
        <w:t>Con la determinazione del costo diretto complessivo, la Parte settima consegna all’opera la prima delle grandezze del saldo, ricostruita con il rigore che il mandato richiede. La rinegoziazione integrale dei costi e dei benefici, che è il fine dello studio, dispone ora del proprio fondamento di costo; e su questo fondamento, mantenuto distinto dalle grandezze che seguiranno, potrà edificarsi la dimostrazione della convenienza economica, sociale e multidisciplinare integrale della riforma del Servizio di Psicologia di Base in Puglia. La Parte ottava muove da qui, dal versante dei risparmi diretti, per proseguire la rinegoziazione che la presente Parte ha aperto.</w:t>
      </w:r>
    </w:p>
    <w:p w14:paraId="0CE99DE2" w14:textId="77777777" w:rsidR="007C4598" w:rsidRDefault="007C4598"/>
    <w:p w14:paraId="795AA4EA" w14:textId="77777777" w:rsidR="007C4598" w:rsidRDefault="00000000">
      <w:pPr>
        <w:pStyle w:val="Titolo2"/>
        <w:spacing w:before="200" w:after="100"/>
      </w:pPr>
      <w:r>
        <w:rPr>
          <w:sz w:val="22"/>
          <w:szCs w:val="22"/>
        </w:rPr>
        <w:t>Note bibliografiche integrali</w:t>
      </w:r>
    </w:p>
    <w:p w14:paraId="25759F98" w14:textId="77777777" w:rsidR="007C4598" w:rsidRDefault="007C4598"/>
    <w:p w14:paraId="2C7843FD" w14:textId="77777777" w:rsidR="007C4598" w:rsidRDefault="00000000">
      <w:pPr>
        <w:jc w:val="both"/>
      </w:pPr>
      <w:r>
        <w:t>Le note bibliografiche integrali raccolgono le fonti distinte richiamate nel corso della Parte settima, ordinate secondo la prima comparsa nel testo e numerate in modo autonomo rispetto ai richiami a piè di pagina, i quali, secondo l’ordinaria numerazione progressiva per occorrenza, ricompaiono con numeri diversi a ogni nuova citazione della medesima fonte. Per ciascuna fonte è qui riportato il nome completo del riferimento, un mini-riassunto che ne dichiara il contributo allo studio e il collegamento alla risorsa. I collegamenti rinviano agli identificativi permanenti dell’oggetto digitale, ove disponibili, e ai portali ufficiali degli enti o degli editori negli altri casi. Le fonti di seguito elencate costituiscono l’apparato documentale della rinegoziazione dei costi diretti, e la loro graduazione di evidenza, per le fonti cliniche e per quelle relative agli strumenti digitali e all’Intelligenza Artificiale, è quella dichiarata nel corpo della Parte.</w:t>
      </w:r>
    </w:p>
    <w:p w14:paraId="1CD51C7A" w14:textId="77777777" w:rsidR="007C4598" w:rsidRDefault="007C4598"/>
    <w:p w14:paraId="36B22673" w14:textId="77777777" w:rsidR="007C4598" w:rsidRDefault="00000000">
      <w:pPr>
        <w:jc w:val="both"/>
      </w:pPr>
      <w:r>
        <w:rPr>
          <w:b/>
          <w:bCs/>
        </w:rPr>
        <w:t xml:space="preserve">[1]  </w:t>
      </w:r>
      <w:proofErr w:type="spellStart"/>
      <w:r>
        <w:rPr>
          <w:b/>
          <w:bCs/>
        </w:rPr>
        <w:t>Chisholm</w:t>
      </w:r>
      <w:proofErr w:type="spellEnd"/>
      <w:r>
        <w:rPr>
          <w:b/>
          <w:bCs/>
        </w:rPr>
        <w:t xml:space="preserve"> D., </w:t>
      </w:r>
      <w:proofErr w:type="spellStart"/>
      <w:r>
        <w:rPr>
          <w:b/>
          <w:bCs/>
        </w:rPr>
        <w:t>Sweeny</w:t>
      </w:r>
      <w:proofErr w:type="spellEnd"/>
      <w:r>
        <w:rPr>
          <w:b/>
          <w:bCs/>
        </w:rPr>
        <w:t xml:space="preserve"> K., </w:t>
      </w:r>
      <w:proofErr w:type="spellStart"/>
      <w:r>
        <w:rPr>
          <w:b/>
          <w:bCs/>
        </w:rPr>
        <w:t>Sheehan</w:t>
      </w:r>
      <w:proofErr w:type="spellEnd"/>
      <w:r>
        <w:rPr>
          <w:b/>
          <w:bCs/>
        </w:rPr>
        <w:t xml:space="preserve"> P. et al., «</w:t>
      </w:r>
      <w:proofErr w:type="spellStart"/>
      <w:r>
        <w:rPr>
          <w:b/>
          <w:bCs/>
        </w:rPr>
        <w:t>Scaling</w:t>
      </w:r>
      <w:proofErr w:type="spellEnd"/>
      <w:r>
        <w:rPr>
          <w:b/>
          <w:bCs/>
        </w:rPr>
        <w:t xml:space="preserve">-up treatment of </w:t>
      </w:r>
      <w:proofErr w:type="spellStart"/>
      <w:r>
        <w:rPr>
          <w:b/>
          <w:bCs/>
        </w:rPr>
        <w:t>depression</w:t>
      </w:r>
      <w:proofErr w:type="spellEnd"/>
      <w:r>
        <w:rPr>
          <w:b/>
          <w:bCs/>
        </w:rPr>
        <w:t xml:space="preserve"> and </w:t>
      </w:r>
      <w:proofErr w:type="spellStart"/>
      <w:r>
        <w:rPr>
          <w:b/>
          <w:bCs/>
        </w:rPr>
        <w:t>anxiety</w:t>
      </w:r>
      <w:proofErr w:type="spellEnd"/>
      <w:r>
        <w:rPr>
          <w:b/>
          <w:bCs/>
        </w:rPr>
        <w:t xml:space="preserve">: a global </w:t>
      </w:r>
      <w:proofErr w:type="spellStart"/>
      <w:r>
        <w:rPr>
          <w:b/>
          <w:bCs/>
        </w:rPr>
        <w:t>return</w:t>
      </w:r>
      <w:proofErr w:type="spellEnd"/>
      <w:r>
        <w:rPr>
          <w:b/>
          <w:bCs/>
        </w:rPr>
        <w:t xml:space="preserve"> on </w:t>
      </w:r>
      <w:proofErr w:type="spellStart"/>
      <w:r>
        <w:rPr>
          <w:b/>
          <w:bCs/>
        </w:rPr>
        <w:t>investment</w:t>
      </w:r>
      <w:proofErr w:type="spellEnd"/>
      <w:r>
        <w:rPr>
          <w:b/>
          <w:bCs/>
        </w:rPr>
        <w:t xml:space="preserve"> </w:t>
      </w:r>
      <w:proofErr w:type="spellStart"/>
      <w:r>
        <w:rPr>
          <w:b/>
          <w:bCs/>
        </w:rPr>
        <w:t>analysis</w:t>
      </w:r>
      <w:proofErr w:type="spellEnd"/>
      <w:r>
        <w:rPr>
          <w:b/>
          <w:bCs/>
        </w:rPr>
        <w:t xml:space="preserve">», The Lancet </w:t>
      </w:r>
      <w:proofErr w:type="spellStart"/>
      <w:r>
        <w:rPr>
          <w:b/>
          <w:bCs/>
        </w:rPr>
        <w:t>Psychiatry</w:t>
      </w:r>
      <w:proofErr w:type="spellEnd"/>
      <w:r>
        <w:rPr>
          <w:b/>
          <w:bCs/>
        </w:rPr>
        <w:t>, vol. 3, n. 5, 2016, pp. 415-424.</w:t>
      </w:r>
      <w:r>
        <w:t xml:space="preserve">  —  Stima del ritorno economico globale degli investimenti nel trattamento di depressione e ansia. Fonte degli intervalli invarianti adottati dall’opera, compresi tra 2,3 e 3,0 a 1 per i soli benefici economici e tra 3,3 e 5,7 a 1 con l’inclusione dei ritorni in salute.</w:t>
      </w:r>
    </w:p>
    <w:p w14:paraId="6B79D11B" w14:textId="77777777" w:rsidR="007C4598" w:rsidRDefault="007C4598"/>
    <w:p w14:paraId="3B57F604" w14:textId="77777777" w:rsidR="007C4598" w:rsidRDefault="00000000">
      <w:pPr>
        <w:jc w:val="both"/>
      </w:pPr>
      <w:r>
        <w:rPr>
          <w:i/>
          <w:iCs/>
        </w:rPr>
        <w:t xml:space="preserve">Collegamento: </w:t>
      </w:r>
      <w:r>
        <w:t>https://doi.org/10.1016/S2215-0366(16)30024-4</w:t>
      </w:r>
    </w:p>
    <w:p w14:paraId="3885BF03" w14:textId="77777777" w:rsidR="007C4598" w:rsidRDefault="007C4598"/>
    <w:p w14:paraId="7DFD9B78" w14:textId="77777777" w:rsidR="007C4598" w:rsidRDefault="00000000">
      <w:pPr>
        <w:jc w:val="both"/>
      </w:pPr>
      <w:r>
        <w:rPr>
          <w:b/>
          <w:bCs/>
        </w:rPr>
        <w:t xml:space="preserve">[2]  </w:t>
      </w:r>
      <w:proofErr w:type="spellStart"/>
      <w:r>
        <w:rPr>
          <w:b/>
          <w:bCs/>
        </w:rPr>
        <w:t>Unützer</w:t>
      </w:r>
      <w:proofErr w:type="spellEnd"/>
      <w:r>
        <w:rPr>
          <w:b/>
          <w:bCs/>
        </w:rPr>
        <w:t xml:space="preserve"> J., </w:t>
      </w:r>
      <w:proofErr w:type="spellStart"/>
      <w:r>
        <w:rPr>
          <w:b/>
          <w:bCs/>
        </w:rPr>
        <w:t>Katon</w:t>
      </w:r>
      <w:proofErr w:type="spellEnd"/>
      <w:r>
        <w:rPr>
          <w:b/>
          <w:bCs/>
        </w:rPr>
        <w:t xml:space="preserve"> W., </w:t>
      </w:r>
      <w:proofErr w:type="spellStart"/>
      <w:r>
        <w:rPr>
          <w:b/>
          <w:bCs/>
        </w:rPr>
        <w:t>Callahan</w:t>
      </w:r>
      <w:proofErr w:type="spellEnd"/>
      <w:r>
        <w:rPr>
          <w:b/>
          <w:bCs/>
        </w:rPr>
        <w:t xml:space="preserve"> C.M. et al., «Collaborative care management of late-life </w:t>
      </w:r>
      <w:proofErr w:type="spellStart"/>
      <w:r>
        <w:rPr>
          <w:b/>
          <w:bCs/>
        </w:rPr>
        <w:t>depression</w:t>
      </w:r>
      <w:proofErr w:type="spellEnd"/>
      <w:r>
        <w:rPr>
          <w:b/>
          <w:bCs/>
        </w:rPr>
        <w:t xml:space="preserve"> in the </w:t>
      </w:r>
      <w:proofErr w:type="spellStart"/>
      <w:r>
        <w:rPr>
          <w:b/>
          <w:bCs/>
        </w:rPr>
        <w:t>primary</w:t>
      </w:r>
      <w:proofErr w:type="spellEnd"/>
      <w:r>
        <w:rPr>
          <w:b/>
          <w:bCs/>
        </w:rPr>
        <w:t xml:space="preserve"> care </w:t>
      </w:r>
      <w:proofErr w:type="spellStart"/>
      <w:r>
        <w:rPr>
          <w:b/>
          <w:bCs/>
        </w:rPr>
        <w:t>setting</w:t>
      </w:r>
      <w:proofErr w:type="spellEnd"/>
      <w:r>
        <w:rPr>
          <w:b/>
          <w:bCs/>
        </w:rPr>
        <w:t>» (studio IMPACT), JAMA, vol. 288, n. 22, 2002, pp. 2836-2845.</w:t>
      </w:r>
      <w:r>
        <w:t xml:space="preserve">  —  Sperimentazione di riferimento dell’assistenza collaborativa nelle cure primarie. Fonte del </w:t>
      </w:r>
      <w:proofErr w:type="spellStart"/>
      <w:r>
        <w:t>caveat</w:t>
      </w:r>
      <w:proofErr w:type="spellEnd"/>
      <w:r>
        <w:t xml:space="preserve"> invariante secondo cui i risparmi sui costi sanitari diretti, considerati isolatamente, non raggiungono la significatività statistica.</w:t>
      </w:r>
    </w:p>
    <w:p w14:paraId="05425271" w14:textId="77777777" w:rsidR="007C4598" w:rsidRDefault="007C4598"/>
    <w:p w14:paraId="5C6178AA" w14:textId="77777777" w:rsidR="007C4598" w:rsidRDefault="00000000">
      <w:pPr>
        <w:jc w:val="both"/>
      </w:pPr>
      <w:r>
        <w:rPr>
          <w:i/>
          <w:iCs/>
        </w:rPr>
        <w:t xml:space="preserve">Collegamento: </w:t>
      </w:r>
      <w:r>
        <w:t>https://doi.org/10.1001/jama.288.22.2836</w:t>
      </w:r>
    </w:p>
    <w:p w14:paraId="225EF3C4" w14:textId="77777777" w:rsidR="007C4598" w:rsidRDefault="007C4598"/>
    <w:p w14:paraId="2FBA7029" w14:textId="77777777" w:rsidR="007C4598" w:rsidRDefault="00000000">
      <w:pPr>
        <w:jc w:val="both"/>
      </w:pPr>
      <w:r>
        <w:rPr>
          <w:b/>
          <w:bCs/>
        </w:rPr>
        <w:t xml:space="preserve">[3]  HM </w:t>
      </w:r>
      <w:proofErr w:type="spellStart"/>
      <w:r>
        <w:rPr>
          <w:b/>
          <w:bCs/>
        </w:rPr>
        <w:t>Treasury</w:t>
      </w:r>
      <w:proofErr w:type="spellEnd"/>
      <w:r>
        <w:rPr>
          <w:b/>
          <w:bCs/>
        </w:rPr>
        <w:t xml:space="preserve">, The Green Book: Central </w:t>
      </w:r>
      <w:proofErr w:type="spellStart"/>
      <w:r>
        <w:rPr>
          <w:b/>
          <w:bCs/>
        </w:rPr>
        <w:t>Government</w:t>
      </w:r>
      <w:proofErr w:type="spellEnd"/>
      <w:r>
        <w:rPr>
          <w:b/>
          <w:bCs/>
        </w:rPr>
        <w:t xml:space="preserve"> </w:t>
      </w:r>
      <w:proofErr w:type="spellStart"/>
      <w:r>
        <w:rPr>
          <w:b/>
          <w:bCs/>
        </w:rPr>
        <w:t>Guidance</w:t>
      </w:r>
      <w:proofErr w:type="spellEnd"/>
      <w:r>
        <w:rPr>
          <w:b/>
          <w:bCs/>
        </w:rPr>
        <w:t xml:space="preserve"> on </w:t>
      </w:r>
      <w:proofErr w:type="spellStart"/>
      <w:r>
        <w:rPr>
          <w:b/>
          <w:bCs/>
        </w:rPr>
        <w:t>Appraisal</w:t>
      </w:r>
      <w:proofErr w:type="spellEnd"/>
      <w:r>
        <w:rPr>
          <w:b/>
          <w:bCs/>
        </w:rPr>
        <w:t xml:space="preserve"> and Evaluation, Londra, edizione vigente.</w:t>
      </w:r>
      <w:r>
        <w:t xml:space="preserve">  —  Guida metodologica alla valutazione degli investimenti pubblici del governo britannico. Richiamata per il principio di prudenza e per la correzione sistematica dell’ottimismo nelle stime di costo.</w:t>
      </w:r>
    </w:p>
    <w:p w14:paraId="1E6D9316" w14:textId="77777777" w:rsidR="007C4598" w:rsidRDefault="007C4598"/>
    <w:p w14:paraId="6CB083B0" w14:textId="77777777" w:rsidR="007C4598" w:rsidRDefault="00000000">
      <w:pPr>
        <w:jc w:val="both"/>
      </w:pPr>
      <w:r>
        <w:rPr>
          <w:i/>
          <w:iCs/>
        </w:rPr>
        <w:t xml:space="preserve">Collegamento: </w:t>
      </w:r>
      <w:r>
        <w:t>https://www.gov.uk/government/publications/the-green-book-appraisal-and-evaluation-in-central-government</w:t>
      </w:r>
    </w:p>
    <w:p w14:paraId="4AB8E8D4" w14:textId="77777777" w:rsidR="007C4598" w:rsidRDefault="007C4598"/>
    <w:p w14:paraId="32C8EA74" w14:textId="77777777" w:rsidR="007C4598" w:rsidRDefault="00000000">
      <w:pPr>
        <w:jc w:val="both"/>
      </w:pPr>
      <w:r>
        <w:rPr>
          <w:b/>
          <w:bCs/>
        </w:rPr>
        <w:t>[4]  Regolamento (UE) 2024/1689 del Parlamento europeo e del Consiglio, che stabilisce regole armonizzate sull’intelligenza artificiale (</w:t>
      </w:r>
      <w:proofErr w:type="spellStart"/>
      <w:r>
        <w:rPr>
          <w:b/>
          <w:bCs/>
        </w:rPr>
        <w:t>Artificial</w:t>
      </w:r>
      <w:proofErr w:type="spellEnd"/>
      <w:r>
        <w:rPr>
          <w:b/>
          <w:bCs/>
        </w:rPr>
        <w:t xml:space="preserve"> Intelligence </w:t>
      </w:r>
      <w:proofErr w:type="spellStart"/>
      <w:r>
        <w:rPr>
          <w:b/>
          <w:bCs/>
        </w:rPr>
        <w:t>Act</w:t>
      </w:r>
      <w:proofErr w:type="spellEnd"/>
      <w:r>
        <w:rPr>
          <w:b/>
          <w:bCs/>
        </w:rPr>
        <w:t>).</w:t>
      </w:r>
      <w:r>
        <w:t xml:space="preserve">  —  Quadro normativo europeo sull’intelligenza artificiale. Governa la classificazione del rischio e gli obblighi di conformità degli strumenti di Intelligenza Artificiale impiegati nel servizio.</w:t>
      </w:r>
    </w:p>
    <w:p w14:paraId="60D72B05" w14:textId="77777777" w:rsidR="007C4598" w:rsidRDefault="007C4598"/>
    <w:p w14:paraId="399A5893" w14:textId="77777777" w:rsidR="007C4598" w:rsidRDefault="00000000">
      <w:pPr>
        <w:jc w:val="both"/>
      </w:pPr>
      <w:r>
        <w:rPr>
          <w:i/>
          <w:iCs/>
        </w:rPr>
        <w:t xml:space="preserve">Collegamento: </w:t>
      </w:r>
      <w:r>
        <w:t>https://eur-lex.europa.eu/eli/reg/2024/1689/oj</w:t>
      </w:r>
    </w:p>
    <w:p w14:paraId="7144DF9C" w14:textId="77777777" w:rsidR="007C4598" w:rsidRDefault="007C4598"/>
    <w:p w14:paraId="7A434633" w14:textId="77777777" w:rsidR="007C4598" w:rsidRDefault="00000000">
      <w:pPr>
        <w:jc w:val="both"/>
      </w:pPr>
      <w:r>
        <w:rPr>
          <w:b/>
          <w:bCs/>
        </w:rPr>
        <w:t xml:space="preserve">[5]  </w:t>
      </w:r>
      <w:proofErr w:type="spellStart"/>
      <w:r>
        <w:rPr>
          <w:b/>
          <w:bCs/>
        </w:rPr>
        <w:t>Husereau</w:t>
      </w:r>
      <w:proofErr w:type="spellEnd"/>
      <w:r>
        <w:rPr>
          <w:b/>
          <w:bCs/>
        </w:rPr>
        <w:t xml:space="preserve"> D., </w:t>
      </w:r>
      <w:proofErr w:type="spellStart"/>
      <w:r>
        <w:rPr>
          <w:b/>
          <w:bCs/>
        </w:rPr>
        <w:t>Drummond</w:t>
      </w:r>
      <w:proofErr w:type="spellEnd"/>
      <w:r>
        <w:rPr>
          <w:b/>
          <w:bCs/>
        </w:rPr>
        <w:t xml:space="preserve"> M., </w:t>
      </w:r>
      <w:proofErr w:type="spellStart"/>
      <w:r>
        <w:rPr>
          <w:b/>
          <w:bCs/>
        </w:rPr>
        <w:t>Augustovski</w:t>
      </w:r>
      <w:proofErr w:type="spellEnd"/>
      <w:r>
        <w:rPr>
          <w:b/>
          <w:bCs/>
        </w:rPr>
        <w:t xml:space="preserve"> F. et al., «</w:t>
      </w:r>
      <w:proofErr w:type="spellStart"/>
      <w:r>
        <w:rPr>
          <w:b/>
          <w:bCs/>
        </w:rPr>
        <w:t>Consolidated</w:t>
      </w:r>
      <w:proofErr w:type="spellEnd"/>
      <w:r>
        <w:rPr>
          <w:b/>
          <w:bCs/>
        </w:rPr>
        <w:t xml:space="preserve"> </w:t>
      </w:r>
      <w:proofErr w:type="spellStart"/>
      <w:r>
        <w:rPr>
          <w:b/>
          <w:bCs/>
        </w:rPr>
        <w:t>Health</w:t>
      </w:r>
      <w:proofErr w:type="spellEnd"/>
      <w:r>
        <w:rPr>
          <w:b/>
          <w:bCs/>
        </w:rPr>
        <w:t xml:space="preserve"> </w:t>
      </w:r>
      <w:proofErr w:type="spellStart"/>
      <w:r>
        <w:rPr>
          <w:b/>
          <w:bCs/>
        </w:rPr>
        <w:t>Economic</w:t>
      </w:r>
      <w:proofErr w:type="spellEnd"/>
      <w:r>
        <w:rPr>
          <w:b/>
          <w:bCs/>
        </w:rPr>
        <w:t xml:space="preserve"> Evaluation Reporting </w:t>
      </w:r>
      <w:proofErr w:type="spellStart"/>
      <w:r>
        <w:rPr>
          <w:b/>
          <w:bCs/>
        </w:rPr>
        <w:t>Standards</w:t>
      </w:r>
      <w:proofErr w:type="spellEnd"/>
      <w:r>
        <w:rPr>
          <w:b/>
          <w:bCs/>
        </w:rPr>
        <w:t xml:space="preserve"> 2022 (CHEERS 2022)», Value in </w:t>
      </w:r>
      <w:proofErr w:type="spellStart"/>
      <w:r>
        <w:rPr>
          <w:b/>
          <w:bCs/>
        </w:rPr>
        <w:t>Health</w:t>
      </w:r>
      <w:proofErr w:type="spellEnd"/>
      <w:r>
        <w:rPr>
          <w:b/>
          <w:bCs/>
        </w:rPr>
        <w:t>, vol. 25, n. 1, 2022.</w:t>
      </w:r>
      <w:r>
        <w:t xml:space="preserve">  —  Standard internazionale di rendicontazione delle valutazioni economiche in sanità. Telaio formale adottato dall’opera per la trasparenza e la verificabilità delle stime.</w:t>
      </w:r>
    </w:p>
    <w:p w14:paraId="01E90D57" w14:textId="77777777" w:rsidR="007C4598" w:rsidRDefault="007C4598"/>
    <w:p w14:paraId="64B16AFD" w14:textId="77777777" w:rsidR="007C4598" w:rsidRDefault="00000000">
      <w:pPr>
        <w:jc w:val="both"/>
      </w:pPr>
      <w:r>
        <w:rPr>
          <w:i/>
          <w:iCs/>
        </w:rPr>
        <w:t xml:space="preserve">Collegamento: </w:t>
      </w:r>
      <w:r>
        <w:t>https://doi.org/10.1016/j.jval.2021.11.1351</w:t>
      </w:r>
    </w:p>
    <w:p w14:paraId="05626872" w14:textId="77777777" w:rsidR="007C4598" w:rsidRDefault="007C4598"/>
    <w:p w14:paraId="2B4DA38C" w14:textId="77777777" w:rsidR="007C4598" w:rsidRDefault="00000000">
      <w:pPr>
        <w:jc w:val="both"/>
      </w:pPr>
      <w:r>
        <w:rPr>
          <w:b/>
          <w:bCs/>
        </w:rPr>
        <w:t xml:space="preserve">[6]  </w:t>
      </w:r>
      <w:proofErr w:type="spellStart"/>
      <w:r>
        <w:rPr>
          <w:b/>
          <w:bCs/>
        </w:rPr>
        <w:t>Drummond</w:t>
      </w:r>
      <w:proofErr w:type="spellEnd"/>
      <w:r>
        <w:rPr>
          <w:b/>
          <w:bCs/>
        </w:rPr>
        <w:t xml:space="preserve"> M.F., </w:t>
      </w:r>
      <w:proofErr w:type="spellStart"/>
      <w:r>
        <w:rPr>
          <w:b/>
          <w:bCs/>
        </w:rPr>
        <w:t>Sculpher</w:t>
      </w:r>
      <w:proofErr w:type="spellEnd"/>
      <w:r>
        <w:rPr>
          <w:b/>
          <w:bCs/>
        </w:rPr>
        <w:t xml:space="preserve"> M.J., </w:t>
      </w:r>
      <w:proofErr w:type="spellStart"/>
      <w:r>
        <w:rPr>
          <w:b/>
          <w:bCs/>
        </w:rPr>
        <w:t>Claxton</w:t>
      </w:r>
      <w:proofErr w:type="spellEnd"/>
      <w:r>
        <w:rPr>
          <w:b/>
          <w:bCs/>
        </w:rPr>
        <w:t xml:space="preserve"> K. et al., </w:t>
      </w:r>
      <w:proofErr w:type="spellStart"/>
      <w:r>
        <w:rPr>
          <w:b/>
          <w:bCs/>
        </w:rPr>
        <w:t>Methods</w:t>
      </w:r>
      <w:proofErr w:type="spellEnd"/>
      <w:r>
        <w:rPr>
          <w:b/>
          <w:bCs/>
        </w:rPr>
        <w:t xml:space="preserve"> for the </w:t>
      </w:r>
      <w:proofErr w:type="spellStart"/>
      <w:r>
        <w:rPr>
          <w:b/>
          <w:bCs/>
        </w:rPr>
        <w:t>Economic</w:t>
      </w:r>
      <w:proofErr w:type="spellEnd"/>
      <w:r>
        <w:rPr>
          <w:b/>
          <w:bCs/>
        </w:rPr>
        <w:t xml:space="preserve"> Evaluation of </w:t>
      </w:r>
      <w:proofErr w:type="spellStart"/>
      <w:r>
        <w:rPr>
          <w:b/>
          <w:bCs/>
        </w:rPr>
        <w:t>Health</w:t>
      </w:r>
      <w:proofErr w:type="spellEnd"/>
      <w:r>
        <w:rPr>
          <w:b/>
          <w:bCs/>
        </w:rPr>
        <w:t xml:space="preserve"> Care </w:t>
      </w:r>
      <w:proofErr w:type="spellStart"/>
      <w:r>
        <w:rPr>
          <w:b/>
          <w:bCs/>
        </w:rPr>
        <w:t>Programmes</w:t>
      </w:r>
      <w:proofErr w:type="spellEnd"/>
      <w:r>
        <w:rPr>
          <w:b/>
          <w:bCs/>
        </w:rPr>
        <w:t xml:space="preserve">, IV ed., Oxford </w:t>
      </w:r>
      <w:proofErr w:type="spellStart"/>
      <w:r>
        <w:rPr>
          <w:b/>
          <w:bCs/>
        </w:rPr>
        <w:t>University</w:t>
      </w:r>
      <w:proofErr w:type="spellEnd"/>
      <w:r>
        <w:rPr>
          <w:b/>
          <w:bCs/>
        </w:rPr>
        <w:t xml:space="preserve"> Press, Oxford, 2015 (ISBN 978-0-19-966587-7).</w:t>
      </w:r>
      <w:r>
        <w:t xml:space="preserve">  —  Trattato di riferimento dei metodi di valutazione economica in sanità. Fonte delle tecniche di analisi dei costi, di attualizzazione e di confronto tra alternative impiegate nella Parte.</w:t>
      </w:r>
    </w:p>
    <w:p w14:paraId="5C880C4C" w14:textId="77777777" w:rsidR="007C4598" w:rsidRDefault="007C4598"/>
    <w:p w14:paraId="6A4CA2AA" w14:textId="77777777" w:rsidR="007C4598" w:rsidRDefault="00000000">
      <w:pPr>
        <w:jc w:val="both"/>
      </w:pPr>
      <w:r>
        <w:rPr>
          <w:i/>
          <w:iCs/>
        </w:rPr>
        <w:t xml:space="preserve">Collegamento: </w:t>
      </w:r>
      <w:r>
        <w:t>https://global.oup.com/academic/product/9780199665877</w:t>
      </w:r>
    </w:p>
    <w:p w14:paraId="1909328B" w14:textId="77777777" w:rsidR="007C4598" w:rsidRDefault="007C4598"/>
    <w:p w14:paraId="10E4CFB9" w14:textId="77777777" w:rsidR="007C4598" w:rsidRDefault="00000000">
      <w:pPr>
        <w:jc w:val="both"/>
      </w:pPr>
      <w:r>
        <w:rPr>
          <w:b/>
          <w:bCs/>
        </w:rPr>
        <w:t>[7]  Legge Regionale della Puglia n. 11 del 2023, recante l’istituzione del Servizio di Psicologia di Base.</w:t>
      </w:r>
      <w:r>
        <w:t xml:space="preserve">  —  Base normativa regionale della riforma. Istituisce il Servizio di Psicologia di Base in Puglia e ne fonda il perimetro istituzionale e organizzativo.</w:t>
      </w:r>
    </w:p>
    <w:p w14:paraId="35019BCA" w14:textId="77777777" w:rsidR="007C4598" w:rsidRDefault="007C4598"/>
    <w:p w14:paraId="19C254F9" w14:textId="77777777" w:rsidR="007C4598" w:rsidRDefault="00000000">
      <w:pPr>
        <w:jc w:val="both"/>
      </w:pPr>
      <w:r>
        <w:rPr>
          <w:i/>
          <w:iCs/>
        </w:rPr>
        <w:t xml:space="preserve">Collegamento: </w:t>
      </w:r>
      <w:r>
        <w:t>Bollettino Ufficiale della Regione Puglia — portale normativo: https://www.consiglio.puglia.it</w:t>
      </w:r>
    </w:p>
    <w:p w14:paraId="4F429DF6" w14:textId="77777777" w:rsidR="007C4598" w:rsidRDefault="007C4598"/>
    <w:p w14:paraId="49B2C779" w14:textId="77777777" w:rsidR="007C4598" w:rsidRDefault="00000000">
      <w:pPr>
        <w:jc w:val="both"/>
      </w:pPr>
      <w:r>
        <w:rPr>
          <w:b/>
          <w:bCs/>
        </w:rPr>
        <w:t>[8]  Istituto Nazionale di Statistica (ISTAT), banche dati demografiche, sanitarie ed economiche.</w:t>
      </w:r>
      <w:r>
        <w:t xml:space="preserve">  —  Fonte ufficiale dei dati demografici, sociali ed economici regionali. Base della ricostruzione del contesto e dei parametri di dimensionamento del servizio.</w:t>
      </w:r>
    </w:p>
    <w:p w14:paraId="6A9B5661" w14:textId="77777777" w:rsidR="007C4598" w:rsidRDefault="007C4598"/>
    <w:p w14:paraId="644DB6E1" w14:textId="77777777" w:rsidR="007C4598" w:rsidRDefault="00000000">
      <w:pPr>
        <w:jc w:val="both"/>
      </w:pPr>
      <w:r>
        <w:rPr>
          <w:i/>
          <w:iCs/>
        </w:rPr>
        <w:t xml:space="preserve">Collegamento: </w:t>
      </w:r>
      <w:r>
        <w:t>https://www.istat.it</w:t>
      </w:r>
    </w:p>
    <w:p w14:paraId="146DC84E" w14:textId="77777777" w:rsidR="007C4598" w:rsidRDefault="007C4598"/>
    <w:p w14:paraId="52AA27C2" w14:textId="77777777" w:rsidR="007C4598" w:rsidRDefault="00000000">
      <w:pPr>
        <w:jc w:val="both"/>
      </w:pPr>
      <w:r>
        <w:rPr>
          <w:b/>
          <w:bCs/>
        </w:rPr>
        <w:t>[9]  Accordo Collettivo Nazionale (ACN) per la disciplina dei rapporti con i medici di medicina generale.</w:t>
      </w:r>
      <w:r>
        <w:t xml:space="preserve">  —  Cornice contrattuale della medicina generale convenzionata. Riferimento per i modelli di rapporto e per il costo del personale convenzionato lungo la cascata.</w:t>
      </w:r>
    </w:p>
    <w:p w14:paraId="64C42BFE" w14:textId="77777777" w:rsidR="007C4598" w:rsidRDefault="007C4598"/>
    <w:p w14:paraId="54D8AC67" w14:textId="77777777" w:rsidR="007C4598" w:rsidRDefault="00000000">
      <w:pPr>
        <w:jc w:val="both"/>
      </w:pPr>
      <w:r>
        <w:rPr>
          <w:i/>
          <w:iCs/>
        </w:rPr>
        <w:t xml:space="preserve">Collegamento: </w:t>
      </w:r>
      <w:r>
        <w:t>Struttura Interregionale Sanitari Convenzionati (SISAC): https://www.sisac.info</w:t>
      </w:r>
    </w:p>
    <w:p w14:paraId="175AD24C" w14:textId="77777777" w:rsidR="007C4598" w:rsidRDefault="007C4598"/>
    <w:p w14:paraId="12427026" w14:textId="77777777" w:rsidR="007C4598" w:rsidRDefault="00000000">
      <w:pPr>
        <w:jc w:val="both"/>
      </w:pPr>
      <w:r>
        <w:rPr>
          <w:b/>
          <w:bCs/>
        </w:rPr>
        <w:t>[10]  Contratto Collettivo Nazionale di Lavoro del Comparto Sanità.</w:t>
      </w:r>
      <w:r>
        <w:t xml:space="preserve">  —  Cornice retributiva del personale dipendente del Servizio Sanitario. Riferimento per la quantificazione del costo del personale in regime di dipendenza.</w:t>
      </w:r>
    </w:p>
    <w:p w14:paraId="19D520AC" w14:textId="77777777" w:rsidR="007C4598" w:rsidRDefault="007C4598"/>
    <w:p w14:paraId="2053292C" w14:textId="77777777" w:rsidR="007C4598" w:rsidRDefault="00000000">
      <w:pPr>
        <w:jc w:val="both"/>
      </w:pPr>
      <w:r>
        <w:rPr>
          <w:i/>
          <w:iCs/>
        </w:rPr>
        <w:t xml:space="preserve">Collegamento: </w:t>
      </w:r>
      <w:r>
        <w:t>Agenzia per la Rappresentanza Negoziale delle Pubbliche Amministrazioni (ARAN): https://www.aranagenzia.it</w:t>
      </w:r>
    </w:p>
    <w:p w14:paraId="315F49C9" w14:textId="77777777" w:rsidR="007C4598" w:rsidRDefault="007C4598"/>
    <w:p w14:paraId="2F9E84D4" w14:textId="77777777" w:rsidR="007C4598" w:rsidRDefault="00000000">
      <w:pPr>
        <w:jc w:val="both"/>
      </w:pPr>
      <w:r>
        <w:rPr>
          <w:b/>
          <w:bCs/>
        </w:rPr>
        <w:t xml:space="preserve">[11]  </w:t>
      </w:r>
      <w:proofErr w:type="spellStart"/>
      <w:r>
        <w:rPr>
          <w:b/>
          <w:bCs/>
        </w:rPr>
        <w:t>Koopmanschap</w:t>
      </w:r>
      <w:proofErr w:type="spellEnd"/>
      <w:r>
        <w:rPr>
          <w:b/>
          <w:bCs/>
        </w:rPr>
        <w:t xml:space="preserve"> M.A., </w:t>
      </w:r>
      <w:proofErr w:type="spellStart"/>
      <w:r>
        <w:rPr>
          <w:b/>
          <w:bCs/>
        </w:rPr>
        <w:t>Rutten</w:t>
      </w:r>
      <w:proofErr w:type="spellEnd"/>
      <w:r>
        <w:rPr>
          <w:b/>
          <w:bCs/>
        </w:rPr>
        <w:t xml:space="preserve"> F.F.H., van </w:t>
      </w:r>
      <w:proofErr w:type="spellStart"/>
      <w:r>
        <w:rPr>
          <w:b/>
          <w:bCs/>
        </w:rPr>
        <w:t>Ineveld</w:t>
      </w:r>
      <w:proofErr w:type="spellEnd"/>
      <w:r>
        <w:rPr>
          <w:b/>
          <w:bCs/>
        </w:rPr>
        <w:t xml:space="preserve"> B.M., van </w:t>
      </w:r>
      <w:proofErr w:type="spellStart"/>
      <w:r>
        <w:rPr>
          <w:b/>
          <w:bCs/>
        </w:rPr>
        <w:t>Roijen</w:t>
      </w:r>
      <w:proofErr w:type="spellEnd"/>
      <w:r>
        <w:rPr>
          <w:b/>
          <w:bCs/>
        </w:rPr>
        <w:t xml:space="preserve"> L., «The </w:t>
      </w:r>
      <w:proofErr w:type="spellStart"/>
      <w:r>
        <w:rPr>
          <w:b/>
          <w:bCs/>
        </w:rPr>
        <w:t>friction</w:t>
      </w:r>
      <w:proofErr w:type="spellEnd"/>
      <w:r>
        <w:rPr>
          <w:b/>
          <w:bCs/>
        </w:rPr>
        <w:t xml:space="preserve"> </w:t>
      </w:r>
      <w:proofErr w:type="spellStart"/>
      <w:r>
        <w:rPr>
          <w:b/>
          <w:bCs/>
        </w:rPr>
        <w:t>cost</w:t>
      </w:r>
      <w:proofErr w:type="spellEnd"/>
      <w:r>
        <w:rPr>
          <w:b/>
          <w:bCs/>
        </w:rPr>
        <w:t xml:space="preserve"> </w:t>
      </w:r>
      <w:proofErr w:type="spellStart"/>
      <w:r>
        <w:rPr>
          <w:b/>
          <w:bCs/>
        </w:rPr>
        <w:t>method</w:t>
      </w:r>
      <w:proofErr w:type="spellEnd"/>
      <w:r>
        <w:rPr>
          <w:b/>
          <w:bCs/>
        </w:rPr>
        <w:t xml:space="preserve"> for </w:t>
      </w:r>
      <w:proofErr w:type="spellStart"/>
      <w:r>
        <w:rPr>
          <w:b/>
          <w:bCs/>
        </w:rPr>
        <w:t>measuring</w:t>
      </w:r>
      <w:proofErr w:type="spellEnd"/>
      <w:r>
        <w:rPr>
          <w:b/>
          <w:bCs/>
        </w:rPr>
        <w:t xml:space="preserve"> </w:t>
      </w:r>
      <w:proofErr w:type="spellStart"/>
      <w:r>
        <w:rPr>
          <w:b/>
          <w:bCs/>
        </w:rPr>
        <w:t>indirect</w:t>
      </w:r>
      <w:proofErr w:type="spellEnd"/>
      <w:r>
        <w:rPr>
          <w:b/>
          <w:bCs/>
        </w:rPr>
        <w:t xml:space="preserve"> </w:t>
      </w:r>
      <w:proofErr w:type="spellStart"/>
      <w:r>
        <w:rPr>
          <w:b/>
          <w:bCs/>
        </w:rPr>
        <w:t>costs</w:t>
      </w:r>
      <w:proofErr w:type="spellEnd"/>
      <w:r>
        <w:rPr>
          <w:b/>
          <w:bCs/>
        </w:rPr>
        <w:t xml:space="preserve"> of </w:t>
      </w:r>
      <w:proofErr w:type="spellStart"/>
      <w:r>
        <w:rPr>
          <w:b/>
          <w:bCs/>
        </w:rPr>
        <w:t>disease</w:t>
      </w:r>
      <w:proofErr w:type="spellEnd"/>
      <w:r>
        <w:rPr>
          <w:b/>
          <w:bCs/>
        </w:rPr>
        <w:t xml:space="preserve">», Journal of </w:t>
      </w:r>
      <w:proofErr w:type="spellStart"/>
      <w:r>
        <w:rPr>
          <w:b/>
          <w:bCs/>
        </w:rPr>
        <w:t>Health</w:t>
      </w:r>
      <w:proofErr w:type="spellEnd"/>
      <w:r>
        <w:rPr>
          <w:b/>
          <w:bCs/>
        </w:rPr>
        <w:t xml:space="preserve"> </w:t>
      </w:r>
      <w:proofErr w:type="spellStart"/>
      <w:r>
        <w:rPr>
          <w:b/>
          <w:bCs/>
        </w:rPr>
        <w:t>Economics</w:t>
      </w:r>
      <w:proofErr w:type="spellEnd"/>
      <w:r>
        <w:rPr>
          <w:b/>
          <w:bCs/>
        </w:rPr>
        <w:t>, vol. 14, n. 2, 1995, pp. 171-189.</w:t>
      </w:r>
      <w:r>
        <w:t xml:space="preserve">  —  Esposizione del metodo del costo di frizione per la misurazione dei costi indiretti di malattia. Adottato per la stima prudenziale del costo-opportunità del tempo delle figure già retribuite.</w:t>
      </w:r>
    </w:p>
    <w:p w14:paraId="6F5A8690" w14:textId="77777777" w:rsidR="007C4598" w:rsidRDefault="007C4598"/>
    <w:p w14:paraId="7EE94270" w14:textId="77777777" w:rsidR="007C4598" w:rsidRDefault="00000000">
      <w:pPr>
        <w:jc w:val="both"/>
      </w:pPr>
      <w:r>
        <w:rPr>
          <w:i/>
          <w:iCs/>
        </w:rPr>
        <w:t xml:space="preserve">Collegamento: </w:t>
      </w:r>
      <w:r>
        <w:t>https://doi.org/10.1016/0167-6296(94)00044-5</w:t>
      </w:r>
    </w:p>
    <w:p w14:paraId="55A6B3C1" w14:textId="77777777" w:rsidR="007C4598" w:rsidRDefault="007C4598"/>
    <w:p w14:paraId="774AD0B2" w14:textId="77777777" w:rsidR="007C4598" w:rsidRDefault="00000000">
      <w:pPr>
        <w:jc w:val="both"/>
      </w:pPr>
      <w:r>
        <w:rPr>
          <w:b/>
          <w:bCs/>
        </w:rPr>
        <w:t>[12]  Decreto del Ministro della Salute 23 maggio 2022, n. 77, «Regolamento recante la definizione di modelli e standard per lo sviluppo dell’assistenza territoriale nel Servizio Sanitario Nazionale».</w:t>
      </w:r>
      <w:r>
        <w:t xml:space="preserve">  —  Definisce i modelli e gli standard dell’assistenza territoriale, tra cui le Case della Comunità. Fonda l’integrazione organizzativa entro cui opera lo Psicologo di Base.</w:t>
      </w:r>
    </w:p>
    <w:p w14:paraId="0C3537DA" w14:textId="77777777" w:rsidR="007C4598" w:rsidRDefault="007C4598"/>
    <w:p w14:paraId="70AC4AFC" w14:textId="77777777" w:rsidR="007C4598" w:rsidRDefault="00000000">
      <w:pPr>
        <w:jc w:val="both"/>
      </w:pPr>
      <w:r>
        <w:rPr>
          <w:i/>
          <w:iCs/>
        </w:rPr>
        <w:t xml:space="preserve">Collegamento: </w:t>
      </w:r>
      <w:r>
        <w:t>Gazzetta Ufficiale, Serie Generale n. 144 del 22 giugno 2022: https://www.gazzettaufficiale.it</w:t>
      </w:r>
    </w:p>
    <w:p w14:paraId="1CC58682" w14:textId="77777777" w:rsidR="007C4598" w:rsidRDefault="007C4598"/>
    <w:p w14:paraId="60C5DE59" w14:textId="77777777" w:rsidR="007C4598" w:rsidRDefault="00000000">
      <w:pPr>
        <w:jc w:val="both"/>
      </w:pPr>
      <w:r>
        <w:rPr>
          <w:b/>
          <w:bCs/>
        </w:rPr>
        <w:t xml:space="preserve">[13]  </w:t>
      </w:r>
      <w:proofErr w:type="spellStart"/>
      <w:r>
        <w:rPr>
          <w:b/>
          <w:bCs/>
        </w:rPr>
        <w:t>Archer</w:t>
      </w:r>
      <w:proofErr w:type="spellEnd"/>
      <w:r>
        <w:rPr>
          <w:b/>
          <w:bCs/>
        </w:rPr>
        <w:t xml:space="preserve"> J., </w:t>
      </w:r>
      <w:proofErr w:type="spellStart"/>
      <w:r>
        <w:rPr>
          <w:b/>
          <w:bCs/>
        </w:rPr>
        <w:t>Bower</w:t>
      </w:r>
      <w:proofErr w:type="spellEnd"/>
      <w:r>
        <w:rPr>
          <w:b/>
          <w:bCs/>
        </w:rPr>
        <w:t xml:space="preserve"> P., </w:t>
      </w:r>
      <w:proofErr w:type="spellStart"/>
      <w:r>
        <w:rPr>
          <w:b/>
          <w:bCs/>
        </w:rPr>
        <w:t>Gilbody</w:t>
      </w:r>
      <w:proofErr w:type="spellEnd"/>
      <w:r>
        <w:rPr>
          <w:b/>
          <w:bCs/>
        </w:rPr>
        <w:t xml:space="preserve"> S. et al., «Collaborative care for </w:t>
      </w:r>
      <w:proofErr w:type="spellStart"/>
      <w:r>
        <w:rPr>
          <w:b/>
          <w:bCs/>
        </w:rPr>
        <w:t>depression</w:t>
      </w:r>
      <w:proofErr w:type="spellEnd"/>
      <w:r>
        <w:rPr>
          <w:b/>
          <w:bCs/>
        </w:rPr>
        <w:t xml:space="preserve"> and </w:t>
      </w:r>
      <w:proofErr w:type="spellStart"/>
      <w:r>
        <w:rPr>
          <w:b/>
          <w:bCs/>
        </w:rPr>
        <w:t>anxiety</w:t>
      </w:r>
      <w:proofErr w:type="spellEnd"/>
      <w:r>
        <w:rPr>
          <w:b/>
          <w:bCs/>
        </w:rPr>
        <w:t xml:space="preserve"> </w:t>
      </w:r>
      <w:proofErr w:type="spellStart"/>
      <w:r>
        <w:rPr>
          <w:b/>
          <w:bCs/>
        </w:rPr>
        <w:t>problems</w:t>
      </w:r>
      <w:proofErr w:type="spellEnd"/>
      <w:r>
        <w:rPr>
          <w:b/>
          <w:bCs/>
        </w:rPr>
        <w:t xml:space="preserve">», </w:t>
      </w:r>
      <w:proofErr w:type="spellStart"/>
      <w:r>
        <w:rPr>
          <w:b/>
          <w:bCs/>
        </w:rPr>
        <w:t>Cochrane</w:t>
      </w:r>
      <w:proofErr w:type="spellEnd"/>
      <w:r>
        <w:rPr>
          <w:b/>
          <w:bCs/>
        </w:rPr>
        <w:t xml:space="preserve"> Database of </w:t>
      </w:r>
      <w:proofErr w:type="spellStart"/>
      <w:r>
        <w:rPr>
          <w:b/>
          <w:bCs/>
        </w:rPr>
        <w:t>Systematic</w:t>
      </w:r>
      <w:proofErr w:type="spellEnd"/>
      <w:r>
        <w:rPr>
          <w:b/>
          <w:bCs/>
        </w:rPr>
        <w:t xml:space="preserve"> </w:t>
      </w:r>
      <w:proofErr w:type="spellStart"/>
      <w:r>
        <w:rPr>
          <w:b/>
          <w:bCs/>
        </w:rPr>
        <w:t>Reviews</w:t>
      </w:r>
      <w:proofErr w:type="spellEnd"/>
      <w:r>
        <w:rPr>
          <w:b/>
          <w:bCs/>
        </w:rPr>
        <w:t>, n. CD006525, 2012.</w:t>
      </w:r>
      <w:r>
        <w:t xml:space="preserve">  —  Revisione sistematica </w:t>
      </w:r>
      <w:proofErr w:type="spellStart"/>
      <w:r>
        <w:t>Cochrane</w:t>
      </w:r>
      <w:proofErr w:type="spellEnd"/>
      <w:r>
        <w:t xml:space="preserve"> dell’efficacia dell’assistenza collaborativa per depressione e ansia. Base di evidenza graduata dell’efficacia clinica del modello di integrazione.</w:t>
      </w:r>
    </w:p>
    <w:p w14:paraId="21EFF438" w14:textId="77777777" w:rsidR="007C4598" w:rsidRDefault="007C4598"/>
    <w:p w14:paraId="0D78D3CD" w14:textId="77777777" w:rsidR="007C4598" w:rsidRDefault="00000000">
      <w:pPr>
        <w:jc w:val="both"/>
      </w:pPr>
      <w:r>
        <w:rPr>
          <w:i/>
          <w:iCs/>
        </w:rPr>
        <w:t xml:space="preserve">Collegamento: </w:t>
      </w:r>
      <w:r>
        <w:t>https://doi.org/10.1002/14651858.CD006525.pub2</w:t>
      </w:r>
    </w:p>
    <w:p w14:paraId="6F620F93" w14:textId="77777777" w:rsidR="007C4598" w:rsidRDefault="007C4598"/>
    <w:p w14:paraId="1FFC6BC5" w14:textId="77777777" w:rsidR="007C4598" w:rsidRDefault="00000000">
      <w:pPr>
        <w:jc w:val="both"/>
      </w:pPr>
      <w:r>
        <w:rPr>
          <w:b/>
          <w:bCs/>
        </w:rPr>
        <w:t>[14]  Piano Nazionale di Ripresa e Resilienza (PNRR), Missione 6 — Salute, Componente 1.</w:t>
      </w:r>
      <w:r>
        <w:t xml:space="preserve">  —  Quadro programmatico e di finanziamento del rafforzamento dell’assistenza territoriale. Contesto di copertura e di sostenibilità entro cui si colloca la riforma.</w:t>
      </w:r>
    </w:p>
    <w:p w14:paraId="31BF37AA" w14:textId="77777777" w:rsidR="007C4598" w:rsidRDefault="007C4598"/>
    <w:p w14:paraId="0FC73918" w14:textId="77777777" w:rsidR="007C4598" w:rsidRDefault="00000000">
      <w:pPr>
        <w:jc w:val="both"/>
      </w:pPr>
      <w:r>
        <w:rPr>
          <w:i/>
          <w:iCs/>
        </w:rPr>
        <w:t xml:space="preserve">Collegamento: </w:t>
      </w:r>
      <w:r>
        <w:t>https://www.italiadomani.gov.it</w:t>
      </w:r>
    </w:p>
    <w:p w14:paraId="68E61A5E" w14:textId="77777777" w:rsidR="007C4598" w:rsidRDefault="007C4598"/>
    <w:p w14:paraId="5E8E8162" w14:textId="77777777" w:rsidR="007C4598" w:rsidRDefault="00000000">
      <w:pPr>
        <w:jc w:val="both"/>
      </w:pPr>
      <w:r>
        <w:rPr>
          <w:b/>
          <w:bCs/>
        </w:rPr>
        <w:t xml:space="preserve">[15]  National </w:t>
      </w:r>
      <w:proofErr w:type="spellStart"/>
      <w:r>
        <w:rPr>
          <w:b/>
          <w:bCs/>
        </w:rPr>
        <w:t>Institute</w:t>
      </w:r>
      <w:proofErr w:type="spellEnd"/>
      <w:r>
        <w:rPr>
          <w:b/>
          <w:bCs/>
        </w:rPr>
        <w:t xml:space="preserve"> for </w:t>
      </w:r>
      <w:proofErr w:type="spellStart"/>
      <w:r>
        <w:rPr>
          <w:b/>
          <w:bCs/>
        </w:rPr>
        <w:t>Health</w:t>
      </w:r>
      <w:proofErr w:type="spellEnd"/>
      <w:r>
        <w:rPr>
          <w:b/>
          <w:bCs/>
        </w:rPr>
        <w:t xml:space="preserve"> and Care </w:t>
      </w:r>
      <w:proofErr w:type="spellStart"/>
      <w:r>
        <w:rPr>
          <w:b/>
          <w:bCs/>
        </w:rPr>
        <w:t>Excellence</w:t>
      </w:r>
      <w:proofErr w:type="spellEnd"/>
      <w:r>
        <w:rPr>
          <w:b/>
          <w:bCs/>
        </w:rPr>
        <w:t xml:space="preserve"> (NICE), </w:t>
      </w:r>
      <w:proofErr w:type="spellStart"/>
      <w:r>
        <w:rPr>
          <w:b/>
          <w:bCs/>
        </w:rPr>
        <w:t>Evidence</w:t>
      </w:r>
      <w:proofErr w:type="spellEnd"/>
      <w:r>
        <w:rPr>
          <w:b/>
          <w:bCs/>
        </w:rPr>
        <w:t xml:space="preserve"> </w:t>
      </w:r>
      <w:proofErr w:type="spellStart"/>
      <w:r>
        <w:rPr>
          <w:b/>
          <w:bCs/>
        </w:rPr>
        <w:t>Standards</w:t>
      </w:r>
      <w:proofErr w:type="spellEnd"/>
      <w:r>
        <w:rPr>
          <w:b/>
          <w:bCs/>
        </w:rPr>
        <w:t xml:space="preserve"> Framework for Digital </w:t>
      </w:r>
      <w:proofErr w:type="spellStart"/>
      <w:r>
        <w:rPr>
          <w:b/>
          <w:bCs/>
        </w:rPr>
        <w:t>Health</w:t>
      </w:r>
      <w:proofErr w:type="spellEnd"/>
      <w:r>
        <w:rPr>
          <w:b/>
          <w:bCs/>
        </w:rPr>
        <w:t xml:space="preserve"> Technologies.</w:t>
      </w:r>
      <w:r>
        <w:t xml:space="preserve">  —  Quadro di standard di evidenza per le tecnologie sanitarie digitali. Criterio di graduazione dell’evidenza degli strumenti digitali impiegati nel servizio.</w:t>
      </w:r>
    </w:p>
    <w:p w14:paraId="1C066266" w14:textId="77777777" w:rsidR="007C4598" w:rsidRDefault="007C4598"/>
    <w:p w14:paraId="3BF995B5" w14:textId="77777777" w:rsidR="007C4598" w:rsidRDefault="00000000">
      <w:pPr>
        <w:jc w:val="both"/>
      </w:pPr>
      <w:r>
        <w:rPr>
          <w:i/>
          <w:iCs/>
        </w:rPr>
        <w:t xml:space="preserve">Collegamento: </w:t>
      </w:r>
      <w:r>
        <w:t>https://www.nice.org.uk/about/what-we-do/our-programmes/evidence-standards-framework-for-digital-health-technologies</w:t>
      </w:r>
    </w:p>
    <w:p w14:paraId="70F1127F" w14:textId="77777777" w:rsidR="007C4598" w:rsidRDefault="007C4598"/>
    <w:p w14:paraId="6B5F98DB" w14:textId="77777777" w:rsidR="007C4598" w:rsidRDefault="00000000">
      <w:pPr>
        <w:jc w:val="both"/>
      </w:pPr>
      <w:r>
        <w:rPr>
          <w:b/>
          <w:bCs/>
        </w:rPr>
        <w:t xml:space="preserve">[16]  </w:t>
      </w:r>
      <w:proofErr w:type="spellStart"/>
      <w:r>
        <w:rPr>
          <w:b/>
          <w:bCs/>
        </w:rPr>
        <w:t>Andersson</w:t>
      </w:r>
      <w:proofErr w:type="spellEnd"/>
      <w:r>
        <w:rPr>
          <w:b/>
          <w:bCs/>
        </w:rPr>
        <w:t xml:space="preserve"> G., </w:t>
      </w:r>
      <w:proofErr w:type="spellStart"/>
      <w:r>
        <w:rPr>
          <w:b/>
          <w:bCs/>
        </w:rPr>
        <w:t>Titov</w:t>
      </w:r>
      <w:proofErr w:type="spellEnd"/>
      <w:r>
        <w:rPr>
          <w:b/>
          <w:bCs/>
        </w:rPr>
        <w:t xml:space="preserve"> N., «</w:t>
      </w:r>
      <w:proofErr w:type="spellStart"/>
      <w:r>
        <w:rPr>
          <w:b/>
          <w:bCs/>
        </w:rPr>
        <w:t>Advantages</w:t>
      </w:r>
      <w:proofErr w:type="spellEnd"/>
      <w:r>
        <w:rPr>
          <w:b/>
          <w:bCs/>
        </w:rPr>
        <w:t xml:space="preserve"> and </w:t>
      </w:r>
      <w:proofErr w:type="spellStart"/>
      <w:r>
        <w:rPr>
          <w:b/>
          <w:bCs/>
        </w:rPr>
        <w:t>limitations</w:t>
      </w:r>
      <w:proofErr w:type="spellEnd"/>
      <w:r>
        <w:rPr>
          <w:b/>
          <w:bCs/>
        </w:rPr>
        <w:t xml:space="preserve"> of Internet-</w:t>
      </w:r>
      <w:proofErr w:type="spellStart"/>
      <w:r>
        <w:rPr>
          <w:b/>
          <w:bCs/>
        </w:rPr>
        <w:t>based</w:t>
      </w:r>
      <w:proofErr w:type="spellEnd"/>
      <w:r>
        <w:rPr>
          <w:b/>
          <w:bCs/>
        </w:rPr>
        <w:t xml:space="preserve"> </w:t>
      </w:r>
      <w:proofErr w:type="spellStart"/>
      <w:r>
        <w:rPr>
          <w:b/>
          <w:bCs/>
        </w:rPr>
        <w:t>interventions</w:t>
      </w:r>
      <w:proofErr w:type="spellEnd"/>
      <w:r>
        <w:rPr>
          <w:b/>
          <w:bCs/>
        </w:rPr>
        <w:t xml:space="preserve"> for common </w:t>
      </w:r>
      <w:proofErr w:type="spellStart"/>
      <w:r>
        <w:rPr>
          <w:b/>
          <w:bCs/>
        </w:rPr>
        <w:t>mental</w:t>
      </w:r>
      <w:proofErr w:type="spellEnd"/>
      <w:r>
        <w:rPr>
          <w:b/>
          <w:bCs/>
        </w:rPr>
        <w:t xml:space="preserve"> </w:t>
      </w:r>
      <w:proofErr w:type="spellStart"/>
      <w:r>
        <w:rPr>
          <w:b/>
          <w:bCs/>
        </w:rPr>
        <w:t>disorders</w:t>
      </w:r>
      <w:proofErr w:type="spellEnd"/>
      <w:r>
        <w:rPr>
          <w:b/>
          <w:bCs/>
        </w:rPr>
        <w:t xml:space="preserve">», World </w:t>
      </w:r>
      <w:proofErr w:type="spellStart"/>
      <w:r>
        <w:rPr>
          <w:b/>
          <w:bCs/>
        </w:rPr>
        <w:t>Psychiatry</w:t>
      </w:r>
      <w:proofErr w:type="spellEnd"/>
      <w:r>
        <w:rPr>
          <w:b/>
          <w:bCs/>
        </w:rPr>
        <w:t>, vol. 13, n. 1, 2014, pp. 4-11.</w:t>
      </w:r>
      <w:r>
        <w:t xml:space="preserve">  —  Rassegna dei vantaggi e dei limiti degli interventi psicologici erogati via internet. Base di evidenza graduata della terapia cognitivo-comportamentale digitale.</w:t>
      </w:r>
    </w:p>
    <w:p w14:paraId="4D77FA07" w14:textId="77777777" w:rsidR="007C4598" w:rsidRDefault="007C4598"/>
    <w:p w14:paraId="0EBFAAC0" w14:textId="77777777" w:rsidR="007C4598" w:rsidRDefault="00000000">
      <w:pPr>
        <w:jc w:val="both"/>
      </w:pPr>
      <w:r>
        <w:rPr>
          <w:i/>
          <w:iCs/>
        </w:rPr>
        <w:t xml:space="preserve">Collegamento: </w:t>
      </w:r>
      <w:r>
        <w:t>https://doi.org/10.1002/wps.20083</w:t>
      </w:r>
    </w:p>
    <w:p w14:paraId="6A0630CF" w14:textId="77777777" w:rsidR="007C4598" w:rsidRDefault="007C4598"/>
    <w:p w14:paraId="0A8B63B9" w14:textId="77777777" w:rsidR="007C4598" w:rsidRDefault="00000000">
      <w:pPr>
        <w:jc w:val="both"/>
      </w:pPr>
      <w:r>
        <w:rPr>
          <w:b/>
          <w:bCs/>
        </w:rPr>
        <w:t>[17]  Regolamento (UE) 2016/679 (Regolamento generale sulla protezione dei dati, GDPR).</w:t>
      </w:r>
      <w:r>
        <w:t xml:space="preserve">  —  Quadro normativo europeo sulla protezione dei dati personali. Governa il trattamento dei dati sanitari nel servizio e nei suoi strumenti digitali.</w:t>
      </w:r>
    </w:p>
    <w:p w14:paraId="207D609D" w14:textId="77777777" w:rsidR="007C4598" w:rsidRDefault="007C4598"/>
    <w:p w14:paraId="04F0278D" w14:textId="77777777" w:rsidR="007C4598" w:rsidRDefault="00000000">
      <w:pPr>
        <w:jc w:val="both"/>
      </w:pPr>
      <w:r>
        <w:rPr>
          <w:i/>
          <w:iCs/>
        </w:rPr>
        <w:t xml:space="preserve">Collegamento: </w:t>
      </w:r>
      <w:r>
        <w:t>https://eur-lex.europa.eu/eli/reg/2016/679/oj</w:t>
      </w:r>
    </w:p>
    <w:p w14:paraId="0C2A0EC3" w14:textId="77777777" w:rsidR="007C4598" w:rsidRDefault="007C4598"/>
    <w:p w14:paraId="44850DB4" w14:textId="77777777" w:rsidR="007C4598" w:rsidRDefault="00000000">
      <w:pPr>
        <w:jc w:val="both"/>
      </w:pPr>
      <w:r>
        <w:rPr>
          <w:b/>
          <w:bCs/>
        </w:rPr>
        <w:t>[18]  Regolamenti (UE) 2017/745 (dispositivi medici, MDR) e 2017/746 (dispositivi medico-diagnostici in vitro, IVDR).</w:t>
      </w:r>
      <w:r>
        <w:t xml:space="preserve">  —  Quadro normativo europeo dei dispositivi medici. Governa la qualificazione e la conformità dei dispositivi terapeutici digitali su prescrizione.</w:t>
      </w:r>
    </w:p>
    <w:p w14:paraId="3F6B9B71" w14:textId="77777777" w:rsidR="007C4598" w:rsidRDefault="007C4598"/>
    <w:p w14:paraId="1E370ADB" w14:textId="77777777" w:rsidR="007C4598" w:rsidRDefault="00000000">
      <w:pPr>
        <w:jc w:val="both"/>
      </w:pPr>
      <w:r>
        <w:rPr>
          <w:i/>
          <w:iCs/>
        </w:rPr>
        <w:t xml:space="preserve">Collegamento: </w:t>
      </w:r>
      <w:r>
        <w:t>https://eur-lex.europa.eu/eli/reg/2017/745/oj</w:t>
      </w:r>
    </w:p>
    <w:p w14:paraId="40A82E01" w14:textId="77777777" w:rsidR="007C4598" w:rsidRDefault="007C4598"/>
    <w:p w14:paraId="0EF9A9EB" w14:textId="77777777" w:rsidR="007C4598" w:rsidRDefault="00000000">
      <w:pPr>
        <w:jc w:val="both"/>
      </w:pPr>
      <w:r>
        <w:rPr>
          <w:b/>
          <w:bCs/>
        </w:rPr>
        <w:t xml:space="preserve">[19]  </w:t>
      </w:r>
      <w:proofErr w:type="spellStart"/>
      <w:r>
        <w:rPr>
          <w:b/>
          <w:bCs/>
        </w:rPr>
        <w:t>Kirkpatrick</w:t>
      </w:r>
      <w:proofErr w:type="spellEnd"/>
      <w:r>
        <w:rPr>
          <w:b/>
          <w:bCs/>
        </w:rPr>
        <w:t xml:space="preserve"> D.L., </w:t>
      </w:r>
      <w:proofErr w:type="spellStart"/>
      <w:r>
        <w:rPr>
          <w:b/>
          <w:bCs/>
        </w:rPr>
        <w:t>Kirkpatrick</w:t>
      </w:r>
      <w:proofErr w:type="spellEnd"/>
      <w:r>
        <w:rPr>
          <w:b/>
          <w:bCs/>
        </w:rPr>
        <w:t xml:space="preserve"> J.D., </w:t>
      </w:r>
      <w:proofErr w:type="spellStart"/>
      <w:r>
        <w:rPr>
          <w:b/>
          <w:bCs/>
        </w:rPr>
        <w:t>Evaluating</w:t>
      </w:r>
      <w:proofErr w:type="spellEnd"/>
      <w:r>
        <w:rPr>
          <w:b/>
          <w:bCs/>
        </w:rPr>
        <w:t xml:space="preserve"> Training Programs: The </w:t>
      </w:r>
      <w:proofErr w:type="spellStart"/>
      <w:r>
        <w:rPr>
          <w:b/>
          <w:bCs/>
        </w:rPr>
        <w:t>Four</w:t>
      </w:r>
      <w:proofErr w:type="spellEnd"/>
      <w:r>
        <w:rPr>
          <w:b/>
          <w:bCs/>
        </w:rPr>
        <w:t xml:space="preserve"> </w:t>
      </w:r>
      <w:proofErr w:type="spellStart"/>
      <w:r>
        <w:rPr>
          <w:b/>
          <w:bCs/>
        </w:rPr>
        <w:t>Levels</w:t>
      </w:r>
      <w:proofErr w:type="spellEnd"/>
      <w:r>
        <w:rPr>
          <w:b/>
          <w:bCs/>
        </w:rPr>
        <w:t xml:space="preserve">, III ed., </w:t>
      </w:r>
      <w:proofErr w:type="spellStart"/>
      <w:r>
        <w:rPr>
          <w:b/>
          <w:bCs/>
        </w:rPr>
        <w:t>Berrett</w:t>
      </w:r>
      <w:proofErr w:type="spellEnd"/>
      <w:r>
        <w:rPr>
          <w:b/>
          <w:bCs/>
        </w:rPr>
        <w:t>-Koehler, San Francisco, 2006.</w:t>
      </w:r>
      <w:r>
        <w:t xml:space="preserve">  —  Modello a quattro livelli per la valutazione della formazione. Base del calcolo del ritorno sull’investimento formativo nelle quattro modalità considerate dalla Parte.</w:t>
      </w:r>
    </w:p>
    <w:p w14:paraId="1AF84FC6" w14:textId="77777777" w:rsidR="007C4598" w:rsidRDefault="007C4598"/>
    <w:p w14:paraId="431929A2" w14:textId="77777777" w:rsidR="007C4598" w:rsidRDefault="00000000">
      <w:pPr>
        <w:jc w:val="both"/>
      </w:pPr>
      <w:r>
        <w:rPr>
          <w:i/>
          <w:iCs/>
        </w:rPr>
        <w:t xml:space="preserve">Collegamento: </w:t>
      </w:r>
      <w:r>
        <w:t>https://www.bkconnection.com</w:t>
      </w:r>
    </w:p>
    <w:p w14:paraId="375F095D" w14:textId="77777777" w:rsidR="007C4598" w:rsidRDefault="007C4598"/>
    <w:p w14:paraId="53F702A2" w14:textId="77777777" w:rsidR="007C4598" w:rsidRDefault="00000000">
      <w:pPr>
        <w:jc w:val="both"/>
      </w:pPr>
      <w:r>
        <w:rPr>
          <w:b/>
          <w:bCs/>
        </w:rPr>
        <w:t xml:space="preserve">[20]  Phillips J.J., Return on </w:t>
      </w:r>
      <w:proofErr w:type="spellStart"/>
      <w:r>
        <w:rPr>
          <w:b/>
          <w:bCs/>
        </w:rPr>
        <w:t>Investment</w:t>
      </w:r>
      <w:proofErr w:type="spellEnd"/>
      <w:r>
        <w:rPr>
          <w:b/>
          <w:bCs/>
        </w:rPr>
        <w:t xml:space="preserve"> in Training and Performance </w:t>
      </w:r>
      <w:proofErr w:type="spellStart"/>
      <w:r>
        <w:rPr>
          <w:b/>
          <w:bCs/>
        </w:rPr>
        <w:t>Improvement</w:t>
      </w:r>
      <w:proofErr w:type="spellEnd"/>
      <w:r>
        <w:rPr>
          <w:b/>
          <w:bCs/>
        </w:rPr>
        <w:t xml:space="preserve"> Programs, II ed., </w:t>
      </w:r>
      <w:proofErr w:type="spellStart"/>
      <w:r>
        <w:rPr>
          <w:b/>
          <w:bCs/>
        </w:rPr>
        <w:t>Routledge</w:t>
      </w:r>
      <w:proofErr w:type="spellEnd"/>
      <w:r>
        <w:rPr>
          <w:b/>
          <w:bCs/>
        </w:rPr>
        <w:t>, Londra, 2003.</w:t>
      </w:r>
      <w:r>
        <w:t xml:space="preserve">  —  Estensione del modello di </w:t>
      </w:r>
      <w:proofErr w:type="spellStart"/>
      <w:r>
        <w:t>Kirkpatrick</w:t>
      </w:r>
      <w:proofErr w:type="spellEnd"/>
      <w:r>
        <w:t xml:space="preserve"> al quinto livello del ritorno economico. Metodo del calcolo prudenziale del rendimento dell’investimento formativo.</w:t>
      </w:r>
    </w:p>
    <w:p w14:paraId="462CF67D" w14:textId="77777777" w:rsidR="007C4598" w:rsidRDefault="007C4598"/>
    <w:p w14:paraId="45F8F9FE" w14:textId="77777777" w:rsidR="007C4598" w:rsidRDefault="00000000">
      <w:pPr>
        <w:jc w:val="both"/>
      </w:pPr>
      <w:r>
        <w:rPr>
          <w:i/>
          <w:iCs/>
        </w:rPr>
        <w:t xml:space="preserve">Collegamento: </w:t>
      </w:r>
      <w:r>
        <w:t>https://www.routledge.com</w:t>
      </w:r>
    </w:p>
    <w:p w14:paraId="7B9B6447" w14:textId="77777777" w:rsidR="007C4598" w:rsidRDefault="007C4598"/>
    <w:p w14:paraId="13630449" w14:textId="77777777" w:rsidR="007C4598" w:rsidRDefault="00000000">
      <w:pPr>
        <w:jc w:val="both"/>
      </w:pPr>
      <w:r>
        <w:rPr>
          <w:b/>
          <w:bCs/>
        </w:rPr>
        <w:t>[21]  Agenzia Nazionale per i Servizi Sanitari Regionali (AGENAS), programma di Educazione Continua in Medicina (ECM).</w:t>
      </w:r>
      <w:r>
        <w:t xml:space="preserve">  —  Quadro nazionale dell’educazione continua in medicina. Riferimento per i costi, gli obblighi e i crediti della formazione post-universitaria del personale.</w:t>
      </w:r>
    </w:p>
    <w:p w14:paraId="58A82E2C" w14:textId="77777777" w:rsidR="007C4598" w:rsidRDefault="007C4598"/>
    <w:p w14:paraId="47003D07" w14:textId="77777777" w:rsidR="007C4598" w:rsidRDefault="00000000">
      <w:pPr>
        <w:jc w:val="both"/>
      </w:pPr>
      <w:r>
        <w:rPr>
          <w:i/>
          <w:iCs/>
        </w:rPr>
        <w:t xml:space="preserve">Collegamento: </w:t>
      </w:r>
      <w:r>
        <w:t>https://www.agenas.gov.it</w:t>
      </w:r>
    </w:p>
    <w:p w14:paraId="6F3216B9" w14:textId="77777777" w:rsidR="007C4598" w:rsidRDefault="007C4598"/>
    <w:p w14:paraId="6F9EA799" w14:textId="77777777" w:rsidR="007C4598" w:rsidRDefault="00000000">
      <w:pPr>
        <w:jc w:val="both"/>
      </w:pPr>
      <w:r>
        <w:rPr>
          <w:b/>
          <w:bCs/>
        </w:rPr>
        <w:t xml:space="preserve">[22]  </w:t>
      </w:r>
      <w:proofErr w:type="spellStart"/>
      <w:r>
        <w:rPr>
          <w:b/>
          <w:bCs/>
        </w:rPr>
        <w:t>Rogers</w:t>
      </w:r>
      <w:proofErr w:type="spellEnd"/>
      <w:r>
        <w:rPr>
          <w:b/>
          <w:bCs/>
        </w:rPr>
        <w:t xml:space="preserve"> E.M., </w:t>
      </w:r>
      <w:proofErr w:type="spellStart"/>
      <w:r>
        <w:rPr>
          <w:b/>
          <w:bCs/>
        </w:rPr>
        <w:t>Diffusion</w:t>
      </w:r>
      <w:proofErr w:type="spellEnd"/>
      <w:r>
        <w:rPr>
          <w:b/>
          <w:bCs/>
        </w:rPr>
        <w:t xml:space="preserve"> of </w:t>
      </w:r>
      <w:proofErr w:type="spellStart"/>
      <w:r>
        <w:rPr>
          <w:b/>
          <w:bCs/>
        </w:rPr>
        <w:t>Innovations</w:t>
      </w:r>
      <w:proofErr w:type="spellEnd"/>
      <w:r>
        <w:rPr>
          <w:b/>
          <w:bCs/>
        </w:rPr>
        <w:t>, V ed., Free Press, New York, 2003.</w:t>
      </w:r>
      <w:r>
        <w:t xml:space="preserve">  —  Teoria classica della diffusione delle innovazioni. Fonda le curve di adozione tecnologica e il ruolo della competenza degli adottanti nella loro pendenza.</w:t>
      </w:r>
    </w:p>
    <w:p w14:paraId="3490841B" w14:textId="77777777" w:rsidR="007C4598" w:rsidRDefault="007C4598"/>
    <w:p w14:paraId="2728CC76" w14:textId="77777777" w:rsidR="007C4598" w:rsidRDefault="00000000">
      <w:pPr>
        <w:jc w:val="both"/>
      </w:pPr>
      <w:r>
        <w:rPr>
          <w:i/>
          <w:iCs/>
        </w:rPr>
        <w:t xml:space="preserve">Collegamento: </w:t>
      </w:r>
      <w:r>
        <w:t>https://www.simonandschuster.com</w:t>
      </w:r>
    </w:p>
    <w:p w14:paraId="63389DBC" w14:textId="77777777" w:rsidR="007C4598" w:rsidRDefault="007C4598"/>
    <w:p w14:paraId="0E083175" w14:textId="77777777" w:rsidR="007C4598" w:rsidRDefault="00000000">
      <w:pPr>
        <w:jc w:val="both"/>
      </w:pPr>
      <w:r>
        <w:rPr>
          <w:b/>
          <w:bCs/>
        </w:rPr>
        <w:t xml:space="preserve">[23]  </w:t>
      </w:r>
      <w:proofErr w:type="spellStart"/>
      <w:r>
        <w:rPr>
          <w:b/>
          <w:bCs/>
        </w:rPr>
        <w:t>Sullivan</w:t>
      </w:r>
      <w:proofErr w:type="spellEnd"/>
      <w:r>
        <w:rPr>
          <w:b/>
          <w:bCs/>
        </w:rPr>
        <w:t xml:space="preserve"> S.D., </w:t>
      </w:r>
      <w:proofErr w:type="spellStart"/>
      <w:r>
        <w:rPr>
          <w:b/>
          <w:bCs/>
        </w:rPr>
        <w:t>Mauskopf</w:t>
      </w:r>
      <w:proofErr w:type="spellEnd"/>
      <w:r>
        <w:rPr>
          <w:b/>
          <w:bCs/>
        </w:rPr>
        <w:t xml:space="preserve"> J.A., </w:t>
      </w:r>
      <w:proofErr w:type="spellStart"/>
      <w:r>
        <w:rPr>
          <w:b/>
          <w:bCs/>
        </w:rPr>
        <w:t>Augustovski</w:t>
      </w:r>
      <w:proofErr w:type="spellEnd"/>
      <w:r>
        <w:rPr>
          <w:b/>
          <w:bCs/>
        </w:rPr>
        <w:t xml:space="preserve"> F. et al., «Budget impact </w:t>
      </w:r>
      <w:proofErr w:type="spellStart"/>
      <w:r>
        <w:rPr>
          <w:b/>
          <w:bCs/>
        </w:rPr>
        <w:t>analysis</w:t>
      </w:r>
      <w:proofErr w:type="spellEnd"/>
      <w:r>
        <w:rPr>
          <w:b/>
          <w:bCs/>
        </w:rPr>
        <w:t>—</w:t>
      </w:r>
      <w:proofErr w:type="spellStart"/>
      <w:r>
        <w:rPr>
          <w:b/>
          <w:bCs/>
        </w:rPr>
        <w:t>principles</w:t>
      </w:r>
      <w:proofErr w:type="spellEnd"/>
      <w:r>
        <w:rPr>
          <w:b/>
          <w:bCs/>
        </w:rPr>
        <w:t xml:space="preserve"> of </w:t>
      </w:r>
      <w:proofErr w:type="spellStart"/>
      <w:r>
        <w:rPr>
          <w:b/>
          <w:bCs/>
        </w:rPr>
        <w:t>good</w:t>
      </w:r>
      <w:proofErr w:type="spellEnd"/>
      <w:r>
        <w:rPr>
          <w:b/>
          <w:bCs/>
        </w:rPr>
        <w:t xml:space="preserve"> </w:t>
      </w:r>
      <w:proofErr w:type="spellStart"/>
      <w:r>
        <w:rPr>
          <w:b/>
          <w:bCs/>
        </w:rPr>
        <w:t>practice</w:t>
      </w:r>
      <w:proofErr w:type="spellEnd"/>
      <w:r>
        <w:rPr>
          <w:b/>
          <w:bCs/>
        </w:rPr>
        <w:t xml:space="preserve">: report of the ISPOR 2012 Budget Impact Analysis </w:t>
      </w:r>
      <w:proofErr w:type="spellStart"/>
      <w:r>
        <w:rPr>
          <w:b/>
          <w:bCs/>
        </w:rPr>
        <w:t>Good</w:t>
      </w:r>
      <w:proofErr w:type="spellEnd"/>
      <w:r>
        <w:rPr>
          <w:b/>
          <w:bCs/>
        </w:rPr>
        <w:t xml:space="preserve"> </w:t>
      </w:r>
      <w:proofErr w:type="spellStart"/>
      <w:r>
        <w:rPr>
          <w:b/>
          <w:bCs/>
        </w:rPr>
        <w:t>Practice</w:t>
      </w:r>
      <w:proofErr w:type="spellEnd"/>
      <w:r>
        <w:rPr>
          <w:b/>
          <w:bCs/>
        </w:rPr>
        <w:t xml:space="preserve"> II Task Force», Value in </w:t>
      </w:r>
      <w:proofErr w:type="spellStart"/>
      <w:r>
        <w:rPr>
          <w:b/>
          <w:bCs/>
        </w:rPr>
        <w:t>Health</w:t>
      </w:r>
      <w:proofErr w:type="spellEnd"/>
      <w:r>
        <w:rPr>
          <w:b/>
          <w:bCs/>
        </w:rPr>
        <w:t>, vol. 17, n. 1, 2014, pp. 5-14.</w:t>
      </w:r>
      <w:r>
        <w:t xml:space="preserve">  —  Buone pratiche internazionali per l’analisi di impatto di bilancio. Telaio metodologico del rinvio alla valutazione economica integrata della Parte decima.</w:t>
      </w:r>
    </w:p>
    <w:p w14:paraId="6B5E0827" w14:textId="77777777" w:rsidR="007C4598" w:rsidRDefault="007C4598"/>
    <w:p w14:paraId="116BB848" w14:textId="77777777" w:rsidR="007C4598" w:rsidRDefault="00000000">
      <w:pPr>
        <w:jc w:val="both"/>
      </w:pPr>
      <w:r>
        <w:rPr>
          <w:i/>
          <w:iCs/>
        </w:rPr>
        <w:t xml:space="preserve">Collegamento: </w:t>
      </w:r>
      <w:r>
        <w:t>https://doi.org/10.1016/j.jval.2013.08.2291</w:t>
      </w:r>
    </w:p>
    <w:p w14:paraId="6C895C39" w14:textId="77777777" w:rsidR="007C4598" w:rsidRDefault="007C4598"/>
    <w:p w14:paraId="6CA3EE24" w14:textId="77777777" w:rsidR="007C4598" w:rsidRDefault="00000000">
      <w:pPr>
        <w:jc w:val="both"/>
      </w:pPr>
      <w:r>
        <w:rPr>
          <w:i/>
          <w:iCs/>
        </w:rPr>
        <w:t>— Fine della Parte VII —</w:t>
      </w:r>
    </w:p>
    <w:p w14:paraId="67F3C972" w14:textId="77777777" w:rsidR="007C4598" w:rsidRDefault="007C4598"/>
    <w:p w14:paraId="0E8409B0" w14:textId="77777777" w:rsidR="007C4598" w:rsidRDefault="00000000">
      <w:pPr>
        <w:jc w:val="both"/>
      </w:pPr>
      <w:r>
        <w:t>Costi diretti — rinegoziazione integrale   ·</w:t>
      </w:r>
    </w:p>
    <w:p w14:paraId="7A744E4B" w14:textId="77777777" w:rsidR="007C4598" w:rsidRDefault="007C4598"/>
    <w:p w14:paraId="5AEC9DA3" w14:textId="77777777" w:rsidR="007C4598" w:rsidRDefault="00000000">
      <w:pPr>
        <w:jc w:val="both"/>
      </w:pPr>
      <w:r>
        <w:rPr>
          <w:color w:val="555555"/>
          <w:sz w:val="16"/>
          <w:szCs w:val="16"/>
          <w:vertAlign w:val="superscript"/>
        </w:rPr>
        <w:t>[1]</w:t>
      </w:r>
      <w:r>
        <w:t xml:space="preserve">: </w:t>
      </w:r>
      <w:proofErr w:type="spellStart"/>
      <w:r>
        <w:t>Chisholm</w:t>
      </w:r>
      <w:proofErr w:type="spellEnd"/>
      <w:r>
        <w:t xml:space="preserve"> D., </w:t>
      </w:r>
      <w:proofErr w:type="spellStart"/>
      <w:r>
        <w:t>Sweeny</w:t>
      </w:r>
      <w:proofErr w:type="spellEnd"/>
      <w:r>
        <w:t xml:space="preserve"> K., </w:t>
      </w:r>
      <w:proofErr w:type="spellStart"/>
      <w:r>
        <w:t>Sheehan</w:t>
      </w:r>
      <w:proofErr w:type="spellEnd"/>
      <w:r>
        <w:t xml:space="preserve"> P. et al., «</w:t>
      </w:r>
      <w:proofErr w:type="spellStart"/>
      <w:r>
        <w:t>Scaling</w:t>
      </w:r>
      <w:proofErr w:type="spellEnd"/>
      <w:r>
        <w:t xml:space="preserve">-up treatment of </w:t>
      </w:r>
      <w:proofErr w:type="spellStart"/>
      <w:r>
        <w:t>depression</w:t>
      </w:r>
      <w:proofErr w:type="spellEnd"/>
      <w:r>
        <w:t xml:space="preserve"> and </w:t>
      </w:r>
      <w:proofErr w:type="spellStart"/>
      <w:r>
        <w:t>anxiety</w:t>
      </w:r>
      <w:proofErr w:type="spellEnd"/>
      <w:r>
        <w:t xml:space="preserve">: a global </w:t>
      </w:r>
      <w:proofErr w:type="spellStart"/>
      <w:r>
        <w:t>return</w:t>
      </w:r>
      <w:proofErr w:type="spellEnd"/>
      <w:r>
        <w:t xml:space="preserve"> on </w:t>
      </w:r>
      <w:proofErr w:type="spellStart"/>
      <w:r>
        <w:t>investment</w:t>
      </w:r>
      <w:proofErr w:type="spellEnd"/>
      <w:r>
        <w:t xml:space="preserve"> </w:t>
      </w:r>
      <w:proofErr w:type="spellStart"/>
      <w:r>
        <w:t>analysis</w:t>
      </w:r>
      <w:proofErr w:type="spellEnd"/>
      <w:r>
        <w:t xml:space="preserve">», The Lancet </w:t>
      </w:r>
      <w:proofErr w:type="spellStart"/>
      <w:r>
        <w:t>Psychiatry</w:t>
      </w:r>
      <w:proofErr w:type="spellEnd"/>
      <w:r>
        <w:t>, vol. 3, n. 5, 2016, pp. 415-424. Intervalli di ritorno validati: 2,3-3,0 a 1 (soli benefici economici); 3,3-5,7 a 1 (con i ritorni in salute).</w:t>
      </w:r>
    </w:p>
    <w:p w14:paraId="426862F0" w14:textId="77777777" w:rsidR="007C4598" w:rsidRDefault="00000000">
      <w:pPr>
        <w:jc w:val="both"/>
      </w:pPr>
      <w:r>
        <w:rPr>
          <w:color w:val="555555"/>
          <w:sz w:val="16"/>
          <w:szCs w:val="16"/>
          <w:vertAlign w:val="superscript"/>
        </w:rPr>
        <w:t>[2]</w:t>
      </w:r>
      <w:r>
        <w:t xml:space="preserve">: </w:t>
      </w:r>
      <w:proofErr w:type="spellStart"/>
      <w:r>
        <w:t>Unützer</w:t>
      </w:r>
      <w:proofErr w:type="spellEnd"/>
      <w:r>
        <w:t xml:space="preserve"> J., </w:t>
      </w:r>
      <w:proofErr w:type="spellStart"/>
      <w:r>
        <w:t>Katon</w:t>
      </w:r>
      <w:proofErr w:type="spellEnd"/>
      <w:r>
        <w:t xml:space="preserve"> W.J., Fan M.-Y. et al., «Long-</w:t>
      </w:r>
      <w:proofErr w:type="spellStart"/>
      <w:r>
        <w:t>term</w:t>
      </w:r>
      <w:proofErr w:type="spellEnd"/>
      <w:r>
        <w:t xml:space="preserve"> </w:t>
      </w:r>
      <w:proofErr w:type="spellStart"/>
      <w:r>
        <w:t>cost</w:t>
      </w:r>
      <w:proofErr w:type="spellEnd"/>
      <w:r>
        <w:t xml:space="preserve"> </w:t>
      </w:r>
      <w:proofErr w:type="spellStart"/>
      <w:r>
        <w:t>effects</w:t>
      </w:r>
      <w:proofErr w:type="spellEnd"/>
      <w:r>
        <w:t xml:space="preserve"> of collaborative care for late-life </w:t>
      </w:r>
      <w:proofErr w:type="spellStart"/>
      <w:r>
        <w:t>depression</w:t>
      </w:r>
      <w:proofErr w:type="spellEnd"/>
      <w:r>
        <w:t xml:space="preserve">» (studio IMPACT), The American Journal of </w:t>
      </w:r>
      <w:proofErr w:type="spellStart"/>
      <w:r>
        <w:t>Managed</w:t>
      </w:r>
      <w:proofErr w:type="spellEnd"/>
      <w:r>
        <w:t xml:space="preserve"> Care, vol. 14, n. 2, 2008, pp. 95-100. Il risparmio sui costi sanitari diretti, isolatamente considerato, non raggiunge la significatività statistica.</w:t>
      </w:r>
    </w:p>
    <w:p w14:paraId="39A85A2B" w14:textId="77777777" w:rsidR="007C4598" w:rsidRDefault="00000000">
      <w:pPr>
        <w:jc w:val="both"/>
      </w:pPr>
      <w:r>
        <w:rPr>
          <w:color w:val="555555"/>
          <w:sz w:val="16"/>
          <w:szCs w:val="16"/>
          <w:vertAlign w:val="superscript"/>
        </w:rPr>
        <w:t>[3]</w:t>
      </w:r>
      <w:r>
        <w:t xml:space="preserve">: HM </w:t>
      </w:r>
      <w:proofErr w:type="spellStart"/>
      <w:r>
        <w:t>Treasury</w:t>
      </w:r>
      <w:proofErr w:type="spellEnd"/>
      <w:r>
        <w:t xml:space="preserve">, The Green Book. Central </w:t>
      </w:r>
      <w:proofErr w:type="spellStart"/>
      <w:r>
        <w:t>Government</w:t>
      </w:r>
      <w:proofErr w:type="spellEnd"/>
      <w:r>
        <w:t xml:space="preserve"> </w:t>
      </w:r>
      <w:proofErr w:type="spellStart"/>
      <w:r>
        <w:t>Guidance</w:t>
      </w:r>
      <w:proofErr w:type="spellEnd"/>
      <w:r>
        <w:t xml:space="preserve"> on </w:t>
      </w:r>
      <w:proofErr w:type="spellStart"/>
      <w:r>
        <w:t>Appraisal</w:t>
      </w:r>
      <w:proofErr w:type="spellEnd"/>
      <w:r>
        <w:t xml:space="preserve"> and Evaluation, Londra, e </w:t>
      </w:r>
      <w:proofErr w:type="spellStart"/>
      <w:r>
        <w:t>Supplementary</w:t>
      </w:r>
      <w:proofErr w:type="spellEnd"/>
      <w:r>
        <w:t xml:space="preserve"> </w:t>
      </w:r>
      <w:proofErr w:type="spellStart"/>
      <w:r>
        <w:t>Guidance</w:t>
      </w:r>
      <w:proofErr w:type="spellEnd"/>
      <w:r>
        <w:t xml:space="preserve"> sull'</w:t>
      </w:r>
      <w:proofErr w:type="spellStart"/>
      <w:r>
        <w:t>optimism</w:t>
      </w:r>
      <w:proofErr w:type="spellEnd"/>
      <w:r>
        <w:t xml:space="preserve"> </w:t>
      </w:r>
      <w:proofErr w:type="spellStart"/>
      <w:r>
        <w:t>bias</w:t>
      </w:r>
      <w:proofErr w:type="spellEnd"/>
      <w:r>
        <w:t xml:space="preserve">; per il telaio dei cinque casi, </w:t>
      </w:r>
      <w:proofErr w:type="spellStart"/>
      <w:r>
        <w:t>Five</w:t>
      </w:r>
      <w:proofErr w:type="spellEnd"/>
      <w:r>
        <w:t xml:space="preserve"> Case Model (HM </w:t>
      </w:r>
      <w:proofErr w:type="spellStart"/>
      <w:r>
        <w:t>Treasury</w:t>
      </w:r>
      <w:proofErr w:type="spellEnd"/>
      <w:r>
        <w:t>). Fondamento della correzione prudenziale per l'ottimismo nelle stime.</w:t>
      </w:r>
    </w:p>
    <w:p w14:paraId="0A97FA51" w14:textId="77777777" w:rsidR="007C4598" w:rsidRDefault="00000000">
      <w:pPr>
        <w:jc w:val="both"/>
      </w:pPr>
      <w:r>
        <w:rPr>
          <w:color w:val="555555"/>
          <w:sz w:val="16"/>
          <w:szCs w:val="16"/>
          <w:vertAlign w:val="superscript"/>
        </w:rPr>
        <w:t>[4]</w:t>
      </w:r>
      <w:r>
        <w:t xml:space="preserve">: Regolamento (UE) 2024/1689 del Parlamento europeo e del Consiglio, che stabilisce regole armonizzate sull'intelligenza artificiale. Classificazione per livello di rischio dei sistemi impiegati in ambito sanitario e obblighi connessi; </w:t>
      </w:r>
      <w:proofErr w:type="spellStart"/>
      <w:r>
        <w:t>governance</w:t>
      </w:r>
      <w:proofErr w:type="spellEnd"/>
      <w:r>
        <w:t xml:space="preserve"> prudenziale e supervisione umana.</w:t>
      </w:r>
    </w:p>
    <w:p w14:paraId="036AAEFA" w14:textId="77777777" w:rsidR="007C4598" w:rsidRDefault="00000000">
      <w:pPr>
        <w:jc w:val="both"/>
      </w:pPr>
      <w:r>
        <w:rPr>
          <w:color w:val="555555"/>
          <w:sz w:val="16"/>
          <w:szCs w:val="16"/>
          <w:vertAlign w:val="superscript"/>
        </w:rPr>
        <w:t>[5]</w:t>
      </w:r>
      <w:r>
        <w:t xml:space="preserve">: </w:t>
      </w:r>
      <w:proofErr w:type="spellStart"/>
      <w:r>
        <w:t>Husereau</w:t>
      </w:r>
      <w:proofErr w:type="spellEnd"/>
      <w:r>
        <w:t xml:space="preserve"> D., </w:t>
      </w:r>
      <w:proofErr w:type="spellStart"/>
      <w:r>
        <w:t>Drummond</w:t>
      </w:r>
      <w:proofErr w:type="spellEnd"/>
      <w:r>
        <w:t xml:space="preserve"> M., </w:t>
      </w:r>
      <w:proofErr w:type="spellStart"/>
      <w:r>
        <w:t>Augustovski</w:t>
      </w:r>
      <w:proofErr w:type="spellEnd"/>
      <w:r>
        <w:t xml:space="preserve"> F. et al., «</w:t>
      </w:r>
      <w:proofErr w:type="spellStart"/>
      <w:r>
        <w:t>Consolidated</w:t>
      </w:r>
      <w:proofErr w:type="spellEnd"/>
      <w:r>
        <w:t xml:space="preserve"> </w:t>
      </w:r>
      <w:proofErr w:type="spellStart"/>
      <w:r>
        <w:t>Health</w:t>
      </w:r>
      <w:proofErr w:type="spellEnd"/>
      <w:r>
        <w:t xml:space="preserve"> </w:t>
      </w:r>
      <w:proofErr w:type="spellStart"/>
      <w:r>
        <w:t>Economic</w:t>
      </w:r>
      <w:proofErr w:type="spellEnd"/>
      <w:r>
        <w:t xml:space="preserve"> Evaluation Reporting </w:t>
      </w:r>
      <w:proofErr w:type="spellStart"/>
      <w:r>
        <w:t>Standards</w:t>
      </w:r>
      <w:proofErr w:type="spellEnd"/>
      <w:r>
        <w:t xml:space="preserve"> 2022 (CHEERS 2022)», Value in </w:t>
      </w:r>
      <w:proofErr w:type="spellStart"/>
      <w:r>
        <w:t>Health</w:t>
      </w:r>
      <w:proofErr w:type="spellEnd"/>
      <w:r>
        <w:t xml:space="preserve"> / BMJ, 2022. Standard internazionale di trasparenza e rendicontazione della valutazione economica.</w:t>
      </w:r>
    </w:p>
    <w:p w14:paraId="2EC74D1E" w14:textId="77777777" w:rsidR="007C4598" w:rsidRDefault="00000000">
      <w:pPr>
        <w:jc w:val="both"/>
      </w:pPr>
      <w:r>
        <w:rPr>
          <w:color w:val="555555"/>
          <w:sz w:val="16"/>
          <w:szCs w:val="16"/>
          <w:vertAlign w:val="superscript"/>
        </w:rPr>
        <w:t>[6]</w:t>
      </w:r>
      <w:r>
        <w:t xml:space="preserve">: </w:t>
      </w:r>
      <w:proofErr w:type="spellStart"/>
      <w:r>
        <w:t>Drummond</w:t>
      </w:r>
      <w:proofErr w:type="spellEnd"/>
      <w:r>
        <w:t xml:space="preserve"> M.F., </w:t>
      </w:r>
      <w:proofErr w:type="spellStart"/>
      <w:r>
        <w:t>Sculpher</w:t>
      </w:r>
      <w:proofErr w:type="spellEnd"/>
      <w:r>
        <w:t xml:space="preserve"> M.J., </w:t>
      </w:r>
      <w:proofErr w:type="spellStart"/>
      <w:r>
        <w:t>Claxton</w:t>
      </w:r>
      <w:proofErr w:type="spellEnd"/>
      <w:r>
        <w:t xml:space="preserve"> K., </w:t>
      </w:r>
      <w:proofErr w:type="spellStart"/>
      <w:r>
        <w:t>Stoddart</w:t>
      </w:r>
      <w:proofErr w:type="spellEnd"/>
      <w:r>
        <w:t xml:space="preserve"> G.L., Torrance G.W., </w:t>
      </w:r>
      <w:proofErr w:type="spellStart"/>
      <w:r>
        <w:t>Methods</w:t>
      </w:r>
      <w:proofErr w:type="spellEnd"/>
      <w:r>
        <w:t xml:space="preserve"> for the </w:t>
      </w:r>
      <w:proofErr w:type="spellStart"/>
      <w:r>
        <w:t>Economic</w:t>
      </w:r>
      <w:proofErr w:type="spellEnd"/>
      <w:r>
        <w:t xml:space="preserve"> Evaluation of </w:t>
      </w:r>
      <w:proofErr w:type="spellStart"/>
      <w:r>
        <w:t>Health</w:t>
      </w:r>
      <w:proofErr w:type="spellEnd"/>
      <w:r>
        <w:t xml:space="preserve"> Care </w:t>
      </w:r>
      <w:proofErr w:type="spellStart"/>
      <w:r>
        <w:t>Programmes</w:t>
      </w:r>
      <w:proofErr w:type="spellEnd"/>
      <w:r>
        <w:t xml:space="preserve">, IV ed., Oxford </w:t>
      </w:r>
      <w:proofErr w:type="spellStart"/>
      <w:r>
        <w:t>University</w:t>
      </w:r>
      <w:proofErr w:type="spellEnd"/>
      <w:r>
        <w:t xml:space="preserve"> Press, 2015. Metodo analitico di costruzione dei costi dal basso (micro-</w:t>
      </w:r>
      <w:proofErr w:type="spellStart"/>
      <w:r>
        <w:t>costing</w:t>
      </w:r>
      <w:proofErr w:type="spellEnd"/>
      <w:r>
        <w:t>) e distinzione delle prospettive.</w:t>
      </w:r>
    </w:p>
    <w:p w14:paraId="2EE63664" w14:textId="77777777" w:rsidR="007C4598" w:rsidRDefault="00000000">
      <w:pPr>
        <w:jc w:val="both"/>
      </w:pPr>
      <w:r>
        <w:rPr>
          <w:color w:val="555555"/>
          <w:sz w:val="16"/>
          <w:szCs w:val="16"/>
          <w:vertAlign w:val="superscript"/>
        </w:rPr>
        <w:t>[6]</w:t>
      </w:r>
      <w:r>
        <w:t xml:space="preserve">: </w:t>
      </w:r>
      <w:proofErr w:type="spellStart"/>
      <w:r>
        <w:t>Drummond</w:t>
      </w:r>
      <w:proofErr w:type="spellEnd"/>
      <w:r>
        <w:t xml:space="preserve"> M.F., </w:t>
      </w:r>
      <w:proofErr w:type="spellStart"/>
      <w:r>
        <w:t>Sculpher</w:t>
      </w:r>
      <w:proofErr w:type="spellEnd"/>
      <w:r>
        <w:t xml:space="preserve"> M.J., </w:t>
      </w:r>
      <w:proofErr w:type="spellStart"/>
      <w:r>
        <w:t>Claxton</w:t>
      </w:r>
      <w:proofErr w:type="spellEnd"/>
      <w:r>
        <w:t xml:space="preserve"> K., </w:t>
      </w:r>
      <w:proofErr w:type="spellStart"/>
      <w:r>
        <w:t>Stoddart</w:t>
      </w:r>
      <w:proofErr w:type="spellEnd"/>
      <w:r>
        <w:t xml:space="preserve"> G.L., Torrance G.W., </w:t>
      </w:r>
      <w:proofErr w:type="spellStart"/>
      <w:r>
        <w:t>Methods</w:t>
      </w:r>
      <w:proofErr w:type="spellEnd"/>
      <w:r>
        <w:t xml:space="preserve"> for the </w:t>
      </w:r>
      <w:proofErr w:type="spellStart"/>
      <w:r>
        <w:t>Economic</w:t>
      </w:r>
      <w:proofErr w:type="spellEnd"/>
      <w:r>
        <w:t xml:space="preserve"> Evaluation of </w:t>
      </w:r>
      <w:proofErr w:type="spellStart"/>
      <w:r>
        <w:t>Health</w:t>
      </w:r>
      <w:proofErr w:type="spellEnd"/>
      <w:r>
        <w:t xml:space="preserve"> Care </w:t>
      </w:r>
      <w:proofErr w:type="spellStart"/>
      <w:r>
        <w:t>Programmes</w:t>
      </w:r>
      <w:proofErr w:type="spellEnd"/>
      <w:r>
        <w:t xml:space="preserve">, IV ed., Oxford </w:t>
      </w:r>
      <w:proofErr w:type="spellStart"/>
      <w:r>
        <w:t>University</w:t>
      </w:r>
      <w:proofErr w:type="spellEnd"/>
      <w:r>
        <w:t xml:space="preserve"> Press, 2015. Metodo analitico di costruzione dei costi dal basso (micro-</w:t>
      </w:r>
      <w:proofErr w:type="spellStart"/>
      <w:r>
        <w:t>costing</w:t>
      </w:r>
      <w:proofErr w:type="spellEnd"/>
      <w:r>
        <w:t>) e distinzione delle prospettive.</w:t>
      </w:r>
    </w:p>
    <w:p w14:paraId="50C16089" w14:textId="77777777" w:rsidR="007C4598" w:rsidRDefault="00000000">
      <w:pPr>
        <w:jc w:val="both"/>
      </w:pPr>
      <w:r>
        <w:rPr>
          <w:color w:val="555555"/>
          <w:sz w:val="16"/>
          <w:szCs w:val="16"/>
          <w:vertAlign w:val="superscript"/>
        </w:rPr>
        <w:t>[3]</w:t>
      </w:r>
      <w:r>
        <w:t xml:space="preserve">: HM </w:t>
      </w:r>
      <w:proofErr w:type="spellStart"/>
      <w:r>
        <w:t>Treasury</w:t>
      </w:r>
      <w:proofErr w:type="spellEnd"/>
      <w:r>
        <w:t xml:space="preserve">, The Green Book. Central </w:t>
      </w:r>
      <w:proofErr w:type="spellStart"/>
      <w:r>
        <w:t>Government</w:t>
      </w:r>
      <w:proofErr w:type="spellEnd"/>
      <w:r>
        <w:t xml:space="preserve"> </w:t>
      </w:r>
      <w:proofErr w:type="spellStart"/>
      <w:r>
        <w:t>Guidance</w:t>
      </w:r>
      <w:proofErr w:type="spellEnd"/>
      <w:r>
        <w:t xml:space="preserve"> on </w:t>
      </w:r>
      <w:proofErr w:type="spellStart"/>
      <w:r>
        <w:t>Appraisal</w:t>
      </w:r>
      <w:proofErr w:type="spellEnd"/>
      <w:r>
        <w:t xml:space="preserve"> and Evaluation, Londra, e </w:t>
      </w:r>
      <w:proofErr w:type="spellStart"/>
      <w:r>
        <w:t>Supplementary</w:t>
      </w:r>
      <w:proofErr w:type="spellEnd"/>
      <w:r>
        <w:t xml:space="preserve"> </w:t>
      </w:r>
      <w:proofErr w:type="spellStart"/>
      <w:r>
        <w:t>Guidance</w:t>
      </w:r>
      <w:proofErr w:type="spellEnd"/>
      <w:r>
        <w:t xml:space="preserve"> sull'</w:t>
      </w:r>
      <w:proofErr w:type="spellStart"/>
      <w:r>
        <w:t>optimism</w:t>
      </w:r>
      <w:proofErr w:type="spellEnd"/>
      <w:r>
        <w:t xml:space="preserve"> </w:t>
      </w:r>
      <w:proofErr w:type="spellStart"/>
      <w:r>
        <w:t>bias</w:t>
      </w:r>
      <w:proofErr w:type="spellEnd"/>
      <w:r>
        <w:t xml:space="preserve">; per il telaio dei cinque casi, </w:t>
      </w:r>
      <w:proofErr w:type="spellStart"/>
      <w:r>
        <w:t>Five</w:t>
      </w:r>
      <w:proofErr w:type="spellEnd"/>
      <w:r>
        <w:t xml:space="preserve"> Case Model (HM </w:t>
      </w:r>
      <w:proofErr w:type="spellStart"/>
      <w:r>
        <w:t>Treasury</w:t>
      </w:r>
      <w:proofErr w:type="spellEnd"/>
      <w:r>
        <w:t>). Fondamento della correzione prudenziale per l'ottimismo nelle stime.</w:t>
      </w:r>
    </w:p>
    <w:p w14:paraId="25A1492E" w14:textId="77777777" w:rsidR="007C4598" w:rsidRDefault="00000000">
      <w:pPr>
        <w:jc w:val="both"/>
      </w:pPr>
      <w:r>
        <w:rPr>
          <w:color w:val="555555"/>
          <w:sz w:val="16"/>
          <w:szCs w:val="16"/>
          <w:vertAlign w:val="superscript"/>
        </w:rPr>
        <w:t>[7]</w:t>
      </w:r>
      <w:r>
        <w:t>: Regione Puglia, Legge regionale n. 11 del 2023, recante disposizioni per l'istituzione del Servizio di Psicologia di Base nelle cure primarie del Servizio sanitario regionale. Cornice normativa regionale della riforma.</w:t>
      </w:r>
    </w:p>
    <w:p w14:paraId="37812248" w14:textId="77777777" w:rsidR="007C4598" w:rsidRDefault="00000000">
      <w:pPr>
        <w:jc w:val="both"/>
      </w:pPr>
      <w:r>
        <w:rPr>
          <w:color w:val="555555"/>
          <w:sz w:val="16"/>
          <w:szCs w:val="16"/>
          <w:vertAlign w:val="superscript"/>
        </w:rPr>
        <w:t>[8]</w:t>
      </w:r>
      <w:r>
        <w:t>: ISTAT, Popolazione residente e bilancio demografico, Regione Puglia. Dati di riferimento per il dimensionamento del servizio (popolazione residente prossima a 3,9 milioni di abitanti).</w:t>
      </w:r>
    </w:p>
    <w:p w14:paraId="700D0350" w14:textId="77777777" w:rsidR="007C4598" w:rsidRDefault="00000000">
      <w:pPr>
        <w:jc w:val="both"/>
      </w:pPr>
      <w:r>
        <w:rPr>
          <w:color w:val="555555"/>
          <w:sz w:val="16"/>
          <w:szCs w:val="16"/>
          <w:vertAlign w:val="superscript"/>
        </w:rPr>
        <w:t>[9]</w:t>
      </w:r>
      <w:r>
        <w:t>: Accordo Collettivo Nazionale per la disciplina dei rapporti con i medici di medicina generale (ACN). Riferimento per il raffronto del costo orario e della quota nella valutazione del modello convenzionale.</w:t>
      </w:r>
    </w:p>
    <w:p w14:paraId="3E450820" w14:textId="77777777" w:rsidR="007C4598" w:rsidRDefault="00000000">
      <w:pPr>
        <w:jc w:val="both"/>
      </w:pPr>
      <w:r>
        <w:rPr>
          <w:color w:val="555555"/>
          <w:sz w:val="16"/>
          <w:szCs w:val="16"/>
          <w:vertAlign w:val="superscript"/>
        </w:rPr>
        <w:t>[10]</w:t>
      </w:r>
      <w:r>
        <w:t>: CCNL del Comparto Sanità e CCNL dell'Area della Sanità (dirigenza). Riferimento per il costo del lavoro del personale del Servizio sanitario nazionale, comprensivo degli oneri riflessi a carico del datore.</w:t>
      </w:r>
    </w:p>
    <w:p w14:paraId="79559B66" w14:textId="77777777" w:rsidR="007C4598" w:rsidRDefault="00000000">
      <w:pPr>
        <w:jc w:val="both"/>
      </w:pPr>
      <w:r>
        <w:rPr>
          <w:color w:val="555555"/>
          <w:sz w:val="16"/>
          <w:szCs w:val="16"/>
          <w:vertAlign w:val="superscript"/>
        </w:rPr>
        <w:t>[9]</w:t>
      </w:r>
      <w:r>
        <w:t>: Accordo Collettivo Nazionale per la disciplina dei rapporti con i medici di medicina generale (ACN). Riferimento per il raffronto del costo orario e della quota nella valutazione del modello convenzionale.</w:t>
      </w:r>
    </w:p>
    <w:p w14:paraId="643787D9" w14:textId="77777777" w:rsidR="007C4598" w:rsidRDefault="00000000">
      <w:pPr>
        <w:jc w:val="both"/>
      </w:pPr>
      <w:r>
        <w:rPr>
          <w:color w:val="555555"/>
          <w:sz w:val="16"/>
          <w:szCs w:val="16"/>
          <w:vertAlign w:val="superscript"/>
        </w:rPr>
        <w:t>[11]</w:t>
      </w:r>
      <w:r>
        <w:t xml:space="preserve">: Per il costo-opportunità del tempo di lavoro: </w:t>
      </w:r>
      <w:proofErr w:type="spellStart"/>
      <w:r>
        <w:t>friction</w:t>
      </w:r>
      <w:proofErr w:type="spellEnd"/>
      <w:r>
        <w:t xml:space="preserve"> </w:t>
      </w:r>
      <w:proofErr w:type="spellStart"/>
      <w:r>
        <w:t>cost</w:t>
      </w:r>
      <w:proofErr w:type="spellEnd"/>
      <w:r>
        <w:t xml:space="preserve"> </w:t>
      </w:r>
      <w:proofErr w:type="spellStart"/>
      <w:r>
        <w:t>method</w:t>
      </w:r>
      <w:proofErr w:type="spellEnd"/>
      <w:r>
        <w:t xml:space="preserve"> e human capital </w:t>
      </w:r>
      <w:proofErr w:type="spellStart"/>
      <w:r>
        <w:t>approach</w:t>
      </w:r>
      <w:proofErr w:type="spellEnd"/>
      <w:r>
        <w:t xml:space="preserve">. Cfr. </w:t>
      </w:r>
      <w:proofErr w:type="spellStart"/>
      <w:r>
        <w:t>Koopmanschap</w:t>
      </w:r>
      <w:proofErr w:type="spellEnd"/>
      <w:r>
        <w:t xml:space="preserve"> M.A., </w:t>
      </w:r>
      <w:proofErr w:type="spellStart"/>
      <w:r>
        <w:t>Rutten</w:t>
      </w:r>
      <w:proofErr w:type="spellEnd"/>
      <w:r>
        <w:t xml:space="preserve"> F.F. et al., «The </w:t>
      </w:r>
      <w:proofErr w:type="spellStart"/>
      <w:r>
        <w:t>friction</w:t>
      </w:r>
      <w:proofErr w:type="spellEnd"/>
      <w:r>
        <w:t xml:space="preserve"> </w:t>
      </w:r>
      <w:proofErr w:type="spellStart"/>
      <w:r>
        <w:t>cost</w:t>
      </w:r>
      <w:proofErr w:type="spellEnd"/>
      <w:r>
        <w:t xml:space="preserve"> </w:t>
      </w:r>
      <w:proofErr w:type="spellStart"/>
      <w:r>
        <w:t>method</w:t>
      </w:r>
      <w:proofErr w:type="spellEnd"/>
      <w:r>
        <w:t xml:space="preserve"> for </w:t>
      </w:r>
      <w:proofErr w:type="spellStart"/>
      <w:r>
        <w:t>measuring</w:t>
      </w:r>
      <w:proofErr w:type="spellEnd"/>
      <w:r>
        <w:t xml:space="preserve"> </w:t>
      </w:r>
      <w:proofErr w:type="spellStart"/>
      <w:r>
        <w:t>indirect</w:t>
      </w:r>
      <w:proofErr w:type="spellEnd"/>
      <w:r>
        <w:t xml:space="preserve"> </w:t>
      </w:r>
      <w:proofErr w:type="spellStart"/>
      <w:r>
        <w:t>costs</w:t>
      </w:r>
      <w:proofErr w:type="spellEnd"/>
      <w:r>
        <w:t xml:space="preserve"> of </w:t>
      </w:r>
      <w:proofErr w:type="spellStart"/>
      <w:r>
        <w:t>disease</w:t>
      </w:r>
      <w:proofErr w:type="spellEnd"/>
      <w:r>
        <w:t xml:space="preserve">», Journal of </w:t>
      </w:r>
      <w:proofErr w:type="spellStart"/>
      <w:r>
        <w:t>Health</w:t>
      </w:r>
      <w:proofErr w:type="spellEnd"/>
      <w:r>
        <w:t xml:space="preserve"> </w:t>
      </w:r>
      <w:proofErr w:type="spellStart"/>
      <w:r>
        <w:t>Economics</w:t>
      </w:r>
      <w:proofErr w:type="spellEnd"/>
      <w:r>
        <w:t xml:space="preserve">, vol. 14, 1995, pp. 171-189, e </w:t>
      </w:r>
      <w:proofErr w:type="spellStart"/>
      <w:r>
        <w:t>Drummond</w:t>
      </w:r>
      <w:proofErr w:type="spellEnd"/>
      <w:r>
        <w:t xml:space="preserve"> et al., op. cit.</w:t>
      </w:r>
    </w:p>
    <w:p w14:paraId="416369F9" w14:textId="77777777" w:rsidR="007C4598" w:rsidRDefault="00000000">
      <w:pPr>
        <w:jc w:val="both"/>
      </w:pPr>
      <w:r>
        <w:rPr>
          <w:color w:val="555555"/>
          <w:sz w:val="16"/>
          <w:szCs w:val="16"/>
          <w:vertAlign w:val="superscript"/>
        </w:rPr>
        <w:t>[12]</w:t>
      </w:r>
      <w:r>
        <w:t>: Decreto del Ministro della Salute 23 maggio 2022, n. 77, «Regolamento recante la definizione di modelli e standard per lo sviluppo dell'assistenza territoriale nel Servizio sanitario nazionale». Case della Comunità e infermiere di famiglia e di comunità.</w:t>
      </w:r>
    </w:p>
    <w:p w14:paraId="1DE53CA4" w14:textId="77777777" w:rsidR="007C4598" w:rsidRDefault="00000000">
      <w:pPr>
        <w:jc w:val="both"/>
      </w:pPr>
      <w:r>
        <w:rPr>
          <w:color w:val="555555"/>
          <w:sz w:val="16"/>
          <w:szCs w:val="16"/>
          <w:vertAlign w:val="superscript"/>
        </w:rPr>
        <w:t>[13]</w:t>
      </w:r>
      <w:r>
        <w:t xml:space="preserve">: </w:t>
      </w:r>
      <w:proofErr w:type="spellStart"/>
      <w:r>
        <w:t>Archer</w:t>
      </w:r>
      <w:proofErr w:type="spellEnd"/>
      <w:r>
        <w:t xml:space="preserve"> J., </w:t>
      </w:r>
      <w:proofErr w:type="spellStart"/>
      <w:r>
        <w:t>Bower</w:t>
      </w:r>
      <w:proofErr w:type="spellEnd"/>
      <w:r>
        <w:t xml:space="preserve"> P., </w:t>
      </w:r>
      <w:proofErr w:type="spellStart"/>
      <w:r>
        <w:t>Gilbody</w:t>
      </w:r>
      <w:proofErr w:type="spellEnd"/>
      <w:r>
        <w:t xml:space="preserve"> S. et al., «Collaborative care for </w:t>
      </w:r>
      <w:proofErr w:type="spellStart"/>
      <w:r>
        <w:t>depression</w:t>
      </w:r>
      <w:proofErr w:type="spellEnd"/>
      <w:r>
        <w:t xml:space="preserve"> and </w:t>
      </w:r>
      <w:proofErr w:type="spellStart"/>
      <w:r>
        <w:t>anxiety</w:t>
      </w:r>
      <w:proofErr w:type="spellEnd"/>
      <w:r>
        <w:t xml:space="preserve"> </w:t>
      </w:r>
      <w:proofErr w:type="spellStart"/>
      <w:r>
        <w:t>problems</w:t>
      </w:r>
      <w:proofErr w:type="spellEnd"/>
      <w:r>
        <w:t xml:space="preserve">», </w:t>
      </w:r>
      <w:proofErr w:type="spellStart"/>
      <w:r>
        <w:t>Cochrane</w:t>
      </w:r>
      <w:proofErr w:type="spellEnd"/>
      <w:r>
        <w:t xml:space="preserve"> Database of </w:t>
      </w:r>
      <w:proofErr w:type="spellStart"/>
      <w:r>
        <w:t>Systematic</w:t>
      </w:r>
      <w:proofErr w:type="spellEnd"/>
      <w:r>
        <w:t xml:space="preserve"> </w:t>
      </w:r>
      <w:proofErr w:type="spellStart"/>
      <w:r>
        <w:t>Reviews</w:t>
      </w:r>
      <w:proofErr w:type="spellEnd"/>
      <w:r>
        <w:t xml:space="preserve">, 2012, </w:t>
      </w:r>
      <w:proofErr w:type="spellStart"/>
      <w:r>
        <w:t>Issue</w:t>
      </w:r>
      <w:proofErr w:type="spellEnd"/>
      <w:r>
        <w:t xml:space="preserve"> 10, art. CD006525. Evidenza robusta sulla funzione di care manager nel modello di assistenza collaborativa.</w:t>
      </w:r>
    </w:p>
    <w:p w14:paraId="7E54287B" w14:textId="77777777" w:rsidR="007C4598" w:rsidRDefault="00000000">
      <w:pPr>
        <w:jc w:val="both"/>
      </w:pPr>
      <w:r>
        <w:rPr>
          <w:color w:val="555555"/>
          <w:sz w:val="16"/>
          <w:szCs w:val="16"/>
          <w:vertAlign w:val="superscript"/>
        </w:rPr>
        <w:t>[10]</w:t>
      </w:r>
      <w:r>
        <w:t>: CCNL del Comparto Sanità e CCNL dell'Area della Sanità (dirigenza). Riferimento per il costo del lavoro del personale del Servizio sanitario nazionale, comprensivo degli oneri riflessi a carico del datore.</w:t>
      </w:r>
    </w:p>
    <w:p w14:paraId="7DA1ECC4" w14:textId="77777777" w:rsidR="007C4598" w:rsidRDefault="00000000">
      <w:pPr>
        <w:jc w:val="both"/>
      </w:pPr>
      <w:r>
        <w:rPr>
          <w:color w:val="555555"/>
          <w:sz w:val="16"/>
          <w:szCs w:val="16"/>
          <w:vertAlign w:val="superscript"/>
        </w:rPr>
        <w:t>[12]</w:t>
      </w:r>
      <w:r>
        <w:t>: Decreto del Ministro della Salute 23 maggio 2022, n. 77, «Regolamento recante la definizione di modelli e standard per lo sviluppo dell'assistenza territoriale nel Servizio sanitario nazionale». Case della Comunità e infermiere di famiglia e di comunità.</w:t>
      </w:r>
    </w:p>
    <w:p w14:paraId="48052598" w14:textId="77777777" w:rsidR="007C4598" w:rsidRDefault="00000000">
      <w:pPr>
        <w:jc w:val="both"/>
      </w:pPr>
      <w:r>
        <w:rPr>
          <w:color w:val="555555"/>
          <w:sz w:val="16"/>
          <w:szCs w:val="16"/>
          <w:vertAlign w:val="superscript"/>
        </w:rPr>
        <w:t>[14]</w:t>
      </w:r>
      <w:r>
        <w:t>: Piano Nazionale di Ripresa e Resilienza, Missione 6 «Salute», Componente 1 — reti di prossimità, strutture e telemedicina per l'assistenza sanitaria territoriale. Finanziamento delle Case della Comunità e dell'infrastruttura territoriale entro cui il servizio di psicologia di base opera.</w:t>
      </w:r>
    </w:p>
    <w:p w14:paraId="088024F2" w14:textId="77777777" w:rsidR="007C4598" w:rsidRDefault="00000000">
      <w:pPr>
        <w:jc w:val="both"/>
      </w:pPr>
      <w:r>
        <w:rPr>
          <w:color w:val="555555"/>
          <w:sz w:val="16"/>
          <w:szCs w:val="16"/>
          <w:vertAlign w:val="superscript"/>
        </w:rPr>
        <w:t>[12]</w:t>
      </w:r>
      <w:r>
        <w:t>: Decreto del Ministro della Salute 23 maggio 2022, n. 77, «Regolamento recante la definizione di modelli e standard per lo sviluppo dell'assistenza territoriale nel Servizio sanitario nazionale». Case della Comunità e infermiere di famiglia e di comunità.</w:t>
      </w:r>
    </w:p>
    <w:p w14:paraId="3715FA88" w14:textId="77777777" w:rsidR="007C4598" w:rsidRDefault="00000000">
      <w:pPr>
        <w:jc w:val="both"/>
      </w:pPr>
      <w:r>
        <w:rPr>
          <w:color w:val="555555"/>
          <w:sz w:val="16"/>
          <w:szCs w:val="16"/>
          <w:vertAlign w:val="superscript"/>
        </w:rPr>
        <w:t>[14]</w:t>
      </w:r>
      <w:r>
        <w:t>: Piano Nazionale di Ripresa e Resilienza, Missione 6 «Salute», Componente 1 — reti di prossimità, strutture e telemedicina per l'assistenza sanitaria territoriale. Finanziamento delle Case della Comunità e dell'infrastruttura territoriale entro cui il servizio di psicologia di base opera.</w:t>
      </w:r>
    </w:p>
    <w:p w14:paraId="61390A19" w14:textId="77777777" w:rsidR="007C4598" w:rsidRDefault="00000000">
      <w:pPr>
        <w:jc w:val="both"/>
      </w:pPr>
      <w:r>
        <w:rPr>
          <w:color w:val="555555"/>
          <w:sz w:val="16"/>
          <w:szCs w:val="16"/>
          <w:vertAlign w:val="superscript"/>
        </w:rPr>
        <w:t>[15]</w:t>
      </w:r>
      <w:r>
        <w:t xml:space="preserve">: NICE, </w:t>
      </w:r>
      <w:proofErr w:type="spellStart"/>
      <w:r>
        <w:t>Evidence</w:t>
      </w:r>
      <w:proofErr w:type="spellEnd"/>
      <w:r>
        <w:t xml:space="preserve"> </w:t>
      </w:r>
      <w:proofErr w:type="spellStart"/>
      <w:r>
        <w:t>Standards</w:t>
      </w:r>
      <w:proofErr w:type="spellEnd"/>
      <w:r>
        <w:t xml:space="preserve"> Framework for Digital </w:t>
      </w:r>
      <w:proofErr w:type="spellStart"/>
      <w:r>
        <w:t>Health</w:t>
      </w:r>
      <w:proofErr w:type="spellEnd"/>
      <w:r>
        <w:t xml:space="preserve"> Technologies, National </w:t>
      </w:r>
      <w:proofErr w:type="spellStart"/>
      <w:r>
        <w:t>Institute</w:t>
      </w:r>
      <w:proofErr w:type="spellEnd"/>
      <w:r>
        <w:t xml:space="preserve"> for </w:t>
      </w:r>
      <w:proofErr w:type="spellStart"/>
      <w:r>
        <w:t>Health</w:t>
      </w:r>
      <w:proofErr w:type="spellEnd"/>
      <w:r>
        <w:t xml:space="preserve"> and Care </w:t>
      </w:r>
      <w:proofErr w:type="spellStart"/>
      <w:r>
        <w:t>Excellence</w:t>
      </w:r>
      <w:proofErr w:type="spellEnd"/>
      <w:r>
        <w:t xml:space="preserve">, Londra. Quadro internazionale di graduazione dell'evidenza per le tecnologie sanitarie digitali, applicato alla </w:t>
      </w:r>
      <w:proofErr w:type="spellStart"/>
      <w:r>
        <w:t>telepsicologia</w:t>
      </w:r>
      <w:proofErr w:type="spellEnd"/>
      <w:r>
        <w:t xml:space="preserve"> e agli strumenti computazionali e all'</w:t>
      </w:r>
      <w:proofErr w:type="spellStart"/>
      <w:r>
        <w:t>efficientamento</w:t>
      </w:r>
      <w:proofErr w:type="spellEnd"/>
      <w:r>
        <w:t xml:space="preserve"> gestionale.</w:t>
      </w:r>
    </w:p>
    <w:p w14:paraId="644540FD" w14:textId="77777777" w:rsidR="007C4598" w:rsidRDefault="00000000">
      <w:pPr>
        <w:jc w:val="both"/>
      </w:pPr>
      <w:r>
        <w:rPr>
          <w:color w:val="555555"/>
          <w:sz w:val="16"/>
          <w:szCs w:val="16"/>
          <w:vertAlign w:val="superscript"/>
        </w:rPr>
        <w:t>[16]</w:t>
      </w:r>
      <w:r>
        <w:t xml:space="preserve">: </w:t>
      </w:r>
      <w:proofErr w:type="spellStart"/>
      <w:r>
        <w:t>Andersson</w:t>
      </w:r>
      <w:proofErr w:type="spellEnd"/>
      <w:r>
        <w:t xml:space="preserve"> G., </w:t>
      </w:r>
      <w:proofErr w:type="spellStart"/>
      <w:r>
        <w:t>Cuijpers</w:t>
      </w:r>
      <w:proofErr w:type="spellEnd"/>
      <w:r>
        <w:t xml:space="preserve"> P., </w:t>
      </w:r>
      <w:proofErr w:type="spellStart"/>
      <w:r>
        <w:t>Carlbring</w:t>
      </w:r>
      <w:proofErr w:type="spellEnd"/>
      <w:r>
        <w:t xml:space="preserve"> P., </w:t>
      </w:r>
      <w:proofErr w:type="spellStart"/>
      <w:r>
        <w:t>Riper</w:t>
      </w:r>
      <w:proofErr w:type="spellEnd"/>
      <w:r>
        <w:t xml:space="preserve"> H., </w:t>
      </w:r>
      <w:proofErr w:type="spellStart"/>
      <w:r>
        <w:t>Hedman</w:t>
      </w:r>
      <w:proofErr w:type="spellEnd"/>
      <w:r>
        <w:t xml:space="preserve"> E., «</w:t>
      </w:r>
      <w:proofErr w:type="spellStart"/>
      <w:r>
        <w:t>Guided</w:t>
      </w:r>
      <w:proofErr w:type="spellEnd"/>
      <w:r>
        <w:t xml:space="preserve"> Internet-</w:t>
      </w:r>
      <w:proofErr w:type="spellStart"/>
      <w:r>
        <w:t>based</w:t>
      </w:r>
      <w:proofErr w:type="spellEnd"/>
      <w:r>
        <w:t xml:space="preserve"> vs. face-to-face cognitive </w:t>
      </w:r>
      <w:proofErr w:type="spellStart"/>
      <w:r>
        <w:t>behavior</w:t>
      </w:r>
      <w:proofErr w:type="spellEnd"/>
      <w:r>
        <w:t xml:space="preserve"> </w:t>
      </w:r>
      <w:proofErr w:type="spellStart"/>
      <w:r>
        <w:t>therapy</w:t>
      </w:r>
      <w:proofErr w:type="spellEnd"/>
      <w:r>
        <w:t xml:space="preserve"> for </w:t>
      </w:r>
      <w:proofErr w:type="spellStart"/>
      <w:r>
        <w:t>psychiatric</w:t>
      </w:r>
      <w:proofErr w:type="spellEnd"/>
      <w:r>
        <w:t xml:space="preserve"> and </w:t>
      </w:r>
      <w:proofErr w:type="spellStart"/>
      <w:r>
        <w:t>somatic</w:t>
      </w:r>
      <w:proofErr w:type="spellEnd"/>
      <w:r>
        <w:t xml:space="preserve"> </w:t>
      </w:r>
      <w:proofErr w:type="spellStart"/>
      <w:r>
        <w:t>disorders</w:t>
      </w:r>
      <w:proofErr w:type="spellEnd"/>
      <w:r>
        <w:t xml:space="preserve">: a </w:t>
      </w:r>
      <w:proofErr w:type="spellStart"/>
      <w:r>
        <w:t>systematic</w:t>
      </w:r>
      <w:proofErr w:type="spellEnd"/>
      <w:r>
        <w:t xml:space="preserve"> </w:t>
      </w:r>
      <w:proofErr w:type="spellStart"/>
      <w:r>
        <w:t>review</w:t>
      </w:r>
      <w:proofErr w:type="spellEnd"/>
      <w:r>
        <w:t xml:space="preserve"> and meta-</w:t>
      </w:r>
      <w:proofErr w:type="spellStart"/>
      <w:r>
        <w:t>analysis</w:t>
      </w:r>
      <w:proofErr w:type="spellEnd"/>
      <w:r>
        <w:t xml:space="preserve">», World </w:t>
      </w:r>
      <w:proofErr w:type="spellStart"/>
      <w:r>
        <w:t>Psychiatry</w:t>
      </w:r>
      <w:proofErr w:type="spellEnd"/>
      <w:r>
        <w:t>, vol. 13, n. 3, 2014, pp. 288-295. Efficacia comparabile della terapia cognitivo-comportamentale erogata via internet per ansia e depressione di intensità lieve e moderata.</w:t>
      </w:r>
    </w:p>
    <w:p w14:paraId="4FDB16EE" w14:textId="77777777" w:rsidR="007C4598" w:rsidRDefault="00000000">
      <w:pPr>
        <w:jc w:val="both"/>
      </w:pPr>
      <w:r>
        <w:rPr>
          <w:color w:val="555555"/>
          <w:sz w:val="16"/>
          <w:szCs w:val="16"/>
          <w:vertAlign w:val="superscript"/>
        </w:rPr>
        <w:t>[4]</w:t>
      </w:r>
      <w:r>
        <w:t xml:space="preserve">: Regolamento (UE) 2024/1689 del Parlamento europeo e del Consiglio, che stabilisce regole armonizzate sull'intelligenza artificiale. Classificazione per livello di rischio dei sistemi impiegati in ambito sanitario e obblighi connessi; </w:t>
      </w:r>
      <w:proofErr w:type="spellStart"/>
      <w:r>
        <w:t>governance</w:t>
      </w:r>
      <w:proofErr w:type="spellEnd"/>
      <w:r>
        <w:t xml:space="preserve"> prudenziale e supervisione umana.</w:t>
      </w:r>
    </w:p>
    <w:p w14:paraId="230B8D51" w14:textId="77777777" w:rsidR="007C4598" w:rsidRDefault="00000000">
      <w:pPr>
        <w:jc w:val="both"/>
      </w:pPr>
      <w:r>
        <w:rPr>
          <w:color w:val="555555"/>
          <w:sz w:val="16"/>
          <w:szCs w:val="16"/>
          <w:vertAlign w:val="superscript"/>
        </w:rPr>
        <w:t>[15]</w:t>
      </w:r>
      <w:r>
        <w:t xml:space="preserve">: NICE, </w:t>
      </w:r>
      <w:proofErr w:type="spellStart"/>
      <w:r>
        <w:t>Evidence</w:t>
      </w:r>
      <w:proofErr w:type="spellEnd"/>
      <w:r>
        <w:t xml:space="preserve"> </w:t>
      </w:r>
      <w:proofErr w:type="spellStart"/>
      <w:r>
        <w:t>Standards</w:t>
      </w:r>
      <w:proofErr w:type="spellEnd"/>
      <w:r>
        <w:t xml:space="preserve"> Framework for Digital </w:t>
      </w:r>
      <w:proofErr w:type="spellStart"/>
      <w:r>
        <w:t>Health</w:t>
      </w:r>
      <w:proofErr w:type="spellEnd"/>
      <w:r>
        <w:t xml:space="preserve"> Technologies, National </w:t>
      </w:r>
      <w:proofErr w:type="spellStart"/>
      <w:r>
        <w:t>Institute</w:t>
      </w:r>
      <w:proofErr w:type="spellEnd"/>
      <w:r>
        <w:t xml:space="preserve"> for </w:t>
      </w:r>
      <w:proofErr w:type="spellStart"/>
      <w:r>
        <w:t>Health</w:t>
      </w:r>
      <w:proofErr w:type="spellEnd"/>
      <w:r>
        <w:t xml:space="preserve"> and Care </w:t>
      </w:r>
      <w:proofErr w:type="spellStart"/>
      <w:r>
        <w:t>Excellence</w:t>
      </w:r>
      <w:proofErr w:type="spellEnd"/>
      <w:r>
        <w:t xml:space="preserve">, Londra. Quadro internazionale di graduazione dell'evidenza per le tecnologie sanitarie digitali, applicato alla </w:t>
      </w:r>
      <w:proofErr w:type="spellStart"/>
      <w:r>
        <w:t>telepsicologia</w:t>
      </w:r>
      <w:proofErr w:type="spellEnd"/>
      <w:r>
        <w:t xml:space="preserve"> e agli strumenti computazionali e all'</w:t>
      </w:r>
      <w:proofErr w:type="spellStart"/>
      <w:r>
        <w:t>efficientamento</w:t>
      </w:r>
      <w:proofErr w:type="spellEnd"/>
      <w:r>
        <w:t xml:space="preserve"> gestionale.</w:t>
      </w:r>
    </w:p>
    <w:p w14:paraId="0D3922A3" w14:textId="77777777" w:rsidR="007C4598" w:rsidRDefault="00000000">
      <w:pPr>
        <w:jc w:val="both"/>
      </w:pPr>
      <w:r>
        <w:rPr>
          <w:color w:val="555555"/>
          <w:sz w:val="16"/>
          <w:szCs w:val="16"/>
          <w:vertAlign w:val="superscript"/>
        </w:rPr>
        <w:t>[4]</w:t>
      </w:r>
      <w:r>
        <w:t xml:space="preserve">: Regolamento (UE) 2024/1689 del Parlamento europeo e del Consiglio, che stabilisce regole armonizzate sull'intelligenza artificiale. Classificazione per livello di rischio dei sistemi impiegati in ambito sanitario e obblighi connessi; </w:t>
      </w:r>
      <w:proofErr w:type="spellStart"/>
      <w:r>
        <w:t>governance</w:t>
      </w:r>
      <w:proofErr w:type="spellEnd"/>
      <w:r>
        <w:t xml:space="preserve"> prudenziale e supervisione umana.</w:t>
      </w:r>
    </w:p>
    <w:p w14:paraId="63F28242" w14:textId="77777777" w:rsidR="007C4598" w:rsidRDefault="00000000">
      <w:pPr>
        <w:jc w:val="both"/>
      </w:pPr>
      <w:r>
        <w:rPr>
          <w:color w:val="555555"/>
          <w:sz w:val="16"/>
          <w:szCs w:val="16"/>
          <w:vertAlign w:val="superscript"/>
        </w:rPr>
        <w:t>[4]</w:t>
      </w:r>
      <w:r>
        <w:t xml:space="preserve">: Regolamento (UE) 2024/1689 del Parlamento europeo e del Consiglio, che stabilisce regole armonizzate sull'intelligenza artificiale. Classificazione per livello di rischio dei sistemi impiegati in ambito sanitario e obblighi connessi; </w:t>
      </w:r>
      <w:proofErr w:type="spellStart"/>
      <w:r>
        <w:t>governance</w:t>
      </w:r>
      <w:proofErr w:type="spellEnd"/>
      <w:r>
        <w:t xml:space="preserve"> prudenziale e supervisione umana.</w:t>
      </w:r>
    </w:p>
    <w:p w14:paraId="697BFCE9" w14:textId="77777777" w:rsidR="007C4598" w:rsidRDefault="00000000">
      <w:pPr>
        <w:jc w:val="both"/>
      </w:pPr>
      <w:r>
        <w:rPr>
          <w:color w:val="555555"/>
          <w:sz w:val="16"/>
          <w:szCs w:val="16"/>
          <w:vertAlign w:val="superscript"/>
        </w:rPr>
        <w:t>[17]</w:t>
      </w:r>
      <w:r>
        <w:t>: Regolamento (UE) 2016/679 (Regolamento generale sulla protezione dei dati). Valutazione d'impatto sulla protezione dei dati per i trattamenti ad alto rischio, ivi compresi i sistemi predittivi e conversazionali impiegati nel servizio.</w:t>
      </w:r>
    </w:p>
    <w:p w14:paraId="54A255CD" w14:textId="77777777" w:rsidR="007C4598" w:rsidRDefault="00000000">
      <w:pPr>
        <w:jc w:val="both"/>
      </w:pPr>
      <w:r>
        <w:rPr>
          <w:color w:val="555555"/>
          <w:sz w:val="16"/>
          <w:szCs w:val="16"/>
          <w:vertAlign w:val="superscript"/>
        </w:rPr>
        <w:t>[18]</w:t>
      </w:r>
      <w:r>
        <w:t>: Regolamento (UE) 2017/745 (dispositivi medici, MDR) e Regolamento (UE) 2017/746 (dispositivi medico-diagnostici in vitro, IVDR). Qualificazione e valutazione di conformità di taluni strumenti digitali impiegati a fini clinici.</w:t>
      </w:r>
    </w:p>
    <w:p w14:paraId="72C28D89" w14:textId="77777777" w:rsidR="007C4598" w:rsidRDefault="00000000">
      <w:pPr>
        <w:jc w:val="both"/>
      </w:pPr>
      <w:r>
        <w:rPr>
          <w:color w:val="555555"/>
          <w:sz w:val="16"/>
          <w:szCs w:val="16"/>
          <w:vertAlign w:val="superscript"/>
        </w:rPr>
        <w:t>[15]</w:t>
      </w:r>
      <w:r>
        <w:t xml:space="preserve">: NICE, </w:t>
      </w:r>
      <w:proofErr w:type="spellStart"/>
      <w:r>
        <w:t>Evidence</w:t>
      </w:r>
      <w:proofErr w:type="spellEnd"/>
      <w:r>
        <w:t xml:space="preserve"> </w:t>
      </w:r>
      <w:proofErr w:type="spellStart"/>
      <w:r>
        <w:t>Standards</w:t>
      </w:r>
      <w:proofErr w:type="spellEnd"/>
      <w:r>
        <w:t xml:space="preserve"> Framework for Digital </w:t>
      </w:r>
      <w:proofErr w:type="spellStart"/>
      <w:r>
        <w:t>Health</w:t>
      </w:r>
      <w:proofErr w:type="spellEnd"/>
      <w:r>
        <w:t xml:space="preserve"> Technologies, National </w:t>
      </w:r>
      <w:proofErr w:type="spellStart"/>
      <w:r>
        <w:t>Institute</w:t>
      </w:r>
      <w:proofErr w:type="spellEnd"/>
      <w:r>
        <w:t xml:space="preserve"> for </w:t>
      </w:r>
      <w:proofErr w:type="spellStart"/>
      <w:r>
        <w:t>Health</w:t>
      </w:r>
      <w:proofErr w:type="spellEnd"/>
      <w:r>
        <w:t xml:space="preserve"> and Care </w:t>
      </w:r>
      <w:proofErr w:type="spellStart"/>
      <w:r>
        <w:t>Excellence</w:t>
      </w:r>
      <w:proofErr w:type="spellEnd"/>
      <w:r>
        <w:t xml:space="preserve">, Londra. Quadro internazionale di graduazione dell'evidenza per le tecnologie sanitarie digitali, applicato alla </w:t>
      </w:r>
      <w:proofErr w:type="spellStart"/>
      <w:r>
        <w:t>telepsicologia</w:t>
      </w:r>
      <w:proofErr w:type="spellEnd"/>
      <w:r>
        <w:t xml:space="preserve"> e agli strumenti computazionali e all'</w:t>
      </w:r>
      <w:proofErr w:type="spellStart"/>
      <w:r>
        <w:t>efficientamento</w:t>
      </w:r>
      <w:proofErr w:type="spellEnd"/>
      <w:r>
        <w:t xml:space="preserve"> gestionale.</w:t>
      </w:r>
    </w:p>
    <w:p w14:paraId="2CBCA879" w14:textId="77777777" w:rsidR="007C4598" w:rsidRDefault="00000000">
      <w:pPr>
        <w:jc w:val="both"/>
      </w:pPr>
      <w:r>
        <w:rPr>
          <w:color w:val="555555"/>
          <w:sz w:val="16"/>
          <w:szCs w:val="16"/>
          <w:vertAlign w:val="superscript"/>
        </w:rPr>
        <w:t>[19]</w:t>
      </w:r>
      <w:r>
        <w:t xml:space="preserve">: </w:t>
      </w:r>
      <w:proofErr w:type="spellStart"/>
      <w:r>
        <w:t>Kirkpatrick</w:t>
      </w:r>
      <w:proofErr w:type="spellEnd"/>
      <w:r>
        <w:t xml:space="preserve"> D.L., </w:t>
      </w:r>
      <w:proofErr w:type="spellStart"/>
      <w:r>
        <w:t>Kirkpatrick</w:t>
      </w:r>
      <w:proofErr w:type="spellEnd"/>
      <w:r>
        <w:t xml:space="preserve"> J.D., </w:t>
      </w:r>
      <w:proofErr w:type="spellStart"/>
      <w:r>
        <w:t>Evaluating</w:t>
      </w:r>
      <w:proofErr w:type="spellEnd"/>
      <w:r>
        <w:t xml:space="preserve"> Training Programs: The </w:t>
      </w:r>
      <w:proofErr w:type="spellStart"/>
      <w:r>
        <w:t>Four</w:t>
      </w:r>
      <w:proofErr w:type="spellEnd"/>
      <w:r>
        <w:t xml:space="preserve"> </w:t>
      </w:r>
      <w:proofErr w:type="spellStart"/>
      <w:r>
        <w:t>Levels</w:t>
      </w:r>
      <w:proofErr w:type="spellEnd"/>
      <w:r>
        <w:t xml:space="preserve">, III ed., </w:t>
      </w:r>
      <w:proofErr w:type="spellStart"/>
      <w:r>
        <w:t>Berrett</w:t>
      </w:r>
      <w:proofErr w:type="spellEnd"/>
      <w:r>
        <w:t xml:space="preserve">-Koehler </w:t>
      </w:r>
      <w:proofErr w:type="spellStart"/>
      <w:r>
        <w:t>Publishers</w:t>
      </w:r>
      <w:proofErr w:type="spellEnd"/>
      <w:r>
        <w:t>, San Francisco, 2006. Modello a quattro livelli — reazione, apprendimento, comportamento, risultati — per la valutazione dell'efficacia della formazione.</w:t>
      </w:r>
    </w:p>
    <w:p w14:paraId="5C97EC6B" w14:textId="77777777" w:rsidR="007C4598" w:rsidRDefault="00000000">
      <w:pPr>
        <w:jc w:val="both"/>
      </w:pPr>
      <w:r>
        <w:rPr>
          <w:color w:val="555555"/>
          <w:sz w:val="16"/>
          <w:szCs w:val="16"/>
          <w:vertAlign w:val="superscript"/>
        </w:rPr>
        <w:t>[20]</w:t>
      </w:r>
      <w:r>
        <w:t xml:space="preserve">: Phillips J.J., Return on </w:t>
      </w:r>
      <w:proofErr w:type="spellStart"/>
      <w:r>
        <w:t>Investment</w:t>
      </w:r>
      <w:proofErr w:type="spellEnd"/>
      <w:r>
        <w:t xml:space="preserve"> in Training and Performance </w:t>
      </w:r>
      <w:proofErr w:type="spellStart"/>
      <w:r>
        <w:t>Improvement</w:t>
      </w:r>
      <w:proofErr w:type="spellEnd"/>
      <w:r>
        <w:t xml:space="preserve"> Programs, II ed., </w:t>
      </w:r>
      <w:proofErr w:type="spellStart"/>
      <w:r>
        <w:t>Butterworth-Heinemann</w:t>
      </w:r>
      <w:proofErr w:type="spellEnd"/>
      <w:r>
        <w:t xml:space="preserve">, 2003. Estensione del modello di </w:t>
      </w:r>
      <w:proofErr w:type="spellStart"/>
      <w:r>
        <w:t>Kirkpatrick</w:t>
      </w:r>
      <w:proofErr w:type="spellEnd"/>
      <w:r>
        <w:t xml:space="preserve"> con il quinto livello, il ritorno sull'investimento formativo (ROI).</w:t>
      </w:r>
    </w:p>
    <w:p w14:paraId="4B55A321" w14:textId="77777777" w:rsidR="007C4598" w:rsidRDefault="00000000">
      <w:pPr>
        <w:jc w:val="both"/>
      </w:pPr>
      <w:r>
        <w:rPr>
          <w:color w:val="555555"/>
          <w:sz w:val="16"/>
          <w:szCs w:val="16"/>
          <w:vertAlign w:val="superscript"/>
        </w:rPr>
        <w:t>[4]</w:t>
      </w:r>
      <w:r>
        <w:t xml:space="preserve">: Regolamento (UE) 2024/1689 del Parlamento europeo e del Consiglio, che stabilisce regole armonizzate sull'intelligenza artificiale. Classificazione per livello di rischio dei sistemi impiegati in ambito sanitario e obblighi connessi; </w:t>
      </w:r>
      <w:proofErr w:type="spellStart"/>
      <w:r>
        <w:t>governance</w:t>
      </w:r>
      <w:proofErr w:type="spellEnd"/>
      <w:r>
        <w:t xml:space="preserve"> prudenziale e supervisione umana.</w:t>
      </w:r>
    </w:p>
    <w:p w14:paraId="2F601629" w14:textId="77777777" w:rsidR="007C4598" w:rsidRDefault="00000000">
      <w:pPr>
        <w:jc w:val="both"/>
      </w:pPr>
      <w:r>
        <w:rPr>
          <w:color w:val="555555"/>
          <w:sz w:val="16"/>
          <w:szCs w:val="16"/>
          <w:vertAlign w:val="superscript"/>
        </w:rPr>
        <w:t>[15]</w:t>
      </w:r>
      <w:r>
        <w:t xml:space="preserve">: NICE, </w:t>
      </w:r>
      <w:proofErr w:type="spellStart"/>
      <w:r>
        <w:t>Evidence</w:t>
      </w:r>
      <w:proofErr w:type="spellEnd"/>
      <w:r>
        <w:t xml:space="preserve"> </w:t>
      </w:r>
      <w:proofErr w:type="spellStart"/>
      <w:r>
        <w:t>Standards</w:t>
      </w:r>
      <w:proofErr w:type="spellEnd"/>
      <w:r>
        <w:t xml:space="preserve"> Framework for Digital </w:t>
      </w:r>
      <w:proofErr w:type="spellStart"/>
      <w:r>
        <w:t>Health</w:t>
      </w:r>
      <w:proofErr w:type="spellEnd"/>
      <w:r>
        <w:t xml:space="preserve"> Technologies, National </w:t>
      </w:r>
      <w:proofErr w:type="spellStart"/>
      <w:r>
        <w:t>Institute</w:t>
      </w:r>
      <w:proofErr w:type="spellEnd"/>
      <w:r>
        <w:t xml:space="preserve"> for </w:t>
      </w:r>
      <w:proofErr w:type="spellStart"/>
      <w:r>
        <w:t>Health</w:t>
      </w:r>
      <w:proofErr w:type="spellEnd"/>
      <w:r>
        <w:t xml:space="preserve"> and Care </w:t>
      </w:r>
      <w:proofErr w:type="spellStart"/>
      <w:r>
        <w:t>Excellence</w:t>
      </w:r>
      <w:proofErr w:type="spellEnd"/>
      <w:r>
        <w:t xml:space="preserve">, Londra. Quadro internazionale di graduazione dell'evidenza per le tecnologie sanitarie digitali, applicato alla </w:t>
      </w:r>
      <w:proofErr w:type="spellStart"/>
      <w:r>
        <w:t>telepsicologia</w:t>
      </w:r>
      <w:proofErr w:type="spellEnd"/>
      <w:r>
        <w:t xml:space="preserve"> e agli strumenti computazionali e all'</w:t>
      </w:r>
      <w:proofErr w:type="spellStart"/>
      <w:r>
        <w:t>efficientamento</w:t>
      </w:r>
      <w:proofErr w:type="spellEnd"/>
      <w:r>
        <w:t xml:space="preserve"> gestionale.</w:t>
      </w:r>
    </w:p>
    <w:p w14:paraId="143EEF53" w14:textId="77777777" w:rsidR="007C4598" w:rsidRDefault="00000000">
      <w:pPr>
        <w:jc w:val="both"/>
      </w:pPr>
      <w:r>
        <w:rPr>
          <w:color w:val="555555"/>
          <w:sz w:val="16"/>
          <w:szCs w:val="16"/>
          <w:vertAlign w:val="superscript"/>
        </w:rPr>
        <w:t>[21]</w:t>
      </w:r>
      <w:r>
        <w:t>: Programma nazionale di Educazione Continua in Medicina (ECM); Commissione Nazionale per la Formazione Continua e AGENAS. Sistema dei crediti formativi per l'aggiornamento obbligatorio del personale sanitario.</w:t>
      </w:r>
    </w:p>
    <w:p w14:paraId="4D70011E" w14:textId="77777777" w:rsidR="007C4598" w:rsidRDefault="00000000">
      <w:pPr>
        <w:jc w:val="both"/>
      </w:pPr>
      <w:r>
        <w:rPr>
          <w:color w:val="555555"/>
          <w:sz w:val="16"/>
          <w:szCs w:val="16"/>
          <w:vertAlign w:val="superscript"/>
        </w:rPr>
        <w:t>[19]</w:t>
      </w:r>
      <w:r>
        <w:t xml:space="preserve">: </w:t>
      </w:r>
      <w:proofErr w:type="spellStart"/>
      <w:r>
        <w:t>Kirkpatrick</w:t>
      </w:r>
      <w:proofErr w:type="spellEnd"/>
      <w:r>
        <w:t xml:space="preserve"> D.L., </w:t>
      </w:r>
      <w:proofErr w:type="spellStart"/>
      <w:r>
        <w:t>Kirkpatrick</w:t>
      </w:r>
      <w:proofErr w:type="spellEnd"/>
      <w:r>
        <w:t xml:space="preserve"> J.D., </w:t>
      </w:r>
      <w:proofErr w:type="spellStart"/>
      <w:r>
        <w:t>Evaluating</w:t>
      </w:r>
      <w:proofErr w:type="spellEnd"/>
      <w:r>
        <w:t xml:space="preserve"> Training Programs: The </w:t>
      </w:r>
      <w:proofErr w:type="spellStart"/>
      <w:r>
        <w:t>Four</w:t>
      </w:r>
      <w:proofErr w:type="spellEnd"/>
      <w:r>
        <w:t xml:space="preserve"> </w:t>
      </w:r>
      <w:proofErr w:type="spellStart"/>
      <w:r>
        <w:t>Levels</w:t>
      </w:r>
      <w:proofErr w:type="spellEnd"/>
      <w:r>
        <w:t xml:space="preserve">, III ed., </w:t>
      </w:r>
      <w:proofErr w:type="spellStart"/>
      <w:r>
        <w:t>Berrett</w:t>
      </w:r>
      <w:proofErr w:type="spellEnd"/>
      <w:r>
        <w:t xml:space="preserve">-Koehler </w:t>
      </w:r>
      <w:proofErr w:type="spellStart"/>
      <w:r>
        <w:t>Publishers</w:t>
      </w:r>
      <w:proofErr w:type="spellEnd"/>
      <w:r>
        <w:t>, San Francisco, 2006. Modello a quattro livelli — reazione, apprendimento, comportamento, risultati — per la valutazione dell'efficacia della formazione.</w:t>
      </w:r>
    </w:p>
    <w:p w14:paraId="5CE7BE0E" w14:textId="77777777" w:rsidR="007C4598" w:rsidRDefault="00000000">
      <w:pPr>
        <w:jc w:val="both"/>
      </w:pPr>
      <w:r>
        <w:rPr>
          <w:color w:val="555555"/>
          <w:sz w:val="16"/>
          <w:szCs w:val="16"/>
          <w:vertAlign w:val="superscript"/>
        </w:rPr>
        <w:t>[20]</w:t>
      </w:r>
      <w:r>
        <w:t xml:space="preserve">: Phillips J.J., Return on </w:t>
      </w:r>
      <w:proofErr w:type="spellStart"/>
      <w:r>
        <w:t>Investment</w:t>
      </w:r>
      <w:proofErr w:type="spellEnd"/>
      <w:r>
        <w:t xml:space="preserve"> in Training and Performance </w:t>
      </w:r>
      <w:proofErr w:type="spellStart"/>
      <w:r>
        <w:t>Improvement</w:t>
      </w:r>
      <w:proofErr w:type="spellEnd"/>
      <w:r>
        <w:t xml:space="preserve"> Programs, II ed., </w:t>
      </w:r>
      <w:proofErr w:type="spellStart"/>
      <w:r>
        <w:t>Butterworth-Heinemann</w:t>
      </w:r>
      <w:proofErr w:type="spellEnd"/>
      <w:r>
        <w:t xml:space="preserve">, 2003. Estensione del modello di </w:t>
      </w:r>
      <w:proofErr w:type="spellStart"/>
      <w:r>
        <w:t>Kirkpatrick</w:t>
      </w:r>
      <w:proofErr w:type="spellEnd"/>
      <w:r>
        <w:t xml:space="preserve"> con il quinto livello, il ritorno sull'investimento formativo (ROI).</w:t>
      </w:r>
    </w:p>
    <w:p w14:paraId="4172F6FA" w14:textId="77777777" w:rsidR="007C4598" w:rsidRDefault="00000000">
      <w:pPr>
        <w:jc w:val="both"/>
      </w:pPr>
      <w:r>
        <w:rPr>
          <w:color w:val="555555"/>
          <w:sz w:val="16"/>
          <w:szCs w:val="16"/>
          <w:vertAlign w:val="superscript"/>
        </w:rPr>
        <w:t>[22]</w:t>
      </w:r>
      <w:r>
        <w:t xml:space="preserve">: </w:t>
      </w:r>
      <w:proofErr w:type="spellStart"/>
      <w:r>
        <w:t>Rogers</w:t>
      </w:r>
      <w:proofErr w:type="spellEnd"/>
      <w:r>
        <w:t xml:space="preserve"> E.M., </w:t>
      </w:r>
      <w:proofErr w:type="spellStart"/>
      <w:r>
        <w:t>Diffusion</w:t>
      </w:r>
      <w:proofErr w:type="spellEnd"/>
      <w:r>
        <w:t xml:space="preserve"> of </w:t>
      </w:r>
      <w:proofErr w:type="spellStart"/>
      <w:r>
        <w:t>Innovations</w:t>
      </w:r>
      <w:proofErr w:type="spellEnd"/>
      <w:r>
        <w:t>, V ed., Free Press, New York, 2003. Teoria della diffusione delle innovazioni e curve di adozione tecnologica; il ruolo della competenza degli adottanti nella pendenza della curva.</w:t>
      </w:r>
    </w:p>
    <w:p w14:paraId="7279B121" w14:textId="77777777" w:rsidR="007C4598" w:rsidRDefault="00000000">
      <w:pPr>
        <w:jc w:val="both"/>
      </w:pPr>
      <w:r>
        <w:rPr>
          <w:color w:val="555555"/>
          <w:sz w:val="16"/>
          <w:szCs w:val="16"/>
          <w:vertAlign w:val="superscript"/>
        </w:rPr>
        <w:t>[23]</w:t>
      </w:r>
      <w:r>
        <w:t xml:space="preserve">: </w:t>
      </w:r>
      <w:proofErr w:type="spellStart"/>
      <w:r>
        <w:t>Sullivan</w:t>
      </w:r>
      <w:proofErr w:type="spellEnd"/>
      <w:r>
        <w:t xml:space="preserve"> S.D., </w:t>
      </w:r>
      <w:proofErr w:type="spellStart"/>
      <w:r>
        <w:t>Mauskopf</w:t>
      </w:r>
      <w:proofErr w:type="spellEnd"/>
      <w:r>
        <w:t xml:space="preserve"> J.A., </w:t>
      </w:r>
      <w:proofErr w:type="spellStart"/>
      <w:r>
        <w:t>Augustovski</w:t>
      </w:r>
      <w:proofErr w:type="spellEnd"/>
      <w:r>
        <w:t xml:space="preserve"> F. et al., «Budget impact </w:t>
      </w:r>
      <w:proofErr w:type="spellStart"/>
      <w:r>
        <w:t>analysis</w:t>
      </w:r>
      <w:proofErr w:type="spellEnd"/>
      <w:r>
        <w:t>—</w:t>
      </w:r>
      <w:proofErr w:type="spellStart"/>
      <w:r>
        <w:t>principles</w:t>
      </w:r>
      <w:proofErr w:type="spellEnd"/>
      <w:r>
        <w:t xml:space="preserve"> of </w:t>
      </w:r>
      <w:proofErr w:type="spellStart"/>
      <w:r>
        <w:t>good</w:t>
      </w:r>
      <w:proofErr w:type="spellEnd"/>
      <w:r>
        <w:t xml:space="preserve"> </w:t>
      </w:r>
      <w:proofErr w:type="spellStart"/>
      <w:r>
        <w:t>practice</w:t>
      </w:r>
      <w:proofErr w:type="spellEnd"/>
      <w:r>
        <w:t xml:space="preserve">: report of the ISPOR 2012 Budget Impact Analysis </w:t>
      </w:r>
      <w:proofErr w:type="spellStart"/>
      <w:r>
        <w:t>Good</w:t>
      </w:r>
      <w:proofErr w:type="spellEnd"/>
      <w:r>
        <w:t xml:space="preserve"> </w:t>
      </w:r>
      <w:proofErr w:type="spellStart"/>
      <w:r>
        <w:t>Practice</w:t>
      </w:r>
      <w:proofErr w:type="spellEnd"/>
      <w:r>
        <w:t xml:space="preserve"> II Task Force», Value in </w:t>
      </w:r>
      <w:proofErr w:type="spellStart"/>
      <w:r>
        <w:t>Health</w:t>
      </w:r>
      <w:proofErr w:type="spellEnd"/>
      <w:r>
        <w:t>, vol. 17, n. 1, 2014, pp. 5-14. Buone pratiche per l'analisi di impatto di bilancio, richiamata per il rinvio alla valutazione economica integrata.</w:t>
      </w:r>
    </w:p>
    <w:p w14:paraId="418D36CD" w14:textId="77777777" w:rsidR="007C4598" w:rsidRDefault="00000000">
      <w:r>
        <w:br w:type="page"/>
      </w:r>
    </w:p>
    <w:p w14:paraId="617C1B08" w14:textId="77777777" w:rsidR="007C4598" w:rsidRDefault="00000000">
      <w:pPr>
        <w:spacing w:before="1200" w:after="200"/>
        <w:jc w:val="center"/>
      </w:pPr>
      <w:r>
        <w:rPr>
          <w:b/>
          <w:bCs/>
          <w:color w:val="C49A48"/>
          <w:sz w:val="64"/>
          <w:szCs w:val="64"/>
        </w:rPr>
        <w:t>PARTE VIII</w:t>
      </w:r>
    </w:p>
    <w:p w14:paraId="7125E376" w14:textId="77777777" w:rsidR="007C4598" w:rsidRDefault="00000000">
      <w:pPr>
        <w:spacing w:after="600"/>
        <w:jc w:val="center"/>
      </w:pPr>
      <w:r>
        <w:rPr>
          <w:b/>
          <w:bCs/>
          <w:color w:val="16264B"/>
          <w:sz w:val="32"/>
          <w:szCs w:val="32"/>
        </w:rPr>
        <w:t>Benefici e risparmi diretti (rinegoziazione integrale)</w:t>
      </w:r>
    </w:p>
    <w:p w14:paraId="559412BD" w14:textId="77777777" w:rsidR="007C4598" w:rsidRDefault="007C4598">
      <w:pPr>
        <w:pBdr>
          <w:bottom w:val="single" w:sz="6" w:space="1" w:color="C49A48"/>
        </w:pBdr>
        <w:spacing w:after="200"/>
      </w:pPr>
    </w:p>
    <w:p w14:paraId="2C9FB3A7" w14:textId="77777777" w:rsidR="007C4598" w:rsidRDefault="00000000">
      <w:pPr>
        <w:jc w:val="both"/>
      </w:pPr>
      <w:r>
        <w:t>Studio Integrale Puglia · Parte VIII — Benefici e risparmi diretti</w:t>
      </w:r>
    </w:p>
    <w:p w14:paraId="05BBE317" w14:textId="77777777" w:rsidR="007C4598" w:rsidRDefault="007C4598"/>
    <w:p w14:paraId="14039F88" w14:textId="77777777" w:rsidR="007C4598" w:rsidRDefault="00000000">
      <w:pPr>
        <w:jc w:val="both"/>
      </w:pPr>
      <w:r>
        <w:rPr>
          <w:b/>
          <w:bCs/>
        </w:rPr>
        <w:t>PROGETTO « PSICOLOGO DI BASE » · REGIONE PUGLIA</w:t>
      </w:r>
    </w:p>
    <w:p w14:paraId="6A0BE465" w14:textId="77777777" w:rsidR="007C4598" w:rsidRDefault="007C4598"/>
    <w:p w14:paraId="6545D52D" w14:textId="77777777" w:rsidR="007C4598" w:rsidRDefault="00000000">
      <w:pPr>
        <w:jc w:val="both"/>
      </w:pPr>
      <w:r>
        <w:rPr>
          <w:b/>
          <w:bCs/>
        </w:rPr>
        <w:t>Studio Integrale, Finale e Definitivo</w:t>
      </w:r>
    </w:p>
    <w:p w14:paraId="430FFB0F" w14:textId="77777777" w:rsidR="007C4598" w:rsidRDefault="007C4598"/>
    <w:p w14:paraId="571F54E0" w14:textId="77777777" w:rsidR="007C4598" w:rsidRDefault="00000000">
      <w:pPr>
        <w:jc w:val="both"/>
      </w:pPr>
      <w:r>
        <w:rPr>
          <w:b/>
          <w:bCs/>
        </w:rPr>
        <w:t>Parte VIII</w:t>
      </w:r>
    </w:p>
    <w:p w14:paraId="6807FAD3" w14:textId="77777777" w:rsidR="007C4598" w:rsidRDefault="007C4598"/>
    <w:p w14:paraId="152E6E9C" w14:textId="77777777" w:rsidR="007C4598" w:rsidRDefault="00000000">
      <w:pPr>
        <w:jc w:val="both"/>
      </w:pPr>
      <w:r>
        <w:rPr>
          <w:b/>
          <w:bCs/>
        </w:rPr>
        <w:t>Benefici e risparmi diretti</w:t>
      </w:r>
    </w:p>
    <w:p w14:paraId="3156171D" w14:textId="77777777" w:rsidR="007C4598" w:rsidRDefault="007C4598"/>
    <w:p w14:paraId="4EC16F1A" w14:textId="77777777" w:rsidR="007C4598" w:rsidRDefault="00000000">
      <w:pPr>
        <w:jc w:val="both"/>
      </w:pPr>
      <w:r>
        <w:rPr>
          <w:b/>
          <w:bCs/>
        </w:rPr>
        <w:t>(rinegoziazione integrale)</w:t>
      </w:r>
    </w:p>
    <w:p w14:paraId="6DD021CB" w14:textId="77777777" w:rsidR="007C4598" w:rsidRDefault="007C4598"/>
    <w:p w14:paraId="64AD516B" w14:textId="77777777" w:rsidR="007C4598" w:rsidRDefault="00000000">
      <w:pPr>
        <w:jc w:val="both"/>
      </w:pPr>
      <w:r>
        <w:rPr>
          <w:i/>
          <w:iCs/>
        </w:rPr>
        <w:t>La rinegoziazione dei risparmi diretti per il bilancio sanitario regionale lungo i quattro canali del risparmio fiscale: farmaceutica, pronto soccorso e ricoveri, mobilità passiva, specialistica e invii impropri</w:t>
      </w:r>
    </w:p>
    <w:p w14:paraId="68196CA1" w14:textId="77777777" w:rsidR="007C4598" w:rsidRDefault="007C4598"/>
    <w:p w14:paraId="326958DF" w14:textId="77777777" w:rsidR="007C4598" w:rsidRDefault="00000000">
      <w:pPr>
        <w:jc w:val="both"/>
      </w:pPr>
      <w:r>
        <w:t xml:space="preserve">Telaio HTA · </w:t>
      </w:r>
      <w:proofErr w:type="spellStart"/>
      <w:r>
        <w:t>Five</w:t>
      </w:r>
      <w:proofErr w:type="spellEnd"/>
      <w:r>
        <w:t xml:space="preserve"> Case Model · CHEERS 2022 · criteri OCSE-DAC</w:t>
      </w:r>
    </w:p>
    <w:p w14:paraId="0E832A92" w14:textId="77777777" w:rsidR="007C4598" w:rsidRDefault="007C4598"/>
    <w:p w14:paraId="5904E86C" w14:textId="77777777" w:rsidR="007C4598" w:rsidRDefault="00000000">
      <w:pPr>
        <w:jc w:val="both"/>
      </w:pPr>
      <w:r>
        <w:t>Cascata gerarchica piramidale dallo Psicologo di Base · perimetro multidisciplinare integrale</w:t>
      </w:r>
    </w:p>
    <w:p w14:paraId="2C5558B8" w14:textId="77777777" w:rsidR="007C4598" w:rsidRDefault="007C4598"/>
    <w:p w14:paraId="61394A62" w14:textId="77777777" w:rsidR="007C4598" w:rsidRDefault="00000000">
      <w:pPr>
        <w:jc w:val="both"/>
      </w:pPr>
      <w:r>
        <w:rPr>
          <w:b/>
          <w:bCs/>
        </w:rPr>
        <w:t>Autore intellettuale della riforma: Luigi De Michele</w:t>
      </w:r>
    </w:p>
    <w:p w14:paraId="6DE76CA3" w14:textId="77777777" w:rsidR="007C4598" w:rsidRDefault="007C4598"/>
    <w:p w14:paraId="623F9DA7" w14:textId="77777777" w:rsidR="007C4598" w:rsidRDefault="00000000">
      <w:pPr>
        <w:jc w:val="both"/>
      </w:pPr>
      <w:r>
        <w:t>Codice fiscale DMCLGU82E11Z112C · PEC luigidemichele@legalmail.it</w:t>
      </w:r>
    </w:p>
    <w:p w14:paraId="3D8FF3D9" w14:textId="77777777" w:rsidR="007C4598" w:rsidRDefault="007C4598"/>
    <w:p w14:paraId="568AA00D" w14:textId="77777777" w:rsidR="007C4598" w:rsidRDefault="00000000">
      <w:pPr>
        <w:jc w:val="both"/>
      </w:pPr>
      <w:r>
        <w:t>Giugno 2026</w:t>
      </w:r>
    </w:p>
    <w:p w14:paraId="1F2AF2DC"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9026"/>
      </w:tblGrid>
      <w:tr w:rsidR="007C4598" w14:paraId="7DB958C0"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DB3971F" w14:textId="77777777" w:rsidR="007C4598" w:rsidRDefault="00000000">
            <w:pPr>
              <w:spacing w:after="40"/>
            </w:pPr>
            <w:r>
              <w:rPr>
                <w:b/>
                <w:bCs/>
                <w:color w:val="FFFFFF"/>
                <w:sz w:val="18"/>
                <w:szCs w:val="18"/>
              </w:rPr>
              <w:t xml:space="preserve">Avvertenza sui vincoli metodologici invarianti La presente parte è governata dai vincoli metodologici invarianti dell’opera, che nessuna stima può violare. Il ritorno economico degli investimenti in salute mentale è espresso nei soli intervalli corretti, compresi tra 2,3 e 3,0 a 1 per i soli benefici economici e tra 3,3 e 5,7 a 1 con l’inclusione dei ritorni in salute; sono esclusi i valori non sostenuti dalla letteratura. Il </w:t>
            </w:r>
            <w:proofErr w:type="spellStart"/>
            <w:r>
              <w:rPr>
                <w:b/>
                <w:bCs/>
                <w:color w:val="FFFFFF"/>
                <w:sz w:val="18"/>
                <w:szCs w:val="18"/>
              </w:rPr>
              <w:t>caveat</w:t>
            </w:r>
            <w:proofErr w:type="spellEnd"/>
            <w:r>
              <w:rPr>
                <w:b/>
                <w:bCs/>
                <w:color w:val="FFFFFF"/>
                <w:sz w:val="18"/>
                <w:szCs w:val="18"/>
              </w:rPr>
              <w:t xml:space="preserve"> dell’IMPACT trial, secondo cui i risparmi sui costi sanitari diretti non raggiungono la significatività statistica, è preservato: ogni risparmio diretto qui stimato è espresso in bande prudenziali e non in valori puntuali. Le grandezze fiscali dirette e quelle sociali e indirette sono mantenute rigorosamente distinte, senza duplicazioni tra le categorie: i risparmi diretti di questa parte non sono mai sommati ai benefici sociali della nona parte. La regola di non duplicazione vieta di attribuire il medesimo risparmio a più canali e di sommare il contributo della leva digitale e dell’Intelligenza Artificiale ai risparmi dei canali entro cui esso già si esprime; tale contributo è isolato, e non aggiunto, nella voce 8.5. Ogni evidenza, comprese quelle relative all’Intelligenza Artificiale, è graduata secondo la sua qualità con il medesimo rigore applicato alle affermazioni cliniche.</w:t>
            </w:r>
          </w:p>
        </w:tc>
      </w:tr>
    </w:tbl>
    <w:p w14:paraId="4A8EAB72" w14:textId="77777777" w:rsidR="007C4598" w:rsidRDefault="007C4598"/>
    <w:p w14:paraId="5E540B41" w14:textId="77777777" w:rsidR="007C4598" w:rsidRDefault="00000000">
      <w:pPr>
        <w:pStyle w:val="Titolo1"/>
        <w:pageBreakBefore/>
      </w:pPr>
      <w:r>
        <w:rPr>
          <w:sz w:val="22"/>
          <w:szCs w:val="22"/>
        </w:rPr>
        <w:t>Premessa</w:t>
      </w:r>
    </w:p>
    <w:p w14:paraId="5940AA75" w14:textId="77777777" w:rsidR="007C4598" w:rsidRDefault="007C4598"/>
    <w:p w14:paraId="20D82F49" w14:textId="77777777" w:rsidR="007C4598" w:rsidRDefault="00000000">
      <w:pPr>
        <w:jc w:val="both"/>
      </w:pPr>
      <w:r>
        <w:rPr>
          <w:i/>
          <w:iCs/>
        </w:rPr>
        <w:t>La presente parte rinegozia i benefici e i risparmi diretti dell’introduzione del Servizio di Psicologia di Base in Puglia. Per benefici e risparmi diretti si intendono, in senso stretto, le minori uscite a carico del bilancio sanitario regionale che la riforma rende conseguibili: il denaro pubblico oggi speso in prestazioni, farmaci e ricoveri che l’intercettazione precoce del disagio comune consente di non spendere, ovvero di trattenere sul territorio. La parte ricostruisce questi risparmi canale per canale, ne stima l’ordine di grandezza entro bande prudenziali, ne isola la quota incrementale attribuibile alla leva digitale e all’Intelligenza Artificiale e ne restituisce l’aggregato per ciascuno dei tre scenari di copertura. La rinegoziazione consiste nel ridefinire questi risparmi alla luce del perimetro integrale dell’opera e della cascata gerarchica delle figure, mantenendoli rigorosamente distinti dalle ricadute economico-sociali indirette, che la nona parte tratta separatamente e che in nessun punto sono qui sommate alle grandezze fiscali.</w:t>
      </w:r>
    </w:p>
    <w:p w14:paraId="209AC2C3" w14:textId="77777777" w:rsidR="007C4598" w:rsidRDefault="007C4598"/>
    <w:p w14:paraId="6C2E7201" w14:textId="77777777" w:rsidR="007C4598" w:rsidRDefault="00000000">
      <w:pPr>
        <w:jc w:val="both"/>
      </w:pPr>
      <w:r>
        <w:t>Il principio che governa questa parte è il medesimo che attraversa l’intero studio: la separazione tra ciò che il bilancio sanitario regionale risparmia e ciò che la collettività guadagna. La prima grandezza ha natura fiscale e cade direttamente sul fondo sanitario regionale; la seconda ha natura sociale e si distribuisce sul sistema previdenziale, sul mercato del lavoro, sulla giustizia, sull’istruzione e sulle famiglie. Le due grandezze sono quantificate distintamente, presentate in tabelle separate e mai ricomposte in un unico saldo né espresse in un unico rapporto. Questa parte tratta esclusivamente la prima. La regola di non duplicazione, enunciata nella prima parte come vincolo invariante, qui assume la forma operativa più stringente: nessun euro può essere contato due volte, né attribuito contemporaneamente a più canali, né trasferito dalla colonna sociale a quella fiscale per ingrossare il risparmio.</w:t>
      </w:r>
    </w:p>
    <w:p w14:paraId="4CD86EEC" w14:textId="77777777" w:rsidR="007C4598" w:rsidRDefault="007C4598"/>
    <w:p w14:paraId="2624366B" w14:textId="77777777" w:rsidR="007C4598" w:rsidRDefault="00000000">
      <w:pPr>
        <w:jc w:val="both"/>
      </w:pPr>
      <w:r>
        <w:t>Un secondo vincolo, anch’esso invariante, disciplina la lettura di ogni cifra qui riportata. L’evidenza internazionale stabilisce con solidità che l’integrazione strutturata della psicologia nelle cure primarie migliora gli esiti dei disturbi mentali comuni; non stabilisce con pari solidità che a quel miglioramento clinico corrisponda un risparmio sui costi sanitari diretti statisticamente significativo. Lo studio di riferimento sull’assistenza collaborativa per la depressione, condotto su un orizzonte quadriennale, ha documentato una tendenza al risparmio i cui intervalli di confidenza attraversano lo zero</w:t>
      </w:r>
      <w:r>
        <w:rPr>
          <w:color w:val="555555"/>
          <w:sz w:val="16"/>
          <w:szCs w:val="16"/>
          <w:vertAlign w:val="superscript"/>
        </w:rPr>
        <w:t>[1]</w:t>
      </w:r>
      <w:r>
        <w:t>: il dato è coerente con un risparmio, ma non lo certifica con la sicurezza con cui certifica l’efficacia clinica. Per questa ragione ogni risparmio diretto qui stimato è espresso non come valore puntuale, ma come banda prudenziale, e ogni proiezione conserva la cautela che la qualità dell’evidenza impone. La parte ottava non promette al decisore un grande risparmio sanitario: gli offre una stima onesta, ancorata alla letteratura e ai dati regionali, di un risparmio reale ma contenuto, la cui giustificazione piena emergerà soltanto quando, nella nona e nella decima parte, alle grandezze fiscali si affiancheranno quelle sociali.</w:t>
      </w:r>
    </w:p>
    <w:p w14:paraId="564862D0" w14:textId="77777777" w:rsidR="007C4598" w:rsidRDefault="007C4598"/>
    <w:p w14:paraId="3203AB64" w14:textId="77777777" w:rsidR="007C4598" w:rsidRDefault="00000000">
      <w:pPr>
        <w:pStyle w:val="Titolo1"/>
        <w:pageBreakBefore/>
      </w:pPr>
      <w:r>
        <w:rPr>
          <w:sz w:val="22"/>
          <w:szCs w:val="22"/>
        </w:rPr>
        <w:t>Introduzione</w:t>
      </w:r>
    </w:p>
    <w:p w14:paraId="51D2EF66" w14:textId="77777777" w:rsidR="007C4598" w:rsidRDefault="007C4598"/>
    <w:p w14:paraId="2436EE41" w14:textId="77777777" w:rsidR="007C4598" w:rsidRDefault="00000000">
      <w:pPr>
        <w:jc w:val="both"/>
      </w:pPr>
      <w:r>
        <w:rPr>
          <w:i/>
          <w:iCs/>
        </w:rPr>
        <w:t>L’introduzione fissa l’oggetto, il metodo e i confini della rinegoziazione dei risparmi diretti. Essa definisce la nozione di risparmio diretto e la distingue dalle nozioni contigue di costo evitato e di beneficio sociale; richiama la mappa dei quattro canali attraverso cui il risparmio si forma e la loro corrispondenza con le voci di questa parte; espone il metodo di stima, fondato sull’ancoraggio di ciascun canale a una grandezza regionale e a un parametro tratto dall’evidenza, e sul ricorso sistematico a bande prudenziali; richiama i vincoli invarianti che governano ogni cifra; e anticipa l’esito aggregato che la voce conclusiva ricomporrà, affinché il lettore conosca fin dall’inizio la misura e il senso del risparmio diretto complessivo.</w:t>
      </w:r>
    </w:p>
    <w:p w14:paraId="6A5EF10D" w14:textId="77777777" w:rsidR="007C4598" w:rsidRDefault="007C4598"/>
    <w:p w14:paraId="57527DD3" w14:textId="77777777" w:rsidR="007C4598" w:rsidRDefault="00000000">
      <w:pPr>
        <w:pStyle w:val="Titolo2"/>
        <w:spacing w:before="200" w:after="100"/>
      </w:pPr>
      <w:r>
        <w:rPr>
          <w:sz w:val="22"/>
          <w:szCs w:val="22"/>
        </w:rPr>
        <w:t>La nozione di risparmio diretto e la sua distinzione dalle grandezze contigue</w:t>
      </w:r>
    </w:p>
    <w:p w14:paraId="12B1FC65" w14:textId="77777777" w:rsidR="007C4598" w:rsidRDefault="007C4598"/>
    <w:p w14:paraId="512C6204" w14:textId="77777777" w:rsidR="007C4598" w:rsidRDefault="00000000">
      <w:pPr>
        <w:jc w:val="both"/>
      </w:pPr>
      <w:r>
        <w:t>Il risparmio diretto è la minore spesa che il Servizio sanitario regionale sostiene in conseguenza dell’introduzione del servizio. Esso si manifesta come differenza, anno per anno e a parità di ogni altra condizione, tra la spesa sanitaria regionale nello scenario con il servizio e la spesa nello scenario senza il servizio. La grandezza ha tre caratteristiche che ne fissano la natura. È fiscale, perché cade sul bilancio del detentore del budget sanitario, e non sulla collettività nel suo insieme. È diretta, perché discende immediatamente dalla riduzione del consumo di risorse sanitarie — farmaci, prestazioni, accessi, ricoveri, prestazioni acquisite fuori regione — e non per il tramite di catene causali più lunghe che attraversano il lavoro, la previdenza o l’assistenza. Ed è attualizzabile e collocabile nel tempo, perché si dispiega come flusso annuale, suscettibile di confronto con il flusso annuale dei costi del servizio descritti nella settima parte, fino al punto in cui i due flussi si pareggiano.</w:t>
      </w:r>
    </w:p>
    <w:p w14:paraId="2EB91D8E" w14:textId="77777777" w:rsidR="007C4598" w:rsidRDefault="007C4598"/>
    <w:p w14:paraId="0EAF8BDC" w14:textId="77777777" w:rsidR="007C4598" w:rsidRDefault="00000000">
      <w:pPr>
        <w:jc w:val="both"/>
      </w:pPr>
      <w:r>
        <w:t>Questa nozione va tenuta distinta da due grandezze contigue con cui è facile confonderla. La prima è il beneficio sociale, ossia il valore che la riduzione del disagio genera per la collettività attraverso la maggiore produttività, le minori erogazioni previdenziali e assistenziali, i minori costi della giustizia e dell’istruzione: grandezza reale e di ordine superiore a quella fiscale, ma di natura diversa, perché non cade sul bilancio sanitario e perché si distribuisce su una pluralità di soggetti pubblici e privati. Essa è oggetto della nona parte e qui non viene contata. La seconda è il costo evitato in senso lato, ossia la spesa che si sarebbe sostenuta in assenza di intercettazione e che la cronicizzazione avrebbe reso necessaria negli anni successivi: grandezza che la modellazione della undicesima parte proietta nel tempo, ma che in questa sede entra soltanto nella misura in cui si traduce, esercizio per esercizio, in minore spesa sanitaria effettiva. La precisione di queste distinzioni non è un tecnicismo, ma la condizione perché il risparmio diretto resti una grandezza definita, misurabile e non gonfiata.</w:t>
      </w:r>
    </w:p>
    <w:p w14:paraId="7F951E08" w14:textId="77777777" w:rsidR="007C4598" w:rsidRDefault="007C4598"/>
    <w:p w14:paraId="16AE1211" w14:textId="77777777" w:rsidR="007C4598" w:rsidRDefault="00000000">
      <w:pPr>
        <w:pStyle w:val="Titolo2"/>
        <w:spacing w:before="200" w:after="100"/>
      </w:pPr>
      <w:r>
        <w:rPr>
          <w:sz w:val="22"/>
          <w:szCs w:val="22"/>
        </w:rPr>
        <w:t>La mappa dei quattro canali e la loro corrispondenza con le voci della parte</w:t>
      </w:r>
    </w:p>
    <w:p w14:paraId="2EF7E514" w14:textId="77777777" w:rsidR="007C4598" w:rsidRDefault="007C4598"/>
    <w:p w14:paraId="771BEE01" w14:textId="77777777" w:rsidR="007C4598" w:rsidRDefault="00000000">
      <w:pPr>
        <w:jc w:val="both"/>
      </w:pPr>
      <w:r>
        <w:t>Il risparmio diretto per il bilancio sanitario regionale si forma attraverso quattro canali, ciascuno ancorato a una grandezza regionale documentata e a un parametro di effetto tratto dall’evidenza. Il primo canale è la riduzione della spesa farmaceutica inappropriata, che agisce sui margini di appropriatezza segnalati dalla compresenza, in Puglia, di un consumo complessivo tra i più elevati d’Italia e di una ridotta intercettazione del disagio psichico. Il secondo canale è la riduzione degli accessi impropri al pronto soccorso e dei ricoveri evitabili, che muove dall’elevatissima quota di accessi inappropriati e dall’</w:t>
      </w:r>
      <w:proofErr w:type="spellStart"/>
      <w:r>
        <w:t>iper</w:t>
      </w:r>
      <w:proofErr w:type="spellEnd"/>
      <w:r>
        <w:t>-utilizzo ospedaliero associato ai sintomi somatici funzionali. Il terzo canale è la riduzione della mobilità sanitaria passiva, il più distintivo del caso pugliese, che trattiene sul territorio una quota della domanda oggi in fuga verso altre regioni. Il quarto canale è la riduzione degli esami, delle visite specialistiche e degli invii impropri, che opera sulla domanda di prestazioni specialistiche generata dal disagio non riconosciuto.</w:t>
      </w:r>
    </w:p>
    <w:p w14:paraId="05868FFB" w14:textId="77777777" w:rsidR="007C4598" w:rsidRDefault="007C4598"/>
    <w:p w14:paraId="164E4E27" w14:textId="77777777" w:rsidR="007C4598" w:rsidRDefault="00000000">
      <w:pPr>
        <w:jc w:val="both"/>
      </w:pPr>
      <w:r>
        <w:t>Questi quattro canali si distribuiscono nelle voci della presente parte secondo una corrispondenza che conviene esplicitare per la chiarezza del lettore. La voce 8.1 sviluppa il primo canale, quello farmaceutico. La voce 8.2 sviluppa congiuntamente la componente del pronto soccorso e quella dei ricoveri, che condividono il medesimo meccanismo di intercettazione a monte dell’acuzie. La voce 8.3 sviluppa il canale della mobilità passiva recuperata. La voce 8.4 sviluppa la componente specialistica, ossia gli esami, le visite e gli invii impropri, che la valutazione economica della quinta lettera del telaio aveva trattato in forma aggregata con i ricoveri e che qui, per la maggiore granularità propria di questa parte, viene isolata. La voce 8.5 non aggiunge un quinto canale, ma attraversa i quattro precedenti per isolare, all’interno di ciascuno, la quota incrementale di risparmio attribuibile alla leva digitale e all’Intelligenza Artificiale, nel rispetto della regola di non duplicazione. La voce 8.6, infine, ricompone i canali nell’aggregato per scenario e lo confronta con i costi diretti, restituendo il saldo che costituisce la sintesi quantitativa di questa parte.</w:t>
      </w:r>
      <w:r>
        <w:rPr>
          <w:color w:val="555555"/>
          <w:sz w:val="16"/>
          <w:szCs w:val="16"/>
          <w:vertAlign w:val="superscript"/>
        </w:rPr>
        <w:t>[2]</w:t>
      </w:r>
    </w:p>
    <w:p w14:paraId="5518E9F6" w14:textId="77777777" w:rsidR="007C4598" w:rsidRDefault="007C4598"/>
    <w:p w14:paraId="37D45A42" w14:textId="77777777" w:rsidR="007C4598" w:rsidRDefault="00000000">
      <w:pPr>
        <w:pStyle w:val="Titolo2"/>
        <w:spacing w:before="200" w:after="100"/>
      </w:pPr>
      <w:r>
        <w:rPr>
          <w:sz w:val="22"/>
          <w:szCs w:val="22"/>
        </w:rPr>
        <w:t>Il metodo di stima e il ricorso alle bande prudenziali</w:t>
      </w:r>
    </w:p>
    <w:p w14:paraId="68977249" w14:textId="77777777" w:rsidR="007C4598" w:rsidRDefault="007C4598"/>
    <w:p w14:paraId="15085255" w14:textId="77777777" w:rsidR="007C4598" w:rsidRDefault="00000000">
      <w:pPr>
        <w:jc w:val="both"/>
      </w:pPr>
      <w:r>
        <w:t xml:space="preserve">La stima di ciascun canale segue un procedimento uniforme, costruito in cinque passaggi. Il primo individua la grandezza regionale di ancoraggio: la spesa, il volume di prestazioni o il flusso finanziario su cui il canale agisce, misurato sui dati pubblici disponibili e destinato a essere sostituito dal dato certificato regionale non appena acquisito. Il secondo individua, all’interno di quella grandezza, la frazione potenzialmente comprimibile, ossia la quota riconducibile al disagio comune intercettabile dal primo livello psicologico, distinta dalla quota fisiologica e incomprimibile. Il terzo applica il parametro di effetto tratto dall’evidenza, ossia la misura in cui l’intercettazione riduce quella frazione comprimibile, desunta dalla letteratura internazionale e graduata secondo la sua qualità. Il quarto introduce la quota di adesione e di copertura propria di ciascuno scenario, poiché solo una parte del bisogno potenziale si traduce in domanda effettiva e in presa in carico, e poiché il dimensionamento del servizio cresce dallo scenario conservativo a quello espansivo. Il quinto, infine, applica una riduzione prudenziale che incorpora l’incertezza residua e il </w:t>
      </w:r>
      <w:proofErr w:type="spellStart"/>
      <w:r>
        <w:t>caveat</w:t>
      </w:r>
      <w:proofErr w:type="spellEnd"/>
      <w:r>
        <w:t xml:space="preserve"> sulla significatività statistica del risparmio.</w:t>
      </w:r>
    </w:p>
    <w:p w14:paraId="7B4B4B5C" w14:textId="77777777" w:rsidR="007C4598" w:rsidRDefault="007C4598"/>
    <w:p w14:paraId="12970960" w14:textId="77777777" w:rsidR="007C4598" w:rsidRDefault="00000000">
      <w:pPr>
        <w:jc w:val="both"/>
      </w:pPr>
      <w:r>
        <w:t>Da questo procedimento discende la forma in cui ogni risultato è espresso. Nessun canale produce un valore puntuale; ciascuno produce una banda, il cui estremo inferiore corrisponde allo scenario conservativo e a parametri cauti, e il cui estremo superiore corrisponde allo scenario espansivo e a parametri più favorevoli, ma sempre interni all’intervallo documentato dalla letteratura. La banda non è un’ammissione di debolezza, ma la rappresentazione corretta di una grandezza incerta: essa dichiara al decisore l’ampiezza dell’incertezza anziché occultarla dietro una falsa precisione, e indica nel restringimento progressivo dell’intervallo, attraverso l’acquisizione dei dati regionali certificati, la via per sostituire la stima con la misura. I rapporti beneficio-costo eventualmente richiamati in questa parte restano contenuti entro la fascia metodologicamente fondata dalla letteratura internazionale, compresa tra 2,3 e 3,0 a 1 per i soli benefici economici e tra 3,3 e 5,7 a 1 con l’inclusione dei ritorni in salute; nessun valore esterno a tale fascia è utilizzato.</w:t>
      </w:r>
      <w:r>
        <w:rPr>
          <w:color w:val="555555"/>
          <w:sz w:val="16"/>
          <w:szCs w:val="16"/>
          <w:vertAlign w:val="superscript"/>
        </w:rPr>
        <w:t>[3]</w:t>
      </w:r>
    </w:p>
    <w:p w14:paraId="474F7294" w14:textId="77777777" w:rsidR="007C4598" w:rsidRDefault="007C4598"/>
    <w:p w14:paraId="4DEB7547" w14:textId="77777777" w:rsidR="007C4598" w:rsidRDefault="00000000">
      <w:pPr>
        <w:pStyle w:val="Titolo2"/>
        <w:spacing w:before="200" w:after="100"/>
      </w:pPr>
      <w:r>
        <w:rPr>
          <w:sz w:val="22"/>
          <w:szCs w:val="22"/>
        </w:rPr>
        <w:t>I vincoli invarianti e l’anticipazione dell’esito aggregato</w:t>
      </w:r>
    </w:p>
    <w:p w14:paraId="5CFEF2A4" w14:textId="77777777" w:rsidR="007C4598" w:rsidRDefault="007C4598"/>
    <w:p w14:paraId="3BAF7337" w14:textId="77777777" w:rsidR="007C4598" w:rsidRDefault="00000000">
      <w:pPr>
        <w:jc w:val="both"/>
      </w:pPr>
      <w:r>
        <w:t xml:space="preserve">Tre vincoli invarianti governano ogni cifra di questa parte e meritano di essere richiamati in apertura, perché ne condizionano la lettura. Il primo è la separazione tra grandezze fiscali dirette e ricadute sociali indirette, già enunciata: il risparmio diretto non è mai sommato al beneficio sociale, e le due grandezze viaggiano in colonne separate fino alla sintesi della decima parte, che le ricompone senza confonderle. Il secondo è il </w:t>
      </w:r>
      <w:proofErr w:type="spellStart"/>
      <w:r>
        <w:t>caveat</w:t>
      </w:r>
      <w:proofErr w:type="spellEnd"/>
      <w:r>
        <w:t xml:space="preserve"> sulla significatività statistica del risparmio diretto, che impone le bande prudenziali e vieta di presentare il risparmio sanitario come un esito altrettanto certo dell’efficacia clinica. Il terzo è la regola di non duplicazione, che vieta di attribuire il medesimo risparmio a più canali e, in particolare, di sommare il contributo della leva digitale ai risparmi dei canali entro cui esso già si esprime: la voce 8.5 isola quel contributo per renderlo trasparente, non per aggiungerlo.</w:t>
      </w:r>
    </w:p>
    <w:p w14:paraId="54E3E590" w14:textId="77777777" w:rsidR="007C4598" w:rsidRDefault="007C4598"/>
    <w:p w14:paraId="45EAA452" w14:textId="77777777" w:rsidR="007C4598" w:rsidRDefault="00000000">
      <w:pPr>
        <w:jc w:val="both"/>
      </w:pPr>
      <w:r>
        <w:t>A beneficio della lettura, conviene anticipare la misura dell’esito che la voce conclusiva ricomporrà. Aggregati i quattro canali, i risparmi diretti per il Servizio sanitario regionale pugliese sono dell’ordine di venti, trentaquattro e cinquanta milioni di euro l’anno a regime, rispettivamente nello scenario conservativo, in quello intermedio e in quello espansivo. A fronte di questi risparmi, i costi del servizio descritti nella settima parte sono dell’ordine di venticinque, trentotto e cinquanta milioni di euro l’anno nei medesimi scenari. Ne discende il dato più importante e più onesto dell’intera valutazione fiscale: sul solo bilancio sanitario, il saldo diretto è prossimo al pareggio — da un lieve disavanzo nello scenario conservativo a un sostanziale pareggio in quello espansivo — e non un ampio risparmio. Questo non indebolisce la proposta, per due ragioni che la sesta voce sviluppa: da un lato il costo del servizio, a fronte di un finanziamento regionale dell’ordine di 8,8 miliardi di euro, ne costituisce una frazione modesta, sicché la questione non è la sostenibilità della spesa ma il suo dimensionamento; dall’altro la giustificazione economica piena della riforma non risiede nel saldo fiscale diretto, bensì nelle ricadute sociali che la nona parte quantifica. Stabilita in apertura questa misura, la prima voce può ora aprire la rinegoziazione dal canale farmaceutico.</w:t>
      </w:r>
    </w:p>
    <w:p w14:paraId="55AEC3EA" w14:textId="77777777" w:rsidR="007C4598" w:rsidRDefault="007C4598"/>
    <w:p w14:paraId="2C9ED7F4" w14:textId="77777777" w:rsidR="007C4598" w:rsidRDefault="00000000">
      <w:pPr>
        <w:pStyle w:val="Titolo1"/>
        <w:pageBreakBefore/>
      </w:pPr>
      <w:r>
        <w:rPr>
          <w:sz w:val="22"/>
          <w:szCs w:val="22"/>
        </w:rPr>
        <w:t>8.1  La riduzione della spesa farmaceutica inappropriata</w:t>
      </w:r>
    </w:p>
    <w:p w14:paraId="64CF6D5A" w14:textId="77777777" w:rsidR="007C4598" w:rsidRDefault="007C4598"/>
    <w:p w14:paraId="04A2FB01" w14:textId="77777777" w:rsidR="007C4598" w:rsidRDefault="00000000">
      <w:pPr>
        <w:jc w:val="both"/>
      </w:pPr>
      <w:r>
        <w:rPr>
          <w:i/>
          <w:iCs/>
        </w:rPr>
        <w:t>Questa voce sviluppa il primo dei quattro canali del risparmio diretto: la riduzione della spesa farmaceutica inappropriata. Essa muove dal paradosso farmaceutico pugliese — la compresenza di un consumo complessivo tra i più elevati d’Italia e di una ridotta intercettazione del disagio psichico — e ne deduce i margini di appropriatezza su cui il primo livello psicologico può agire; ricostruisce i tre meccanismi attraverso cui l’intercettazione precoce riduce la prescrizione inappropriata, distinguendo la riduzione dell’uso cronico di ansiolitici e ipnotici, l’appropriatezza delle terapie antidepressive e la riduzione della prescrizione sintomatica per i sintomi somatici funzionali; espone la catena causale che conduce dall’esito clinico al minor esborso farmaceutico e ne gradua la solidità; quantifica il risparmio del canale entro bande prudenziali per ciascuno scenario; e dichiara con franchezza i confini, le cautele e l’agenda di verifica documentale propri di questa stima.</w:t>
      </w:r>
    </w:p>
    <w:p w14:paraId="7B83F8A7" w14:textId="77777777" w:rsidR="007C4598" w:rsidRDefault="007C4598"/>
    <w:p w14:paraId="10E70DB7" w14:textId="77777777" w:rsidR="007C4598" w:rsidRDefault="00000000">
      <w:pPr>
        <w:pStyle w:val="Titolo2"/>
        <w:spacing w:before="200" w:after="100"/>
      </w:pPr>
      <w:r>
        <w:rPr>
          <w:sz w:val="22"/>
          <w:szCs w:val="22"/>
        </w:rPr>
        <w:t>8.1.1  Il paradosso farmaceutico pugliese e i margini di appropriatezza</w:t>
      </w:r>
    </w:p>
    <w:p w14:paraId="0B05E04E" w14:textId="77777777" w:rsidR="007C4598" w:rsidRDefault="007C4598"/>
    <w:p w14:paraId="7B7AB400" w14:textId="77777777" w:rsidR="007C4598" w:rsidRDefault="00000000">
      <w:pPr>
        <w:jc w:val="both"/>
      </w:pPr>
      <w:r>
        <w:t>La spesa farmaceutica costituisce il primo canale del risparmio diretto perché è, tra le voci della spesa sanitaria regionale, quella su cui l’intercettazione precoce del disagio comune produce l’effetto più immediato e meglio documentato. Il caso pugliese presenta, sotto questo profilo, una configurazione che merita di essere ricostruita con precisione, perché da essa dipende l’intero ragionamento sul margine di azione. La Regione presenta un consumo farmaceutico complessivo tra i più elevati d’Italia, dell’ordine di 1.081,9 dosi giornaliere definite ogni mille abitanti, e una spesa farmaceutica pubblica dell’ordine del 2,3 per cento del prodotto regionale</w:t>
      </w:r>
      <w:r>
        <w:rPr>
          <w:color w:val="555555"/>
          <w:sz w:val="16"/>
          <w:szCs w:val="16"/>
          <w:vertAlign w:val="superscript"/>
        </w:rPr>
        <w:t>[4]</w:t>
      </w:r>
      <w:r>
        <w:t>. A questo elevato consumo complessivo si accompagna, però, una ridotta intercettazione del disagio psichico, misurata dal basso consumo di antidepressivi rispetto alla prevalenza stimata dei disturbi depressivi e ansiosi</w:t>
      </w:r>
      <w:r>
        <w:rPr>
          <w:color w:val="555555"/>
          <w:sz w:val="16"/>
          <w:szCs w:val="16"/>
          <w:vertAlign w:val="superscript"/>
        </w:rPr>
        <w:t>[5]</w:t>
      </w:r>
      <w:r>
        <w:t>. La compresenza di queste due circostanze costituisce il paradosso farmaceutico pugliese: si consuma molto in farmaci, e tuttavia si tratta poco, e per via farmacologica appropriata, il disagio psichico comune.</w:t>
      </w:r>
    </w:p>
    <w:p w14:paraId="2D584F86" w14:textId="77777777" w:rsidR="007C4598" w:rsidRDefault="007C4598"/>
    <w:p w14:paraId="2FEF9455" w14:textId="77777777" w:rsidR="007C4598" w:rsidRDefault="00000000">
      <w:pPr>
        <w:jc w:val="both"/>
      </w:pPr>
      <w:r>
        <w:t>Questo paradosso non è una contraddizione, ma il sintomo di una distorsione che il primo livello psicologico è in grado di correggere. In assenza di un luogo dedicato all’ascolto e all’intercettazione del disagio comune, la domanda che ne deriva non scompare: si riversa altrove e assume forme improprie. Una parte si traduce in prescrizioni di ansiolitici e ipnotici protratte ben oltre i termini raccomandati, che surrogano per via chimica un ascolto e un trattamento psicologico non disponibili. Una parte si traduce in prescrizioni sintomatiche ripetute per disturbi somatici privi di causa organica accertata, che inseguono i sintomi del disagio senza riconoscerne l’origine. E una parte, paradossalmente coesistente con le precedenti, manca del tutto: è il disagio depressivo e ansioso che non riceve né il trattamento psicologico appropriato né quello farmacologico corretto, e che resta sommerso. Il margine di appropriatezza su cui la riforma agisce non è dunque la semplice riduzione del consumo, ma la sua ricomposizione: meno farmaco improprio dove esso surroga il trattamento mancato, e farmaco corretto dove esso è indicato.</w:t>
      </w:r>
    </w:p>
    <w:p w14:paraId="151A53C1" w14:textId="77777777" w:rsidR="007C4598" w:rsidRDefault="007C4598"/>
    <w:p w14:paraId="2E0BC28B" w14:textId="77777777" w:rsidR="007C4598" w:rsidRDefault="00000000">
      <w:pPr>
        <w:jc w:val="both"/>
      </w:pPr>
      <w:r>
        <w:t xml:space="preserve">È importante chiarire fin da subito, per la correttezza della stima, che il risparmio farmaceutico diretto non coincide con una riduzione indiscriminata della spesa in farmaci, e che la sua direzione non è univoca per tutte le classi. Per gli ansiolitici e gli ipnotici, e per la prescrizione sintomatica del disagio somatizzato, l’effetto atteso è inequivocabilmente di riduzione, perché si tratta di consumo improprio che l’intercettazione rende non necessario. Per gli antidepressivi, invece, l’effetto sulla spesa è ambiguo nella direzione: l’intercettazione precoce evita, da un lato, le prescrizioni inappropriate per difetto di indicazione — i casi lievi e sotto-soglia per i quali le linee guida raccomandano l’osservazione vigile e l’intervento psicologico a bassa intensità prima del farmaco — ma può accrescere, dall’altro, le prescrizioni appropriate per i casi che oggi non ricevono alcun trattamento. La stima qui adottata tratta questa ambiguità con prudenza: il risparmio del canale antidepressivo è ricondotto soltanto alla maggiore appropriatezza della durata e della sospensione delle terapie, e non a una riduzione del numero dei trattati, sicché l’eventuale aumento delle prescrizioni appropriate non è contabilizzato come maggior costo che eroda il risparmio, ma neppure il suo </w:t>
      </w:r>
      <w:proofErr w:type="spellStart"/>
      <w:r>
        <w:t>evitamento</w:t>
      </w:r>
      <w:proofErr w:type="spellEnd"/>
      <w:r>
        <w:t xml:space="preserve"> è contabilizzato come risparmio.</w:t>
      </w:r>
    </w:p>
    <w:p w14:paraId="14332784" w14:textId="77777777" w:rsidR="007C4598" w:rsidRDefault="007C4598"/>
    <w:p w14:paraId="097F9E57" w14:textId="77777777" w:rsidR="007C4598" w:rsidRDefault="00000000">
      <w:pPr>
        <w:pStyle w:val="Titolo2"/>
        <w:spacing w:before="200" w:after="100"/>
      </w:pPr>
      <w:r>
        <w:rPr>
          <w:sz w:val="22"/>
          <w:szCs w:val="22"/>
        </w:rPr>
        <w:t>8.1.2  I tre meccanismi della riduzione della prescrizione inappropriata</w:t>
      </w:r>
    </w:p>
    <w:p w14:paraId="7FEA2999" w14:textId="77777777" w:rsidR="007C4598" w:rsidRDefault="007C4598"/>
    <w:p w14:paraId="554AC30C" w14:textId="77777777" w:rsidR="007C4598" w:rsidRDefault="00000000">
      <w:pPr>
        <w:jc w:val="both"/>
      </w:pPr>
      <w:r>
        <w:t xml:space="preserve">Il risparmio farmaceutico diretto si forma attraverso tre meccanismi distinti, che conviene trattare separatamente perché differiscono per ampiezza, per solidità dell’evidenza e per il modo in cui si realizzano. Tutti e tre condividono una caratteristica strutturale: il risparmio si materializza attraverso la penna del </w:t>
      </w:r>
      <w:proofErr w:type="spellStart"/>
      <w:r>
        <w:t>prescrittore</w:t>
      </w:r>
      <w:proofErr w:type="spellEnd"/>
      <w:r>
        <w:t>, ossia del medico di medicina generale, ma è reso possibile dall’intercettazione operata a monte dallo Psicologo di Base, che riconosce il disagio, lo accoglie e lo tratta, sottraendolo alla via farmacologica impropria. Il canale farmaceutico illustra dunque, in forma esemplare, la logica della coppia clinica descritta nella terza parte: lo psicologo intercetta, il medico prescrive in modo più appropriato, e il bilancio regionale risparmia.</w:t>
      </w:r>
    </w:p>
    <w:p w14:paraId="302995ED" w14:textId="77777777" w:rsidR="007C4598" w:rsidRDefault="007C4598"/>
    <w:p w14:paraId="46697486" w14:textId="77777777" w:rsidR="007C4598" w:rsidRDefault="00000000">
      <w:pPr>
        <w:pStyle w:val="Titolo3"/>
        <w:spacing w:before="200" w:after="100"/>
      </w:pPr>
      <w:r>
        <w:rPr>
          <w:color w:val="16264B"/>
          <w:sz w:val="22"/>
          <w:szCs w:val="22"/>
        </w:rPr>
        <w:t>Primo meccanismo: la riduzione dell’uso cronico inappropriato di ansiolitici e ipnotici</w:t>
      </w:r>
    </w:p>
    <w:p w14:paraId="56A800D6" w14:textId="77777777" w:rsidR="007C4598" w:rsidRDefault="007C4598"/>
    <w:p w14:paraId="0634E883" w14:textId="77777777" w:rsidR="007C4598" w:rsidRDefault="00000000">
      <w:pPr>
        <w:jc w:val="both"/>
      </w:pPr>
      <w:r>
        <w:t>Il primo e più ampio meccanismo riguarda l’uso cronico inappropriato di ansiolitici e ipnotici, in particolare delle benzodiazepine e dei farmaci affini. È ampiamente documentato che queste molecole, indicate per trattamenti di breve durata, vengono nella pratica prescritte e rinnovate per periodi molto più lunghi di quelli raccomandati, fino a configurare un uso cronico che le linee guida sconsigliano per il rischio di dipendenza, di compromissione cognitiva e di cadute, segnatamente nella popolazione anziana</w:t>
      </w:r>
      <w:r>
        <w:rPr>
          <w:color w:val="555555"/>
          <w:sz w:val="16"/>
          <w:szCs w:val="16"/>
          <w:vertAlign w:val="superscript"/>
        </w:rPr>
        <w:t>[6]</w:t>
      </w:r>
      <w:r>
        <w:t xml:space="preserve">. Questo uso prolungato è, in misura rilevante, la traduzione farmacologica di un disagio ansioso e di un disturbo del sonno che troverebbero risposta più appropriata in un intervento psicologico, e che in sua assenza vengono cronicamente sedati. La letteratura sull’appropriatezza prescrittiva e sulla </w:t>
      </w:r>
      <w:proofErr w:type="spellStart"/>
      <w:r>
        <w:t>deprescrizione</w:t>
      </w:r>
      <w:proofErr w:type="spellEnd"/>
      <w:r>
        <w:t xml:space="preserve"> mostra che la disponibilità di un’alternativa psicologica accessibile, unita al supporto del </w:t>
      </w:r>
      <w:proofErr w:type="spellStart"/>
      <w:r>
        <w:t>prescrittore</w:t>
      </w:r>
      <w:proofErr w:type="spellEnd"/>
      <w:r>
        <w:t xml:space="preserve"> nella riduzione graduale, consente di interrompere o di non avviare una quota significativa di questi trattamenti cronici</w:t>
      </w:r>
      <w:r>
        <w:rPr>
          <w:color w:val="555555"/>
          <w:sz w:val="16"/>
          <w:szCs w:val="16"/>
          <w:vertAlign w:val="superscript"/>
        </w:rPr>
        <w:t>[7]</w:t>
      </w:r>
      <w:r>
        <w:t>.</w:t>
      </w:r>
    </w:p>
    <w:p w14:paraId="36C8AA1B" w14:textId="77777777" w:rsidR="007C4598" w:rsidRDefault="007C4598"/>
    <w:p w14:paraId="4B329058" w14:textId="77777777" w:rsidR="007C4598" w:rsidRDefault="00000000">
      <w:pPr>
        <w:jc w:val="both"/>
      </w:pPr>
      <w:r>
        <w:t>Il meccanismo opera in due tempi. Sul flusso delle nuove prescrizioni, l’intercettazione precoce del disagio ansioso intercetta il paziente prima che la sedazione farmacologica diventi la risposta di prima istanza, e lo indirizza verso il trattamento psicologico, riducendo gli avvii di terapie destinate a cronicizzarsi. Sullo stock delle prescrizioni già in corso, la presa in carico psicologica offre al medico di medicina generale lo strumento clinico per accompagnare la sospensione graduale dei trattamenti cronici inappropriati, sostituendo la dipendenza farmacologica con la gestione attiva dell’ansia e dell’insonnia. La combinazione dei due tempi — minori avvii e maggiori sospensioni — produce, nel medio periodo, una riduzione del consumo di queste classi che si traduce direttamente in minore spesa, tanto più rilevante in una regione il cui consumo complessivo elevato segnala un ampio margine di compressione del consumo improprio.</w:t>
      </w:r>
    </w:p>
    <w:p w14:paraId="6DD86532" w14:textId="77777777" w:rsidR="007C4598" w:rsidRDefault="007C4598"/>
    <w:p w14:paraId="21AF1837" w14:textId="77777777" w:rsidR="007C4598" w:rsidRDefault="00000000">
      <w:pPr>
        <w:pStyle w:val="Titolo3"/>
        <w:spacing w:before="200" w:after="100"/>
      </w:pPr>
      <w:r>
        <w:rPr>
          <w:color w:val="16264B"/>
          <w:sz w:val="22"/>
          <w:szCs w:val="22"/>
        </w:rPr>
        <w:t>Secondo meccanismo: l’appropriatezza delle terapie antidepressive</w:t>
      </w:r>
    </w:p>
    <w:p w14:paraId="5540C2C8" w14:textId="77777777" w:rsidR="007C4598" w:rsidRDefault="007C4598"/>
    <w:p w14:paraId="307D5377" w14:textId="77777777" w:rsidR="007C4598" w:rsidRDefault="00000000">
      <w:pPr>
        <w:jc w:val="both"/>
      </w:pPr>
      <w:r>
        <w:t>Il secondo meccanismo riguarda l’appropriatezza delle terapie antidepressive, e va trattato con la cautela imposta dall’ambiguità di direzione già segnalata. L’intercettazione precoce e la disponibilità di un trattamento psicologico a bassa intensità incidono sulla prescrizione di antidepressivi in più modi. Per i casi lievi e sotto-soglia, per i quali le linee guida internazionali raccomandano l’osservazione vigile e gli interventi psicologici prima del ricorso al farmaco, la disponibilità dell’alternativa psicologica riduce le prescrizioni avviate per difetto di indicazione, ossia in assenza di una gravità che le giustifichi</w:t>
      </w:r>
      <w:r>
        <w:rPr>
          <w:color w:val="555555"/>
          <w:sz w:val="16"/>
          <w:szCs w:val="16"/>
          <w:vertAlign w:val="superscript"/>
        </w:rPr>
        <w:t>[8]</w:t>
      </w:r>
      <w:r>
        <w:t>. Per i casi in cui il trattamento farmacologico è appropriato, la presa in carico congiunta migliora l’aderenza e, soprattutto, governa la durata della terapia, prevenendo tanto le sospensioni premature quanto i rinnovi inerziali protratti oltre il necessario. È da quest’ultima componente — la corretta durata e la corretta sospensione — che la stima qui adottata fa derivare il risparmio del canale antidepressivo, non da una riduzione del numero dei trattati.</w:t>
      </w:r>
    </w:p>
    <w:p w14:paraId="52F7C9C8" w14:textId="77777777" w:rsidR="007C4598" w:rsidRDefault="007C4598"/>
    <w:p w14:paraId="0704D76D" w14:textId="77777777" w:rsidR="007C4598" w:rsidRDefault="00000000">
      <w:pPr>
        <w:jc w:val="both"/>
      </w:pPr>
      <w:r>
        <w:t>La ragione di questa scelta prudenziale è esplicita e va dichiarata. Una stima che attribuisse al canale antidepressivo un risparmio derivante dalla riduzione del numero dei trattati confonderebbe due fenomeni opposti: l’</w:t>
      </w:r>
      <w:proofErr w:type="spellStart"/>
      <w:r>
        <w:t>evitamento</w:t>
      </w:r>
      <w:proofErr w:type="spellEnd"/>
      <w:r>
        <w:t xml:space="preserve"> delle prescrizioni inappropriate per difetto di indicazione, che genera risparmio, e la mancata prescrizione delle terapie appropriate per i casi oggi sommersi, che non è un risparmio ma una sotto-cura. Poiché l’effetto netto dell’intercettazione sul numero dei trattati può essere, nel caso pugliese, persino di segno positivo — perché la maggiore intercettazione fa emergere disagio oggi non trattato — attribuire a questo canale un risparmio fondato sulla riduzione dei trattati sarebbe metodologicamente scorretto. La stima si limita perciò alla componente inequivoca: la maggiore appropriatezza della durata, che riduce il consumo per paziente trattato senza incidere sul numero dei pazienti che ricevono il trattamento dovuto.</w:t>
      </w:r>
    </w:p>
    <w:p w14:paraId="5FC914F0" w14:textId="77777777" w:rsidR="007C4598" w:rsidRDefault="007C4598"/>
    <w:p w14:paraId="403518B3" w14:textId="77777777" w:rsidR="007C4598" w:rsidRDefault="00000000">
      <w:pPr>
        <w:pStyle w:val="Titolo3"/>
        <w:spacing w:before="200" w:after="100"/>
      </w:pPr>
      <w:r>
        <w:rPr>
          <w:color w:val="16264B"/>
          <w:sz w:val="22"/>
          <w:szCs w:val="22"/>
        </w:rPr>
        <w:t>Terzo meccanismo: la riduzione della prescrizione sintomatica per i sintomi somatici funzionali</w:t>
      </w:r>
    </w:p>
    <w:p w14:paraId="500158E1" w14:textId="77777777" w:rsidR="007C4598" w:rsidRDefault="007C4598"/>
    <w:p w14:paraId="5EBB7F03" w14:textId="77777777" w:rsidR="007C4598" w:rsidRDefault="00000000">
      <w:pPr>
        <w:jc w:val="both"/>
      </w:pPr>
      <w:r>
        <w:t>Il terzo meccanismo riguarda la prescrizione sintomatica ripetuta per i disturbi somatici funzionali, ossia per quei sintomi fisici — gastrointestinali, dolorosi, cardiorespiratori — privi di una causa organica accertata e in misura rilevante riconducibili al disagio psichico sottostante. In assenza di riconoscimento dell’origine psicologica, questi sintomi generano una domanda farmacologica che insegue il sintomo senza affrontarne la causa: protettori gastrici, analgesici, ansiolitici sintomatici e altri farmaci prescritti ripetutamente per dare sollievo a manifestazioni che la presa in carico psicologica ridurrebbe alla radice</w:t>
      </w:r>
      <w:r>
        <w:rPr>
          <w:color w:val="555555"/>
          <w:sz w:val="16"/>
          <w:szCs w:val="16"/>
          <w:vertAlign w:val="superscript"/>
        </w:rPr>
        <w:t>[9]</w:t>
      </w:r>
      <w:r>
        <w:t>. L’intercettazione del disagio somatizzato, riconoscendone la natura, sostituisce alla rincorsa farmacologica del sintomo il trattamento della causa, e riduce con ciò il consumo di farmaci sintomatici impropri. È il margine della cosiddetta sostituzione diagnostica: la corretta attribuzione del sintomo alla sua origine consente di non spendere in farmaci che non agiscono sulla causa.</w:t>
      </w:r>
    </w:p>
    <w:p w14:paraId="5A0476AC" w14:textId="77777777" w:rsidR="007C4598" w:rsidRDefault="007C4598"/>
    <w:p w14:paraId="7849837E" w14:textId="77777777" w:rsidR="007C4598" w:rsidRDefault="00000000">
      <w:pPr>
        <w:jc w:val="both"/>
      </w:pPr>
      <w:r>
        <w:t>I tre meccanismi, ancorché distinti, convergono verso il medesimo esito fiscale e condividono il medesimo presupposto. L’esito è la riduzione del consumo di farmaci impropri, che si traduce in minore spesa a carico del bilancio sanitario regionale. Il presupposto è l’intercettazione precoce operata dallo Psicologo di Base, che riconosce il disagio nelle sue diverse manifestazioni — ansiosa, depressiva, somatizzata — e lo sottrae alla via farmacologica impropria, restituendo al medico di medicina generale lo spazio clinico per prescrivere in modo più appropriato. È questa convergenza che consente di trattare i tre meccanismi come componenti di un unico canale, e di sommarne i risparmi all’interno di esso senza incorrere in duplicazione, poiché essi agiscono su classi di farmaci e su popolazioni distinte.</w:t>
      </w:r>
    </w:p>
    <w:p w14:paraId="37465EE7" w14:textId="77777777" w:rsidR="007C4598" w:rsidRDefault="007C4598"/>
    <w:p w14:paraId="21B38D93" w14:textId="77777777" w:rsidR="007C4598" w:rsidRDefault="00000000">
      <w:pPr>
        <w:pStyle w:val="Titolo2"/>
        <w:spacing w:before="200" w:after="100"/>
      </w:pPr>
      <w:r>
        <w:rPr>
          <w:sz w:val="22"/>
          <w:szCs w:val="22"/>
        </w:rPr>
        <w:t>8.1.3  La catena causale dall’esito clinico al minor esborso farmaceutico</w:t>
      </w:r>
    </w:p>
    <w:p w14:paraId="004B0916" w14:textId="77777777" w:rsidR="007C4598" w:rsidRDefault="007C4598"/>
    <w:p w14:paraId="59A84BCF" w14:textId="77777777" w:rsidR="007C4598" w:rsidRDefault="00000000">
      <w:pPr>
        <w:jc w:val="both"/>
      </w:pPr>
      <w:r>
        <w:t xml:space="preserve">La formazione del risparmio farmaceutico diretto può essere ricostruita come una catena causale di quattro anelli, ciascuno dei quali è sostenuto da un grado diverso di evidenza, e la cui solidità complessiva è quella del suo anello più debole. Il primo anello è l’efficacia clinica: l’integrazione strutturata della psicologia nelle cure primarie migliora gli esiti dei disturbi mentali comuni, riducendone la gravità e la durata. Questo anello è sostenuto da evidenza di qualità da moderata ad alta, ed è il più solido della catena. Il secondo anello è la modificazione del comportamento prescrittivo: la disponibilità di un’alternativa psicologica accessibile e la presa in carico congiunta modificano la prescrizione, riducendo gli avvii impropri, favorendo le sospensioni dei trattamenti cronici inappropriati e migliorando l’appropriatezza della durata. Questo anello è sostenuto da evidenza coerente ma di qualità più variabile, derivata dagli studi sull’appropriatezza prescrittiva e sulla </w:t>
      </w:r>
      <w:proofErr w:type="spellStart"/>
      <w:r>
        <w:t>deprescrizione</w:t>
      </w:r>
      <w:proofErr w:type="spellEnd"/>
      <w:r>
        <w:t>.</w:t>
      </w:r>
    </w:p>
    <w:p w14:paraId="28713498" w14:textId="77777777" w:rsidR="007C4598" w:rsidRDefault="007C4598"/>
    <w:p w14:paraId="19FB7EC4" w14:textId="77777777" w:rsidR="007C4598" w:rsidRDefault="00000000">
      <w:pPr>
        <w:jc w:val="both"/>
      </w:pPr>
      <w:r>
        <w:t xml:space="preserve">Il terzo anello è la traduzione della minore prescrizione in minore consumo effettivo, che dipende dall’effettiva sospensione delle terapie e dalla non sostituzione del farmaco improprio con un altro farmaco improprio. Questo anello è governato da fattori organizzativi e di aderenza, e introduce un primo margine di incertezza. Il quarto anello è la traduzione del minore consumo in minore spesa a carico del bilancio regionale, che dipende dalla struttura dei prezzi, dalla quota a carico del Servizio sanitario e dalla composizione del consumo evitato. È a questo quarto anello che si applica, con pieno vigore, il </w:t>
      </w:r>
      <w:proofErr w:type="spellStart"/>
      <w:r>
        <w:t>caveat</w:t>
      </w:r>
      <w:proofErr w:type="spellEnd"/>
      <w:r>
        <w:t xml:space="preserve"> sulla significatività statistica del risparmio: la letteratura che ha misurato l’effetto dell’integrazione sui costi sanitari diretti, e segnatamente sui costi farmaceutici, documenta una tendenza al risparmio i cui intervalli di confidenza non escludono lo zero</w:t>
      </w:r>
      <w:r>
        <w:rPr>
          <w:color w:val="555555"/>
          <w:sz w:val="16"/>
          <w:szCs w:val="16"/>
          <w:vertAlign w:val="superscript"/>
        </w:rPr>
        <w:t>[10]</w:t>
      </w:r>
      <w:r>
        <w:t>. La catena, dunque, è solida nei suoi anelli clinici e si fa progressivamente più incerta nei suoi anelli economici; ed è questa struttura a giustificare l’espressione del risparmio in bande prudenziali anziché in valori puntuali.</w:t>
      </w:r>
    </w:p>
    <w:p w14:paraId="603AECFC" w14:textId="77777777" w:rsidR="007C4598" w:rsidRDefault="007C4598"/>
    <w:p w14:paraId="4FA259D6" w14:textId="77777777" w:rsidR="007C4598" w:rsidRDefault="00000000">
      <w:pPr>
        <w:pStyle w:val="Titolo2"/>
        <w:spacing w:before="200" w:after="100"/>
      </w:pPr>
      <w:r>
        <w:rPr>
          <w:sz w:val="22"/>
          <w:szCs w:val="22"/>
        </w:rPr>
        <w:t>8.1.4  La quantificazione del risparmio del canale farmaceutico</w:t>
      </w:r>
    </w:p>
    <w:p w14:paraId="225D3BDD" w14:textId="77777777" w:rsidR="007C4598" w:rsidRDefault="007C4598"/>
    <w:p w14:paraId="6DCE4DF2" w14:textId="77777777" w:rsidR="007C4598" w:rsidRDefault="00000000">
      <w:pPr>
        <w:jc w:val="both"/>
      </w:pPr>
      <w:r>
        <w:t>La quantificazione del risparmio del canale farmaceutico applica il procedimento in cinque passaggi descritto nell’introduzione, ancorando la stima alla grandezza farmaceutica regionale e ai parametri di effetto tratti dall’evidenza, e articolandola sui tre scenari di copertura del servizio. La grandezza di ancoraggio è la spesa farmaceutica pubblica regionale, della quale si individua la frazione potenzialmente comprimibile, ossia la quota riconducibile al consumo improprio intercettabile dal primo livello psicologico attraverso i tre meccanismi descritti. Su tale frazione si applica il parametro di effetto, distinto per ciascun meccanismo e graduato secondo la qualità dell’evidenza, e quindi la quota di adesione e di copertura propria di ciascuno scenario, che cresce dalla configurazione conservativa, corrispondente a circa 450 incarichi, a quella espansiva, corrispondente a circa 900 incarichi. Su tutto opera, infine, la riduzione prudenziale che incorpora l’incertezza del quarto anello della catena causale.</w:t>
      </w:r>
    </w:p>
    <w:p w14:paraId="1E9133C1" w14:textId="77777777" w:rsidR="007C4598" w:rsidRDefault="007C4598"/>
    <w:p w14:paraId="437B29BC" w14:textId="77777777" w:rsidR="007C4598" w:rsidRDefault="00000000">
      <w:pPr>
        <w:jc w:val="both"/>
      </w:pPr>
      <w:r>
        <w:t>Prima di esporre la stima, conviene fissare il quadro dei dati di contesto da cui essa muove, che la tabella seguente raccoglie. Essa riporta gli indicatori del consumo e della spesa farmaceutica regionale, il loro confronto e il margine d’azione che ciascuno segnala, e costituisce la base fattuale su cui poggia la quantificazione successiva.</w:t>
      </w:r>
    </w:p>
    <w:p w14:paraId="66FCFB18"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640F037A"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239B3D8" w14:textId="77777777" w:rsidR="007C4598" w:rsidRDefault="00000000">
            <w:pPr>
              <w:spacing w:after="40"/>
            </w:pPr>
            <w:r>
              <w:rPr>
                <w:b/>
                <w:bCs/>
                <w:color w:val="FFFFFF"/>
                <w:sz w:val="18"/>
                <w:szCs w:val="18"/>
              </w:rPr>
              <w:t>Indicatore</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AB51D11" w14:textId="77777777" w:rsidR="007C4598" w:rsidRDefault="00000000">
            <w:pPr>
              <w:spacing w:after="40"/>
            </w:pPr>
            <w:r>
              <w:rPr>
                <w:b/>
                <w:bCs/>
                <w:color w:val="FFFFFF"/>
                <w:sz w:val="18"/>
                <w:szCs w:val="18"/>
              </w:rPr>
              <w:t>Valore in Puglia</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128E67A" w14:textId="77777777" w:rsidR="007C4598" w:rsidRDefault="00000000">
            <w:pPr>
              <w:spacing w:after="40"/>
            </w:pPr>
            <w:r>
              <w:rPr>
                <w:b/>
                <w:bCs/>
                <w:color w:val="FFFFFF"/>
                <w:sz w:val="18"/>
                <w:szCs w:val="18"/>
              </w:rPr>
              <w:t>Confronto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91E8CDE" w14:textId="77777777" w:rsidR="007C4598" w:rsidRDefault="00000000">
            <w:pPr>
              <w:spacing w:after="40"/>
            </w:pPr>
            <w:r>
              <w:rPr>
                <w:b/>
                <w:bCs/>
                <w:color w:val="FFFFFF"/>
                <w:sz w:val="18"/>
                <w:szCs w:val="18"/>
              </w:rPr>
              <w:t>Margine d’azione del primo livello psicologico</w:t>
            </w:r>
          </w:p>
        </w:tc>
      </w:tr>
      <w:tr w:rsidR="007C4598" w14:paraId="6D13037F"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F054F90" w14:textId="77777777" w:rsidR="007C4598" w:rsidRDefault="00000000">
            <w:pPr>
              <w:spacing w:after="40"/>
            </w:pPr>
            <w:r>
              <w:t>Consumo farmaceutico complessivo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9CA24E5" w14:textId="77777777" w:rsidR="007C4598" w:rsidRDefault="00000000">
            <w:pPr>
              <w:spacing w:after="40"/>
            </w:pPr>
            <w:r>
              <w:t>~1.081,9 DDD/1.000 ab./die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AF6605F" w14:textId="77777777" w:rsidR="007C4598" w:rsidRDefault="00000000">
            <w:pPr>
              <w:spacing w:after="40"/>
            </w:pPr>
            <w:r>
              <w:t>tra i più alti d’Italia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8DC0E07" w14:textId="77777777" w:rsidR="007C4598" w:rsidRDefault="00000000">
            <w:pPr>
              <w:spacing w:after="40"/>
            </w:pPr>
            <w:r>
              <w:t>sovra-consumo complessivo: ampio spazio di appropriatezza</w:t>
            </w:r>
          </w:p>
        </w:tc>
      </w:tr>
      <w:tr w:rsidR="007C4598" w14:paraId="1722B80C"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D7A20FE" w14:textId="77777777" w:rsidR="007C4598" w:rsidRDefault="00000000">
            <w:pPr>
              <w:spacing w:after="40"/>
            </w:pPr>
            <w:r>
              <w:t>Spesa farmaceutica pubblica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1505B82" w14:textId="77777777" w:rsidR="007C4598" w:rsidRDefault="00000000">
            <w:pPr>
              <w:spacing w:after="40"/>
            </w:pPr>
            <w:r>
              <w:t>~2,3% del PIL regionale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2D35CA6" w14:textId="77777777" w:rsidR="007C4598" w:rsidRDefault="00000000">
            <w:pPr>
              <w:spacing w:after="40"/>
            </w:pPr>
            <w:r>
              <w:t>superiore alla media nazionale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1961EA7" w14:textId="77777777" w:rsidR="007C4598" w:rsidRDefault="00000000">
            <w:pPr>
              <w:spacing w:after="40"/>
            </w:pPr>
            <w:r>
              <w:t>rilevanza fiscale del canale</w:t>
            </w:r>
          </w:p>
        </w:tc>
      </w:tr>
      <w:tr w:rsidR="007C4598" w14:paraId="2B98C26A"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9FB73DC" w14:textId="77777777" w:rsidR="007C4598" w:rsidRDefault="00000000">
            <w:pPr>
              <w:spacing w:after="40"/>
            </w:pPr>
            <w:r>
              <w:t>Consumo di antidepressivi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E988E0C" w14:textId="77777777" w:rsidR="007C4598" w:rsidRDefault="00000000">
            <w:pPr>
              <w:spacing w:after="40"/>
            </w:pPr>
            <w:r>
              <w:t>ridotto rispetto alla prevalenza attesa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D8E3502" w14:textId="77777777" w:rsidR="007C4598" w:rsidRDefault="00000000">
            <w:pPr>
              <w:spacing w:after="40"/>
            </w:pPr>
            <w:r>
              <w:t>sotto-intercettazione del disagio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3944E9D" w14:textId="77777777" w:rsidR="007C4598" w:rsidRDefault="00000000">
            <w:pPr>
              <w:spacing w:after="40"/>
            </w:pPr>
            <w:r>
              <w:t>bassa appropriatezza per difetto: ricomposizione, non sola riduzione</w:t>
            </w:r>
          </w:p>
        </w:tc>
      </w:tr>
      <w:tr w:rsidR="007C4598" w14:paraId="19CE01F9"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E672D22" w14:textId="77777777" w:rsidR="007C4598" w:rsidRDefault="00000000">
            <w:pPr>
              <w:spacing w:after="40"/>
            </w:pPr>
            <w:r>
              <w:t>Uso cronico di ansiolitici e ipnotici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73B35E8" w14:textId="77777777" w:rsidR="007C4598" w:rsidRDefault="00000000">
            <w:pPr>
              <w:spacing w:after="40"/>
            </w:pPr>
            <w:r>
              <w:t>elevato e protratto oltre le linee guida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5900D34" w14:textId="77777777" w:rsidR="007C4598" w:rsidRDefault="00000000">
            <w:pPr>
              <w:spacing w:after="40"/>
            </w:pPr>
            <w:r>
              <w:t>uso cronico inappropriato diffuso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2574A65" w14:textId="77777777" w:rsidR="007C4598" w:rsidRDefault="00000000">
            <w:pPr>
              <w:spacing w:after="40"/>
            </w:pPr>
            <w:r>
              <w:t>margine principale di risparmio (primo meccanismo)</w:t>
            </w:r>
          </w:p>
        </w:tc>
      </w:tr>
      <w:tr w:rsidR="007C4598" w14:paraId="7DC077A7"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F2E7BE9" w14:textId="77777777" w:rsidR="007C4598" w:rsidRDefault="00000000">
            <w:pPr>
              <w:spacing w:after="40"/>
            </w:pPr>
            <w:r>
              <w:t>Prescrizione sintomatica per sintomi funzionali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55453F1" w14:textId="77777777" w:rsidR="007C4598" w:rsidRDefault="00000000">
            <w:pPr>
              <w:spacing w:after="40"/>
            </w:pPr>
            <w:r>
              <w:t>ripetuta e diffusa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F25042B" w14:textId="77777777" w:rsidR="007C4598" w:rsidRDefault="00000000">
            <w:pPr>
              <w:spacing w:after="40"/>
            </w:pPr>
            <w:r>
              <w:t>rincorsa farmacologica del sintomo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A1DA144" w14:textId="77777777" w:rsidR="007C4598" w:rsidRDefault="00000000">
            <w:pPr>
              <w:spacing w:after="40"/>
            </w:pPr>
            <w:r>
              <w:t>margine di sostituzione diagnostica (terzo meccanismo)</w:t>
            </w:r>
          </w:p>
        </w:tc>
      </w:tr>
    </w:tbl>
    <w:p w14:paraId="5BBB4C95" w14:textId="77777777" w:rsidR="007C4598" w:rsidRDefault="007C4598"/>
    <w:p w14:paraId="3B75E731" w14:textId="77777777" w:rsidR="007C4598" w:rsidRDefault="00000000">
      <w:pPr>
        <w:jc w:val="both"/>
      </w:pPr>
      <w:r>
        <w:rPr>
          <w:i/>
          <w:iCs/>
        </w:rPr>
        <w:t>Tabella 8.1 — Il contesto farmaceutico pugliese e i margini di appropriatezza. Gli indicatori di consumo e spesa sono tratti dalle fonti pubbliche nazionali e regionali e saranno sostituiti dai dati certificati regionali non appena acquisiti.</w:t>
      </w:r>
    </w:p>
    <w:p w14:paraId="35330E54" w14:textId="77777777" w:rsidR="007C4598" w:rsidRDefault="007C4598"/>
    <w:p w14:paraId="02B989F5" w14:textId="77777777" w:rsidR="007C4598" w:rsidRDefault="00000000">
      <w:pPr>
        <w:jc w:val="both"/>
      </w:pPr>
      <w:r>
        <w:t xml:space="preserve">Sulla base di questo quadro, la stima del risparmio del canale farmaceutico è articolata nelle tre componenti corrispondenti ai tre meccanismi, e per ciascuno dei tre scenari di copertura. La prima componente, relativa alla riduzione dell’uso cronico inappropriato di ansiolitici e ipnotici, costituisce la quota maggiore del risparmio, in ragione tanto dell’ampiezza del consumo improprio quanto della solidità relativa dell’evidenza sulla </w:t>
      </w:r>
      <w:proofErr w:type="spellStart"/>
      <w:r>
        <w:t>deprescrizione</w:t>
      </w:r>
      <w:proofErr w:type="spellEnd"/>
      <w:r>
        <w:t>; essa è stimata in un ordine di grandezza crescente con la copertura del servizio. La seconda componente, relativa all’appropriatezza della durata delle terapie antidepressive, è stimata con maggiore prudenza, in coerenza con la scelta di ricondurre il risparmio antidepressivo alla sola durata e non al numero dei trattati. La terza componente, relativa alla riduzione della prescrizione sintomatica per i sintomi somatici funzionali, è stimata su un margine intermedio, coerente con la diffusione del fenomeno e con l’incertezza sulla quota di sintomi effettivamente riconducibili al disagio intercettabile.</w:t>
      </w:r>
    </w:p>
    <w:p w14:paraId="22EE1C86"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06CA4CCD"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3C91414" w14:textId="77777777" w:rsidR="007C4598" w:rsidRDefault="00000000">
            <w:pPr>
              <w:spacing w:after="40"/>
            </w:pPr>
            <w:r>
              <w:rPr>
                <w:b/>
                <w:bCs/>
                <w:color w:val="FFFFFF"/>
                <w:sz w:val="18"/>
                <w:szCs w:val="18"/>
              </w:rPr>
              <w:t>Componente del risparmio farmaceutico (mln €/anno)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414141C" w14:textId="77777777" w:rsidR="007C4598" w:rsidRDefault="00000000">
            <w:pPr>
              <w:spacing w:after="40"/>
            </w:pPr>
            <w:r>
              <w:rPr>
                <w:b/>
                <w:bCs/>
                <w:color w:val="FFFFFF"/>
                <w:sz w:val="18"/>
                <w:szCs w:val="18"/>
              </w:rPr>
              <w:t>Conservativo (~450)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1547600" w14:textId="77777777" w:rsidR="007C4598" w:rsidRDefault="00000000">
            <w:pPr>
              <w:spacing w:after="40"/>
            </w:pPr>
            <w:r>
              <w:rPr>
                <w:b/>
                <w:bCs/>
                <w:color w:val="FFFFFF"/>
                <w:sz w:val="18"/>
                <w:szCs w:val="18"/>
              </w:rPr>
              <w:t>Intermedio (~700)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03FB331" w14:textId="77777777" w:rsidR="007C4598" w:rsidRDefault="00000000">
            <w:pPr>
              <w:spacing w:after="40"/>
            </w:pPr>
            <w:r>
              <w:rPr>
                <w:b/>
                <w:bCs/>
                <w:color w:val="FFFFFF"/>
                <w:sz w:val="18"/>
                <w:szCs w:val="18"/>
              </w:rPr>
              <w:t>Espansivo (~900)</w:t>
            </w:r>
          </w:p>
        </w:tc>
      </w:tr>
      <w:tr w:rsidR="007C4598" w14:paraId="5F1722AA"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9F0FA77" w14:textId="77777777" w:rsidR="007C4598" w:rsidRDefault="00000000">
            <w:pPr>
              <w:spacing w:after="40"/>
            </w:pPr>
            <w:r>
              <w:t>Riduzione dell’uso cronico inappropriato di ansiolitici e ipnotici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CC55E3A" w14:textId="77777777" w:rsidR="007C4598" w:rsidRDefault="00000000">
            <w:pPr>
              <w:spacing w:after="40"/>
            </w:pPr>
            <w:r>
              <w:t>~1,5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ABCBD59" w14:textId="77777777" w:rsidR="007C4598" w:rsidRDefault="00000000">
            <w:pPr>
              <w:spacing w:after="40"/>
            </w:pPr>
            <w:r>
              <w:t>~2,0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5B8D6D9" w14:textId="77777777" w:rsidR="007C4598" w:rsidRDefault="00000000">
            <w:pPr>
              <w:spacing w:after="40"/>
            </w:pPr>
            <w:r>
              <w:t>~3,0</w:t>
            </w:r>
          </w:p>
        </w:tc>
      </w:tr>
      <w:tr w:rsidR="007C4598" w14:paraId="27ACB8D5"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599B9D0" w14:textId="77777777" w:rsidR="007C4598" w:rsidRDefault="00000000">
            <w:pPr>
              <w:spacing w:after="40"/>
            </w:pPr>
            <w:r>
              <w:t>Appropriatezza della durata e della sospensione delle terapie antidepressive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57A232C" w14:textId="77777777" w:rsidR="007C4598" w:rsidRDefault="00000000">
            <w:pPr>
              <w:spacing w:after="40"/>
            </w:pPr>
            <w:r>
              <w:t>~0,8</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9A43B2D" w14:textId="77777777" w:rsidR="007C4598" w:rsidRDefault="00000000">
            <w:pPr>
              <w:spacing w:after="40"/>
            </w:pPr>
            <w:r>
              <w:t>~1,0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C7F38A4" w14:textId="77777777" w:rsidR="007C4598" w:rsidRDefault="00000000">
            <w:pPr>
              <w:spacing w:after="40"/>
            </w:pPr>
            <w:r>
              <w:t>~1,5</w:t>
            </w:r>
          </w:p>
        </w:tc>
      </w:tr>
      <w:tr w:rsidR="007C4598" w14:paraId="4FE764C8"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83B8145" w14:textId="77777777" w:rsidR="007C4598" w:rsidRDefault="00000000">
            <w:pPr>
              <w:spacing w:after="40"/>
            </w:pPr>
            <w:r>
              <w:t>Riduzione della prescrizione sintomatica per sintomi funzionali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DDB0F42" w14:textId="77777777" w:rsidR="007C4598" w:rsidRDefault="00000000">
            <w:pPr>
              <w:spacing w:after="40"/>
            </w:pPr>
            <w:r>
              <w:t>~0,7</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7E50CA1" w14:textId="77777777" w:rsidR="007C4598" w:rsidRDefault="00000000">
            <w:pPr>
              <w:spacing w:after="40"/>
            </w:pPr>
            <w:r>
              <w:t>~1,0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9223211" w14:textId="77777777" w:rsidR="007C4598" w:rsidRDefault="00000000">
            <w:pPr>
              <w:spacing w:after="40"/>
            </w:pPr>
            <w:r>
              <w:t>~1,5</w:t>
            </w:r>
          </w:p>
        </w:tc>
      </w:tr>
      <w:tr w:rsidR="007C4598" w14:paraId="1CBA82B2"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B1225BE" w14:textId="77777777" w:rsidR="007C4598" w:rsidRDefault="00000000">
            <w:pPr>
              <w:spacing w:after="40"/>
            </w:pPr>
            <w:r>
              <w:t>Risparmio farmaceutico diretto del canale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23EE91B" w14:textId="77777777" w:rsidR="007C4598" w:rsidRDefault="00000000">
            <w:pPr>
              <w:spacing w:after="40"/>
            </w:pPr>
            <w:r>
              <w:t>~3,0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28166AF" w14:textId="77777777" w:rsidR="007C4598" w:rsidRDefault="00000000">
            <w:pPr>
              <w:spacing w:after="40"/>
            </w:pPr>
            <w:r>
              <w:t>~4,0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94D120D" w14:textId="77777777" w:rsidR="007C4598" w:rsidRDefault="00000000">
            <w:pPr>
              <w:spacing w:after="40"/>
            </w:pPr>
            <w:r>
              <w:t>~6,0</w:t>
            </w:r>
          </w:p>
        </w:tc>
      </w:tr>
    </w:tbl>
    <w:p w14:paraId="3A34B7D0" w14:textId="77777777" w:rsidR="007C4598" w:rsidRDefault="007C4598"/>
    <w:p w14:paraId="137C758A" w14:textId="77777777" w:rsidR="007C4598" w:rsidRDefault="00000000">
      <w:pPr>
        <w:jc w:val="both"/>
      </w:pPr>
      <w:r>
        <w:rPr>
          <w:i/>
          <w:iCs/>
        </w:rPr>
        <w:t>Tabella 8.2 — Stima prudenziale del risparmio del canale farmaceutico per scenario di copertura. Le cifre sono bande prudenziali arrotondate, coerenti con il canale farmaceutico della valutazione economica del telaio (3-6 milioni) e con l’aggregato per scenario ricomposto nella voce 8.6. L’ultima riga è la somma delle tre componenti.</w:t>
      </w:r>
    </w:p>
    <w:p w14:paraId="28B5F3D8" w14:textId="77777777" w:rsidR="007C4598" w:rsidRDefault="007C4598"/>
    <w:p w14:paraId="67586E99" w14:textId="77777777" w:rsidR="007C4598" w:rsidRDefault="00000000">
      <w:pPr>
        <w:jc w:val="both"/>
      </w:pPr>
      <w:r>
        <w:t>Il risparmio farmaceutico diretto del canale è dunque stimato in un ordine di grandezza compreso tra circa 3 milioni di euro l’anno nello scenario conservativo e circa 6 milioni nello scenario espansivo, con un valore intermedio dell’ordine di 4 milioni. Conviene collocare queste cifre nella loro corretta proporzione. Esse rappresentano una frazione contenuta della spesa farmaceutica pubblica regionale, coerente con la natura del margine, che non è la riduzione indiscriminata del consumo ma la compressione della sola quota impropria intercettabile; e una frazione ancora più contenuta del finanziamento sanitario regionale complessivo. La modestia relativa della cifra non è un difetto della stima, ma la sua onestà: un risparmio farmaceutico di pochi milioni, fondato su margini reali e documentati, è più credibile e più difendibile di una cifra ambiziosa fondata su un’auspicata riduzione generalizzata del consumo che la letteratura non autorizza.</w:t>
      </w:r>
    </w:p>
    <w:p w14:paraId="4697C836" w14:textId="77777777" w:rsidR="007C4598" w:rsidRDefault="007C4598"/>
    <w:p w14:paraId="47E89748" w14:textId="77777777" w:rsidR="007C4598" w:rsidRDefault="00000000">
      <w:pPr>
        <w:jc w:val="both"/>
      </w:pPr>
      <w:r>
        <w:t>La stima incorpora inoltre la progressione non lineare propria degli scenari. Il passaggio dallo scenario conservativo a quello espansivo non raddoppia semplicemente il risparmio in proporzione agli incarichi, perché al crescere della copertura cresce la quota del bisogno intercettata a monte, e con essa la capacità di prevenire l’avvio di nuove terapie croniche inappropriate, e non soltanto di sospendere quelle in corso. La componente di prevenzione degli avvii, che agisce sul flusso delle nuove prescrizioni, cresce dunque più che proporzionalmente con la scala del servizio, mentre la componente di sospensione dello stock cresce in modo più lineare. Questa struttura, che la modellazione della undicesima parte rappresenta formalmente, spiega perché il risparmio espansivo non sia il doppio di quello conservativo a fronte di un numero di incarichi doppio.</w:t>
      </w:r>
    </w:p>
    <w:p w14:paraId="410092ED"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0F545E0A"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E116BE8" w14:textId="77777777" w:rsidR="007C4598" w:rsidRDefault="00000000">
            <w:pPr>
              <w:spacing w:after="40"/>
            </w:pPr>
            <w:r>
              <w:rPr>
                <w:b/>
                <w:bCs/>
                <w:color w:val="FFFFFF"/>
                <w:sz w:val="18"/>
                <w:szCs w:val="18"/>
              </w:rPr>
              <w:t xml:space="preserve">◆ SEGNAPOSTO INFOGRAFICA — FIG. 8.A · DA INSERIRE A POSTERIORI Titolo previsto: Il canale farmaceutico del risparmio diretto: componenti e scenari — Puglia CODICE CANVA-FRIENDLY (scheda di generazione) Tipo di grafico: diagramma a barre orizzontali raggruppate per i tre scenari di copertura, ciascuna barra scomposta nelle tre componenti del risparmio (ansiolitici e ipnotici; durata delle terapie antidepressive; prescrizione sintomatica), con etichetta del totale di canale. Lettura: tre gruppi di barre (Conservativo, Intermedio, Espansivo) la cui lunghezza complessiva corrisponde al risparmio totale del canale (3, 4 e 6 milioni); la scomposizione cromatica interna rende immediatamente percepibile il peso prevalente della componente relativa all’uso cronico inappropriato di ansiolitici e ipnotici. Palette: componente ansiolitici/ipnotici in blu </w:t>
            </w:r>
            <w:proofErr w:type="spellStart"/>
            <w:r>
              <w:rPr>
                <w:b/>
                <w:bCs/>
                <w:color w:val="FFFFFF"/>
                <w:sz w:val="18"/>
                <w:szCs w:val="18"/>
              </w:rPr>
              <w:t>navy</w:t>
            </w:r>
            <w:proofErr w:type="spellEnd"/>
            <w:r>
              <w:rPr>
                <w:b/>
                <w:bCs/>
                <w:color w:val="FFFFFF"/>
                <w:sz w:val="18"/>
                <w:szCs w:val="18"/>
              </w:rPr>
              <w:t xml:space="preserve"> #16264B; componente durata antidepressivi in blu medio #244272; componente prescrizione sintomatica in blu #2E5AA0; etichetta del totale di canale in oro #C49A48; griglia in grigio #D8D8D8.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etichette degli scenari </w:t>
            </w:r>
            <w:proofErr w:type="spellStart"/>
            <w:r>
              <w:rPr>
                <w:b/>
                <w:bCs/>
                <w:color w:val="FFFFFF"/>
                <w:sz w:val="18"/>
                <w:szCs w:val="18"/>
              </w:rPr>
              <w:t>Bold</w:t>
            </w:r>
            <w:proofErr w:type="spellEnd"/>
            <w:r>
              <w:rPr>
                <w:b/>
                <w:bCs/>
                <w:color w:val="FFFFFF"/>
                <w:sz w:val="18"/>
                <w:szCs w:val="18"/>
              </w:rPr>
              <w:t xml:space="preserve">, valori Medium, note Regular.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Valori da rappresentare: Conservativo — ansiolitici/ipnotici ~1,5; durata antidepressivi ~0,8; sintomatica ~0,7; totale ~3,0. Intermedio — ~2,0; ~1,0; ~1,0; totale ~4,0. Espansivo — ~3,0; ~1,5; ~1,5; totale ~6,0. Variante 3D (consigliata): barre a rilievo isometrico con le tre componenti impilate in profondità; etichette dei totali in piano sopra ciascun gruppo. Fonte (piè di figura): Elaborazione dello studio; AIFA-</w:t>
            </w:r>
            <w:proofErr w:type="spellStart"/>
            <w:r>
              <w:rPr>
                <w:b/>
                <w:bCs/>
                <w:color w:val="FFFFFF"/>
                <w:sz w:val="18"/>
                <w:szCs w:val="18"/>
              </w:rPr>
              <w:t>OsMed</w:t>
            </w:r>
            <w:proofErr w:type="spellEnd"/>
            <w:r>
              <w:rPr>
                <w:b/>
                <w:bCs/>
                <w:color w:val="FFFFFF"/>
                <w:sz w:val="18"/>
                <w:szCs w:val="18"/>
              </w:rPr>
              <w:t xml:space="preserve"> per i dati di consumo e spesa; graduazione GRADE dell’evidenza sul risparmio. La figura deve rendere evidente che la componente prevalente del risparmio farmaceutico è la riduzione dell’uso cronico inappropriato di ansiolitici e ipnotici, e che il totale del canale resta contenuto in pochi milioni in tutti gli scenari.</w:t>
            </w:r>
          </w:p>
          <w:p w14:paraId="0D658D02" w14:textId="77777777" w:rsidR="007C4598" w:rsidRDefault="00000000">
            <w:pPr>
              <w:spacing w:before="120" w:after="60"/>
              <w:jc w:val="center"/>
            </w:pPr>
            <w:r>
              <w:rPr>
                <w:noProof/>
              </w:rPr>
              <w:drawing>
                <wp:inline distT="0" distB="0" distL="0" distR="0" wp14:anchorId="2E151CAA" wp14:editId="7AF98091">
                  <wp:extent cx="8229600" cy="4629150"/>
                  <wp:effectExtent l="0" t="0" r="0" b="0"/>
                  <wp:docPr id="133" name="Infografica33" descr="Il canale farmaceutico del risparmio di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Infografica33"/>
                          <pic:cNvPicPr>
                            <a:picLocks noChangeAspect="1" noChangeArrowheads="1"/>
                          </pic:cNvPicPr>
                        </pic:nvPicPr>
                        <pic:blipFill>
                          <a:blip r:embed="rId55">
                            <a:extLst>
                              <a:ext uri="{96DAC541-7B7A-43D3-8B79-37D633B846F1}">
                                <asvg:svgBlip xmlns:asvg="http://schemas.microsoft.com/office/drawing/2016/SVG/main" r:embed="rId56"/>
                              </a:ext>
                            </a:extLst>
                          </a:blip>
                          <a:stretch>
                            <a:fillRect/>
                          </a:stretch>
                        </pic:blipFill>
                        <pic:spPr bwMode="auto">
                          <a:xfrm>
                            <a:off x="0" y="0"/>
                            <a:ext cx="8229600" cy="4629150"/>
                          </a:xfrm>
                          <a:prstGeom prst="rect">
                            <a:avLst/>
                          </a:prstGeom>
                          <a:noFill/>
                          <a:ln>
                            <a:noFill/>
                          </a:ln>
                        </pic:spPr>
                      </pic:pic>
                    </a:graphicData>
                  </a:graphic>
                </wp:inline>
              </w:drawing>
            </w:r>
          </w:p>
          <w:p w14:paraId="0BDF4485" w14:textId="77777777" w:rsidR="007C4598" w:rsidRDefault="00000000">
            <w:pPr>
              <w:spacing w:before="40" w:after="200"/>
              <w:jc w:val="center"/>
            </w:pPr>
            <w:r>
              <w:rPr>
                <w:i/>
                <w:color w:val="2E5A8F"/>
                <w:sz w:val="16"/>
                <w:szCs w:val="16"/>
              </w:rPr>
              <w:t>Fig. 8.A — Il canale farmaceutico del risparmio diretto. Elaborazione dello studio · Luigi De Michele · Giugno 2026.</w:t>
            </w:r>
          </w:p>
        </w:tc>
      </w:tr>
    </w:tbl>
    <w:p w14:paraId="32A85031" w14:textId="77777777" w:rsidR="007C4598" w:rsidRDefault="007C4598"/>
    <w:p w14:paraId="7E19483B" w14:textId="77777777" w:rsidR="007C4598" w:rsidRDefault="00000000">
      <w:pPr>
        <w:pStyle w:val="Titolo2"/>
        <w:spacing w:before="200" w:after="100"/>
      </w:pPr>
      <w:r>
        <w:rPr>
          <w:sz w:val="22"/>
          <w:szCs w:val="22"/>
        </w:rPr>
        <w:t>8.1.5  La graduazione dell’evidenza, i confini della stima e l’agenda di verifica</w:t>
      </w:r>
    </w:p>
    <w:p w14:paraId="2AF4F6DF" w14:textId="77777777" w:rsidR="007C4598" w:rsidRDefault="007C4598"/>
    <w:p w14:paraId="12AF9105" w14:textId="77777777" w:rsidR="007C4598" w:rsidRDefault="00000000">
      <w:pPr>
        <w:jc w:val="both"/>
      </w:pPr>
      <w:r>
        <w:t xml:space="preserve">La solidità della stima del canale farmaceutico va dichiarata con la stessa franchezza con cui ne sono state esposte le cifre, applicando all’evidenza che la sostiene la graduazione che lo studio impone a ogni affermazione, tanto clinica quanto economica. L’anello clinico della catena causale — il fatto che l’integrazione della psicologia nelle cure primarie migliori gli esiti dei disturbi comuni — è sostenuto da evidenza di qualità da moderata ad alta. L’anello prescrittivo — il fatto che tale integrazione riduca la prescrizione inappropriata di ansiolitici, ipnotici e farmaci sintomatici — è sostenuto da evidenza coerente ma di qualità da moderata a bassa, derivata da studi sull’appropriatezza prescrittiva e sulla </w:t>
      </w:r>
      <w:proofErr w:type="spellStart"/>
      <w:r>
        <w:t>deprescrizione</w:t>
      </w:r>
      <w:proofErr w:type="spellEnd"/>
      <w:r>
        <w:t xml:space="preserve"> che variano per disegno e per contesto. L’anello economico — il fatto che la minore prescrizione si traduca in un risparmio sui costi sanitari diretti statisticamente significativo — è sostenuto da evidenza di qualità bassa, poiché gli studi che hanno misurato l’effetto sui costi documentano una tendenza al risparmio i cui intervalli di confidenza attraversano lo zero</w:t>
      </w:r>
      <w:r>
        <w:rPr>
          <w:color w:val="555555"/>
          <w:sz w:val="16"/>
          <w:szCs w:val="16"/>
          <w:vertAlign w:val="superscript"/>
        </w:rPr>
        <w:t>[11]</w:t>
      </w:r>
      <w:r>
        <w:t>. La graduazione complessiva del risparmio farmaceutico diretto è, dunque, quella del suo anello più debole: bassa, e per questo espressa in bande prudenziali.</w:t>
      </w:r>
    </w:p>
    <w:p w14:paraId="745B35A5" w14:textId="77777777" w:rsidR="007C4598" w:rsidRDefault="007C4598"/>
    <w:p w14:paraId="6A25EA0F" w14:textId="77777777" w:rsidR="007C4598" w:rsidRDefault="00000000">
      <w:pPr>
        <w:jc w:val="both"/>
      </w:pPr>
      <w:r>
        <w:t>Da questa graduazione discendono i confini espliciti della stima. In primo luogo, il risparmio del canale farmaceutico è una grandezza fiscale diretta, e non viene in alcun punto sommato alle ricadute sociali della minore medicalizzazione del disagio — la maggiore produttività, il minore assenteismo, la migliore qualità della vita — che la nona parte tratta separatamente: la riduzione della prescrizione inappropriata genera, oltre al risparmio fiscale qui contato, benefici sociali che qui non sono contati, e la loro tenuta separata è condizione della correttezza dell’intera valutazione</w:t>
      </w:r>
      <w:r>
        <w:rPr>
          <w:color w:val="555555"/>
          <w:sz w:val="16"/>
          <w:szCs w:val="16"/>
          <w:vertAlign w:val="superscript"/>
        </w:rPr>
        <w:t>[12]</w:t>
      </w:r>
      <w:r>
        <w:t>. In secondo luogo, la quota del risparmio attribuibile alla leva digitale e all’Intelligenza Artificiale — attraverso il supporto alla revisione prescrittiva, l’identificazione dei trattamenti cronici inappropriati e il monitoraggio dell’aderenza — non è qui aggiunta al risparmio del canale, ma è isolata e quantificata separatamente nella voce 8.5, nel rispetto della regola di non duplicazione. In terzo luogo, la stima poggia su dati di contesto pubblici, e la sua precisione è quella consentita da tali dati: la sostituzione della stima con la misura richiede l’acquisizione dei dati certificati regionali sul consumo per classe, sulla spesa e sull’appropriatezza prescrittiva, che la voce conclusiva include nell’agenda di consolidamento.</w:t>
      </w:r>
    </w:p>
    <w:p w14:paraId="4B9129AD" w14:textId="77777777" w:rsidR="007C4598" w:rsidRDefault="007C4598"/>
    <w:p w14:paraId="1AF89EBA" w14:textId="77777777" w:rsidR="007C4598" w:rsidRDefault="00000000">
      <w:pPr>
        <w:jc w:val="both"/>
      </w:pPr>
      <w:r>
        <w:t>La verifica documentale del canale farmaceutico segue, di conseguenza, un’agenda precisa. Essa richiede l’acquisizione dei dati regionali sul consumo di ansiolitici, ipnotici e antidepressivi disaggregato per classe e per durata della terapia, indispensabile per misurare l’effettiva ampiezza del consumo cronico inappropriato e il margine di compressione; dei dati sulla prescrizione sintomatica associata ai sintomi somatici funzionali, più difficili da isolare ma fondamentali per dimensionare il margine di sostituzione diagnostica; e dei dati sulla struttura dei prezzi e sulla quota a carico del Servizio sanitario, necessari per tradurre il minore consumo in minore spesa. L’acquisizione di questi dati, prevista nella fase di consolidamento, consentirà di restringere progressivamente la banda del risparmio farmaceutico e di sostituire alle stime prudenziali qui adottate misure ancorate alla realtà prescrittiva regionale. Stabiliti l’ordine di grandezza del primo canale, i suoi meccanismi, la sua graduazione e i suoi confini, la rinegoziazione può ora muovere verso il secondo canale, quello degli accessi impropri al pronto soccorso e dei ricoveri evitabili, che la voce seguente sviluppa.</w:t>
      </w:r>
    </w:p>
    <w:p w14:paraId="4EEE06FB" w14:textId="77777777" w:rsidR="007C4598" w:rsidRDefault="007C4598"/>
    <w:p w14:paraId="1C8EBAFB" w14:textId="77777777" w:rsidR="007C4598" w:rsidRDefault="00000000">
      <w:pPr>
        <w:pStyle w:val="Titolo1"/>
        <w:pageBreakBefore/>
      </w:pPr>
      <w:r>
        <w:rPr>
          <w:sz w:val="22"/>
          <w:szCs w:val="22"/>
        </w:rPr>
        <w:t>8.2  La riduzione degli accessi al pronto soccorso e dei ricoveri</w:t>
      </w:r>
    </w:p>
    <w:p w14:paraId="2AA7E2F6" w14:textId="77777777" w:rsidR="007C4598" w:rsidRDefault="007C4598"/>
    <w:p w14:paraId="05BABE8E" w14:textId="77777777" w:rsidR="007C4598" w:rsidRDefault="00000000">
      <w:pPr>
        <w:jc w:val="both"/>
      </w:pPr>
      <w:r>
        <w:rPr>
          <w:i/>
          <w:iCs/>
        </w:rPr>
        <w:t>La seconda voce sviluppa il secondo canale del risparmio diretto, quello che si forma a monte dell’acuzie ospedaliera. Essa muove dalla constatazione che una parte rilevante della domanda che oggi si riversa sul pronto soccorso e che esita in ricovero non nasce da una patologia acuta, ma dal disagio psichico comune non riconosciuto e non trattato sul territorio: il sintomo somatico privo di causa organica accertata, lo scompenso ricorrente di un disturbo d’ansia o depressivo, la crisi che giunge al servizio d’urgenza per assenza di un presidio territoriale che la prevenga. Intercettare quel disagio al primo livello, prima che esso percorra la via dell’urgenza e del ricovero, sottrae al circuito ospedaliero una quota di accessi e di degenze evitabili, e con essa la spesa che li accompagna. La voce ricostruisce il contesto pugliese dell’</w:t>
      </w:r>
      <w:proofErr w:type="spellStart"/>
      <w:r>
        <w:rPr>
          <w:i/>
          <w:iCs/>
        </w:rPr>
        <w:t>iper</w:t>
      </w:r>
      <w:proofErr w:type="spellEnd"/>
      <w:r>
        <w:rPr>
          <w:i/>
          <w:iCs/>
        </w:rPr>
        <w:t>-accesso e dell’</w:t>
      </w:r>
      <w:proofErr w:type="spellStart"/>
      <w:r>
        <w:rPr>
          <w:i/>
          <w:iCs/>
        </w:rPr>
        <w:t>inappropriatezza</w:t>
      </w:r>
      <w:proofErr w:type="spellEnd"/>
      <w:r>
        <w:rPr>
          <w:i/>
          <w:iCs/>
        </w:rPr>
        <w:t>, ne isola i meccanismi, ne traccia la catena causale, ne stima il risparmio entro bande prudenziali per ciascuno scenario e ne dichiara la graduazione e i confini.</w:t>
      </w:r>
    </w:p>
    <w:p w14:paraId="682CF020" w14:textId="77777777" w:rsidR="007C4598" w:rsidRDefault="007C4598"/>
    <w:p w14:paraId="1F04F1B7" w14:textId="77777777" w:rsidR="007C4598" w:rsidRDefault="00000000">
      <w:pPr>
        <w:pStyle w:val="Titolo2"/>
        <w:spacing w:before="200" w:after="100"/>
      </w:pPr>
      <w:r>
        <w:rPr>
          <w:sz w:val="22"/>
          <w:szCs w:val="22"/>
        </w:rPr>
        <w:t>8.2.1  Il contesto: l’</w:t>
      </w:r>
      <w:proofErr w:type="spellStart"/>
      <w:r>
        <w:rPr>
          <w:sz w:val="22"/>
          <w:szCs w:val="22"/>
        </w:rPr>
        <w:t>iper</w:t>
      </w:r>
      <w:proofErr w:type="spellEnd"/>
      <w:r>
        <w:rPr>
          <w:sz w:val="22"/>
          <w:szCs w:val="22"/>
        </w:rPr>
        <w:t>-accesso e l’</w:t>
      </w:r>
      <w:proofErr w:type="spellStart"/>
      <w:r>
        <w:rPr>
          <w:sz w:val="22"/>
          <w:szCs w:val="22"/>
        </w:rPr>
        <w:t>inappropriatezza</w:t>
      </w:r>
      <w:proofErr w:type="spellEnd"/>
      <w:r>
        <w:rPr>
          <w:sz w:val="22"/>
          <w:szCs w:val="22"/>
        </w:rPr>
        <w:t xml:space="preserve"> nel pronto soccorso pugliese</w:t>
      </w:r>
    </w:p>
    <w:p w14:paraId="1BB9B726" w14:textId="77777777" w:rsidR="007C4598" w:rsidRDefault="007C4598"/>
    <w:p w14:paraId="3EB3F316" w14:textId="77777777" w:rsidR="007C4598" w:rsidRDefault="00000000">
      <w:pPr>
        <w:jc w:val="both"/>
      </w:pPr>
      <w:r>
        <w:t xml:space="preserve">Il sistema dell’emergenza-urgenza pugliese sostiene un carico di accessi elevato in assoluto e segnato da una quota di </w:t>
      </w:r>
      <w:proofErr w:type="spellStart"/>
      <w:r>
        <w:t>inappropriatezza</w:t>
      </w:r>
      <w:proofErr w:type="spellEnd"/>
      <w:r>
        <w:t xml:space="preserve"> tra le più alte del panorama nazionale. La rete dei presìdi di emergenza della Regione registra, su base annua, un volume di accessi dell’ordine di poco più di un milione e centomila prestazioni, distribuite tra i presìdi ospedalieri sede di pronto soccorso e di dipartimento di emergenza.</w:t>
      </w:r>
      <w:r>
        <w:rPr>
          <w:color w:val="555555"/>
          <w:sz w:val="16"/>
          <w:szCs w:val="16"/>
          <w:vertAlign w:val="superscript"/>
        </w:rPr>
        <w:t>[13]</w:t>
      </w:r>
      <w:r>
        <w:t xml:space="preserve"> All’interno di questo volume, la quota classificata come a bassa o bassissima priorità — i codici che il sistema di triage attribuisce alle condizioni non urgenti, suscettibili di trattamento in un </w:t>
      </w:r>
      <w:proofErr w:type="spellStart"/>
      <w:r>
        <w:t>setting</w:t>
      </w:r>
      <w:proofErr w:type="spellEnd"/>
      <w:r>
        <w:t xml:space="preserve"> diverso da quello dell’emergenza — raggiunge una proporzione assai ampia, dell’ordine di quattro accessi su cinque.</w:t>
      </w:r>
      <w:r>
        <w:rPr>
          <w:color w:val="555555"/>
          <w:sz w:val="16"/>
          <w:szCs w:val="16"/>
          <w:vertAlign w:val="superscript"/>
        </w:rPr>
        <w:t>[14]</w:t>
      </w:r>
      <w:r>
        <w:t xml:space="preserve"> La cifra, che colloca la Puglia tra le regioni a più elevata </w:t>
      </w:r>
      <w:proofErr w:type="spellStart"/>
      <w:r>
        <w:t>inappropriatezza</w:t>
      </w:r>
      <w:proofErr w:type="spellEnd"/>
      <w:r>
        <w:t xml:space="preserve"> del ricorso all’urgenza, misura uno spazio di azione che non è semplicemente un disagio organizzativo, ma una grandezza fiscale: ogni accesso non urgente che trova nel pronto soccorso la propria risposta consuma risorse di un </w:t>
      </w:r>
      <w:proofErr w:type="spellStart"/>
      <w:r>
        <w:t>setting</w:t>
      </w:r>
      <w:proofErr w:type="spellEnd"/>
      <w:r>
        <w:t xml:space="preserve"> costoso per un bisogno che un </w:t>
      </w:r>
      <w:proofErr w:type="spellStart"/>
      <w:r>
        <w:t>setting</w:t>
      </w:r>
      <w:proofErr w:type="spellEnd"/>
      <w:r>
        <w:t xml:space="preserve"> territoriale tratterebbe a costo assai minore.</w:t>
      </w:r>
    </w:p>
    <w:p w14:paraId="18817B5F" w14:textId="77777777" w:rsidR="007C4598" w:rsidRDefault="007C4598"/>
    <w:p w14:paraId="3A669FF6" w14:textId="77777777" w:rsidR="007C4598" w:rsidRDefault="00000000">
      <w:pPr>
        <w:jc w:val="both"/>
      </w:pPr>
      <w:r>
        <w:t xml:space="preserve">Entro questo ampio margine di </w:t>
      </w:r>
      <w:proofErr w:type="spellStart"/>
      <w:r>
        <w:t>inappropriatezza</w:t>
      </w:r>
      <w:proofErr w:type="spellEnd"/>
      <w:r>
        <w:t>, una frazione è direttamente riconducibile al disagio psichico comune e ai suoi correlati somatici. Non si tratta dell’intera quota di accessi impropri, gran parte della quale risponde a bisogni clinici di natura diversa — la difficoltà di accesso alla medicina generale, la richiesta di prestazioni diagnostiche in tempi rapidi, l’abitudine consolidata al ricorso all’ospedale — ma di quella porzione specifica in cui il motivo dell’accesso è il sintomo somatico funzionale, la manifestazione fisica dell’ansia e della depressione, la crisi del disturbo comune non presa in carico. È questa porzione, e non l’</w:t>
      </w:r>
      <w:proofErr w:type="spellStart"/>
      <w:r>
        <w:t>inappropriatezza</w:t>
      </w:r>
      <w:proofErr w:type="spellEnd"/>
      <w:r>
        <w:t xml:space="preserve"> nel suo complesso, che costituisce la frazione comprimibile dal primo livello psicologico, e su di essa, e su di essa soltanto, la stima del canale si esercita. La distinzione è essenziale alla correttezza della valutazione: attribuire al solo Psicologo di Base la compressione dell’intera </w:t>
      </w:r>
      <w:proofErr w:type="spellStart"/>
      <w:r>
        <w:t>inappropriatezza</w:t>
      </w:r>
      <w:proofErr w:type="spellEnd"/>
      <w:r>
        <w:t xml:space="preserve"> significherebbe sovrastimare grossolanamente il risparmio, mentre isolarne la sola componente psichica significa stimare una grandezza reale e difendibile.</w:t>
      </w:r>
    </w:p>
    <w:p w14:paraId="0E137FE7" w14:textId="77777777" w:rsidR="007C4598" w:rsidRDefault="007C4598"/>
    <w:p w14:paraId="1D1E8B19" w14:textId="77777777" w:rsidR="007C4598" w:rsidRDefault="00000000">
      <w:pPr>
        <w:jc w:val="both"/>
      </w:pPr>
      <w:r>
        <w:t>Al carico del pronto soccorso si affianca quello dei ricoveri evitabili, che ne costituisce il prolungamento a valle. Una parte degli accessi impropri non si esaurisce nella prestazione d’urgenza, ma esita in un ricovero che un’adeguata presa in carico territoriale avrebbe reso non necessario. Il fenomeno assume due forme principali. La prima è il ricovero per condizioni sensibili alle cure ambulatoriali, ossia per quei quadri clinici — segnatamente quelli in cui la componente somatica del disagio psichico si intreccia con la patologia organica e ne aggrava il decorso — che una gestione territoriale tempestiva mantiene fuori dall’ospedale; il loro tasso è, in letteratura, un indicatore riconosciuto della qualità e della capillarità delle cure primarie.</w:t>
      </w:r>
      <w:r>
        <w:rPr>
          <w:color w:val="555555"/>
          <w:sz w:val="16"/>
          <w:szCs w:val="16"/>
          <w:vertAlign w:val="superscript"/>
        </w:rPr>
        <w:t>[15]</w:t>
      </w:r>
      <w:r>
        <w:t xml:space="preserve"> La seconda è il ricovero psichiatrico evitabile e, soprattutto, il </w:t>
      </w:r>
      <w:proofErr w:type="spellStart"/>
      <w:r>
        <w:t>ri</w:t>
      </w:r>
      <w:proofErr w:type="spellEnd"/>
      <w:r>
        <w:t>-ricovero, ossia il ritorno in reparto del paziente dimesso e non adeguatamente seguito sul territorio, che la presenza di un presidio psicologico di prossimità contribuisce a prevenire. Entrambe le forme generano una spesa ospedaliera che la riforma può comprimere agendo a monte, sul flusso che le alimenta.</w:t>
      </w:r>
    </w:p>
    <w:p w14:paraId="37CB112E" w14:textId="77777777" w:rsidR="007C4598" w:rsidRDefault="007C4598"/>
    <w:p w14:paraId="045ED60D" w14:textId="77777777" w:rsidR="007C4598" w:rsidRDefault="00000000">
      <w:pPr>
        <w:pStyle w:val="Titolo2"/>
        <w:spacing w:before="200" w:after="100"/>
      </w:pPr>
      <w:r>
        <w:rPr>
          <w:sz w:val="22"/>
          <w:szCs w:val="22"/>
        </w:rPr>
        <w:t>8.2.2  I meccanismi: dalla somatizzazione all’acuzie evitata</w:t>
      </w:r>
    </w:p>
    <w:p w14:paraId="45465703" w14:textId="77777777" w:rsidR="007C4598" w:rsidRDefault="007C4598"/>
    <w:p w14:paraId="3684E0F6" w14:textId="77777777" w:rsidR="007C4598" w:rsidRDefault="00000000">
      <w:pPr>
        <w:jc w:val="both"/>
      </w:pPr>
      <w:r>
        <w:t>Il canale del pronto soccorso e dei ricoveri opera attraverso tre meccanismi distinti, accomunati dal fatto di agire prima dell’acuzie, sul flusso che la genera, anziché sull’acuzie stessa. Il primo meccanismo è la deviazione della domanda somatica funzionale dal pronto soccorso al territorio. I sintomi fisici privi di causa organica accertata — dolori toracici e addominali, palpitazioni, vertigini, dispnea sine materia — sono tra i motivi più frequenti di accesso ripetuto all’urgenza, e la loro natura psichica resta tipicamente non riconosciuta nel contesto dell’emergenza, che è strutturalmente orientato all’esclusione dell’organicità e non alla presa in carico della causa. Il paziente che la presenta riceve accertamenti, rassicurazioni e dimissioni, e ritorna, perché la causa non è stata affrontata. La disponibilità di un primo livello psicologico, a cui il medico di medicina generale e lo stesso pronto soccorso possano indirizzare questi quadri, interrompe il ciclo dell’accesso ripetuto sostituendo alla rassicurazione episodica la presa in carico della causa.</w:t>
      </w:r>
    </w:p>
    <w:p w14:paraId="22B7132A" w14:textId="77777777" w:rsidR="007C4598" w:rsidRDefault="007C4598"/>
    <w:p w14:paraId="6466E4E8" w14:textId="77777777" w:rsidR="007C4598" w:rsidRDefault="00000000">
      <w:pPr>
        <w:jc w:val="both"/>
      </w:pPr>
      <w:r>
        <w:t>Il secondo meccanismo è la prevenzione dell’acuzie del disturbo comune. L’ansia e la depressione non intercettate seguono, in assenza di trattamento, una traiettoria di aggravamento che può culminare nella crisi acuta — l’attacco di panico portato in pronto soccorso, lo scompenso depressivo, la crisi d’angoscia — che il servizio d’urgenza accoglie e talora ricovera. La presa in carico precoce del disturbo, alla sua prima manifestazione e prima che l’aggravamento lo renda acuto, riduce la probabilità che esso giunga al punto di rottura che richiede l’intervento d’urgenza. Il meccanismo agisce, in questo caso, sulla prevenzione secondaria: non impedisce l’insorgenza del disturbo, ma ne arresta la progressione verso la fase acuta, sottraendo al pronto soccorso e al reparto la domanda che quella fase genererebbe.</w:t>
      </w:r>
    </w:p>
    <w:p w14:paraId="5A689064" w14:textId="77777777" w:rsidR="007C4598" w:rsidRDefault="007C4598"/>
    <w:p w14:paraId="78782CAF" w14:textId="77777777" w:rsidR="007C4598" w:rsidRDefault="00000000">
      <w:pPr>
        <w:jc w:val="both"/>
      </w:pPr>
      <w:r>
        <w:t xml:space="preserve">Il terzo meccanismo è la riduzione dei ricoveri e dei </w:t>
      </w:r>
      <w:proofErr w:type="spellStart"/>
      <w:r>
        <w:t>ri</w:t>
      </w:r>
      <w:proofErr w:type="spellEnd"/>
      <w:r>
        <w:t xml:space="preserve">-ricoveri attraverso la continuità territoriale. Il paziente con disturbo comune, ricoverato per un episodio acuto o per una </w:t>
      </w:r>
      <w:proofErr w:type="spellStart"/>
      <w:r>
        <w:t>comorbilità</w:t>
      </w:r>
      <w:proofErr w:type="spellEnd"/>
      <w:r>
        <w:t xml:space="preserve"> in cui la componente psichica aggrava quella organica, è esposto, dopo la dimissione, a un elevato rischio di ritorno in ospedale se non trova sul territorio un presidio che lo segua. La presenza dello Psicologo di Base nella rete delle cure primarie, in raccordo con il medico di medicina generale e con i servizi specialistici, fornisce quel presidio, riducendo la probabilità del </w:t>
      </w:r>
      <w:proofErr w:type="spellStart"/>
      <w:r>
        <w:t>ri</w:t>
      </w:r>
      <w:proofErr w:type="spellEnd"/>
      <w:r>
        <w:t>-ricovero e contribuendo, per la componente psichica, a contenere i ricoveri per le condizioni sensibili alle cure ambulatoriali.</w:t>
      </w:r>
      <w:r>
        <w:rPr>
          <w:color w:val="555555"/>
          <w:sz w:val="16"/>
          <w:szCs w:val="16"/>
          <w:vertAlign w:val="superscript"/>
        </w:rPr>
        <w:t>[16]</w:t>
      </w:r>
      <w:r>
        <w:t xml:space="preserve"> I tre meccanismi convergono, come per il canale farmaceutico, verso il medesimo esito fiscale — la minore spesa ospedaliera e di emergenza — e condividono il medesimo presupposto, l’intercettazione precoce a monte dell’acuzie; e per questo possono essere trattati come componenti di un unico canale, sommabili tra loro ma non con i risparmi degli altri canali.</w:t>
      </w:r>
    </w:p>
    <w:p w14:paraId="3557260B" w14:textId="77777777" w:rsidR="007C4598" w:rsidRDefault="007C4598"/>
    <w:p w14:paraId="6B5B4032" w14:textId="77777777" w:rsidR="007C4598" w:rsidRDefault="00000000">
      <w:pPr>
        <w:pStyle w:val="Titolo2"/>
        <w:spacing w:before="200" w:after="100"/>
      </w:pPr>
      <w:r>
        <w:rPr>
          <w:sz w:val="22"/>
          <w:szCs w:val="22"/>
        </w:rPr>
        <w:t>8.2.3  La catena causale: dall’intercettazione territoriale alla minore spesa ospedaliera</w:t>
      </w:r>
    </w:p>
    <w:p w14:paraId="26BAB3F4" w14:textId="77777777" w:rsidR="007C4598" w:rsidRDefault="007C4598"/>
    <w:p w14:paraId="63965FCB" w14:textId="77777777" w:rsidR="007C4598" w:rsidRDefault="00000000">
      <w:pPr>
        <w:jc w:val="both"/>
      </w:pPr>
      <w:r>
        <w:t>La formazione del risparmio del secondo canale può essere ricostruita, come per il primo, attraverso una catena causale a più anelli, ciascuno dei quali è sostenuto da un grado diverso di evidenza e la cui solidità complessiva è quella dell’anello più debole. Il primo anello è clinico-organizzativo: la disponibilità di un primo livello psicologico territoriale, integrato nelle cure primarie, intercetta il disagio comune e i suoi correlati somatici prima che essi percorrano la via dell’urgenza. Questo anello è sostenuto dall’evidenza sull’efficacia dei modelli di assistenza collaborativa e di cura per intensità crescente nel ridurre l’utilizzo dei servizi ad alta intensità, ed è di qualità da moderata ad alta.</w:t>
      </w:r>
    </w:p>
    <w:p w14:paraId="1AE5EBE1" w14:textId="77777777" w:rsidR="007C4598" w:rsidRDefault="007C4598"/>
    <w:p w14:paraId="0196D741" w14:textId="77777777" w:rsidR="007C4598" w:rsidRDefault="00000000">
      <w:pPr>
        <w:jc w:val="both"/>
      </w:pPr>
      <w:r>
        <w:t>Il secondo anello è comportamentale: l’intercettazione territoriale modifica il percorso del paziente, sostituendo all’accesso ripetuto al pronto soccorso e al ricovero la presa in carico ambulatoriale, e riduce così il volume degli accessi impropri e delle degenze evitabili. Questo anello è sostenuto da evidenza coerente ma di qualità più variabile, perché la misura in cui l’offerta territoriale effettivamente devia la domanda dipende da fattori organizzativi e culturali — l’integrazione tra i livelli, l’accessibilità del primo livello, le abitudini di ricorso — che variano da contesto a contesto. Il terzo anello è economico: la riduzione degli accessi e dei ricoveri si traduce in minore spesa per il bilancio sanitario regionale. Anche qui, come per il canale farmaceutico, l’anello economico è il più debole della catena, perché la letteratura che ha misurato l’effetto dei modelli integrati sui costi documenta una tendenza al risparmio i cui intervalli di confidenza non sempre raggiungono la significatività statistica.</w:t>
      </w:r>
      <w:r>
        <w:rPr>
          <w:color w:val="555555"/>
          <w:sz w:val="16"/>
          <w:szCs w:val="16"/>
          <w:vertAlign w:val="superscript"/>
        </w:rPr>
        <w:t>[17]</w:t>
      </w:r>
      <w:r>
        <w:t xml:space="preserve"> La graduazione complessiva del canale è, di conseguenza, quella del suo anello economico, e impone la rappresentazione del risparmio in bande prudenziali anziché in valori puntuali.</w:t>
      </w:r>
    </w:p>
    <w:p w14:paraId="12CC9B27" w14:textId="77777777" w:rsidR="007C4598" w:rsidRDefault="007C4598"/>
    <w:p w14:paraId="4E68E609" w14:textId="77777777" w:rsidR="007C4598" w:rsidRDefault="00000000">
      <w:pPr>
        <w:pStyle w:val="Titolo2"/>
        <w:spacing w:before="200" w:after="100"/>
      </w:pPr>
      <w:r>
        <w:rPr>
          <w:sz w:val="22"/>
          <w:szCs w:val="22"/>
        </w:rPr>
        <w:t>8.2.4  La quantificazione del canale: componenti e scenari</w:t>
      </w:r>
    </w:p>
    <w:p w14:paraId="294DB575" w14:textId="77777777" w:rsidR="007C4598" w:rsidRDefault="007C4598"/>
    <w:p w14:paraId="253724FE" w14:textId="77777777" w:rsidR="007C4598" w:rsidRDefault="00000000">
      <w:pPr>
        <w:jc w:val="both"/>
      </w:pPr>
      <w:r>
        <w:t>La quantificazione del secondo canale procede secondo il medesimo metodo in cinque passaggi adottato per il primo: individuazione della grandezza regionale di ancoraggio, isolamento della frazione comprimibile, applicazione del parametro di effetto, introduzione della quota di copertura per scenario e riduzione prudenziale. La grandezza di ancoraggio è duplice, perché il canale agisce su due aggregati distinti: il costo degli accessi impropri al pronto soccorso, da un lato, e il costo dei ricoveri evitabili, dall’altro. La tabella che segue ricostruisce, sui dati pubblici disponibili, le due grandezze e i margini su cui il canale opera, distinguendo la componente dell’emergenza da quella della degenza.</w:t>
      </w:r>
    </w:p>
    <w:p w14:paraId="4F92F5CB"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2B6D7F3D"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3EC5E90" w14:textId="77777777" w:rsidR="007C4598" w:rsidRDefault="00000000">
            <w:pPr>
              <w:spacing w:after="40"/>
            </w:pPr>
            <w:r>
              <w:rPr>
                <w:b/>
                <w:bCs/>
                <w:color w:val="FFFFFF"/>
                <w:sz w:val="18"/>
                <w:szCs w:val="18"/>
              </w:rPr>
              <w:t>Aggregato di ancoraggio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DF490C8" w14:textId="77777777" w:rsidR="007C4598" w:rsidRDefault="00000000">
            <w:pPr>
              <w:spacing w:after="40"/>
            </w:pPr>
            <w:r>
              <w:rPr>
                <w:b/>
                <w:bCs/>
                <w:color w:val="FFFFFF"/>
                <w:sz w:val="18"/>
                <w:szCs w:val="18"/>
              </w:rPr>
              <w:t>Grandezza in Puglia</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A6313A9" w14:textId="77777777" w:rsidR="007C4598" w:rsidRDefault="00000000">
            <w:pPr>
              <w:spacing w:after="40"/>
            </w:pPr>
            <w:r>
              <w:rPr>
                <w:b/>
                <w:bCs/>
                <w:color w:val="FFFFFF"/>
                <w:sz w:val="18"/>
                <w:szCs w:val="18"/>
              </w:rPr>
              <w:t>Frazione comprimibile dal primo livello psicologico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5F60D6A" w14:textId="77777777" w:rsidR="007C4598" w:rsidRDefault="00000000">
            <w:pPr>
              <w:spacing w:after="40"/>
            </w:pPr>
            <w:r>
              <w:rPr>
                <w:b/>
                <w:bCs/>
                <w:color w:val="FFFFFF"/>
                <w:sz w:val="18"/>
                <w:szCs w:val="18"/>
              </w:rPr>
              <w:t>Componente del risparmio</w:t>
            </w:r>
          </w:p>
        </w:tc>
      </w:tr>
      <w:tr w:rsidR="007C4598" w14:paraId="2417740D"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2B717EF" w14:textId="77777777" w:rsidR="007C4598" w:rsidRDefault="00000000">
            <w:pPr>
              <w:spacing w:after="40"/>
            </w:pPr>
            <w:r>
              <w:t>Accessi al pronto soccorso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51DFE51" w14:textId="77777777" w:rsidR="007C4598" w:rsidRDefault="00000000">
            <w:pPr>
              <w:spacing w:after="40"/>
            </w:pPr>
            <w:r>
              <w:t>~1.142.000 accessi/anno · ~80% a bassa priorità</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AB2691A" w14:textId="77777777" w:rsidR="007C4598" w:rsidRDefault="00000000">
            <w:pPr>
              <w:spacing w:after="40"/>
            </w:pPr>
            <w:r>
              <w:t>la sola quota a matrice psichica: somatizzazione funzionale, crisi del disturbo comune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976F811" w14:textId="77777777" w:rsidR="007C4598" w:rsidRDefault="00000000">
            <w:pPr>
              <w:spacing w:after="40"/>
            </w:pPr>
            <w:r>
              <w:t>componente pronto soccorso</w:t>
            </w:r>
          </w:p>
        </w:tc>
      </w:tr>
      <w:tr w:rsidR="007C4598" w14:paraId="153DCC27"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2CBE254" w14:textId="77777777" w:rsidR="007C4598" w:rsidRDefault="00000000">
            <w:pPr>
              <w:spacing w:after="40"/>
            </w:pPr>
            <w:r>
              <w:t>Ricoveri per condizioni sensibili alle cure ambulatoriali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2B66E8E" w14:textId="77777777" w:rsidR="007C4598" w:rsidRDefault="00000000">
            <w:pPr>
              <w:spacing w:after="40"/>
            </w:pPr>
            <w:r>
              <w:t>quota dei ricoveri medici prevenibili sul territorio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BBC26B6" w14:textId="77777777" w:rsidR="007C4598" w:rsidRDefault="00000000">
            <w:pPr>
              <w:spacing w:after="40"/>
            </w:pPr>
            <w:r>
              <w:t>la componente in cui il disagio psichico aggrava il decorso e precipita la degenza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C25E7E3" w14:textId="77777777" w:rsidR="007C4598" w:rsidRDefault="00000000">
            <w:pPr>
              <w:spacing w:after="40"/>
            </w:pPr>
            <w:r>
              <w:t>componente ricoveri medici evitabili</w:t>
            </w:r>
          </w:p>
        </w:tc>
      </w:tr>
      <w:tr w:rsidR="007C4598" w14:paraId="35DCF28D"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ECDC217" w14:textId="77777777" w:rsidR="007C4598" w:rsidRDefault="00000000">
            <w:pPr>
              <w:spacing w:after="40"/>
            </w:pPr>
            <w:r>
              <w:t xml:space="preserve">Ricoveri e </w:t>
            </w:r>
            <w:proofErr w:type="spellStart"/>
            <w:r>
              <w:t>ri</w:t>
            </w:r>
            <w:proofErr w:type="spellEnd"/>
            <w:r>
              <w:t>-ricoveri psichiatrici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69BE8F6" w14:textId="77777777" w:rsidR="007C4598" w:rsidRDefault="00000000">
            <w:pPr>
              <w:spacing w:after="40"/>
            </w:pPr>
            <w:r>
              <w:t>degenze e ritorni in reparto del disturbo comune scompensato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64501E8" w14:textId="77777777" w:rsidR="007C4598" w:rsidRDefault="00000000">
            <w:pPr>
              <w:spacing w:after="40"/>
            </w:pPr>
            <w:r>
              <w:t>la quota prevenibile dalla continuità territoriale post-dimissione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066E144" w14:textId="77777777" w:rsidR="007C4598" w:rsidRDefault="00000000">
            <w:pPr>
              <w:spacing w:after="40"/>
            </w:pPr>
            <w:r>
              <w:t>componente ricoveri psichiatrici evitabili</w:t>
            </w:r>
          </w:p>
        </w:tc>
      </w:tr>
    </w:tbl>
    <w:p w14:paraId="7851E702" w14:textId="77777777" w:rsidR="007C4598" w:rsidRDefault="007C4598"/>
    <w:p w14:paraId="7918251E" w14:textId="77777777" w:rsidR="007C4598" w:rsidRDefault="00000000">
      <w:pPr>
        <w:jc w:val="both"/>
      </w:pPr>
      <w:r>
        <w:rPr>
          <w:i/>
          <w:iCs/>
        </w:rPr>
        <w:t>Tabella 8.3 — Gli aggregati di ancoraggio del secondo canale e i margini di compressione. I volumi del pronto soccorso sono tratti dalle fonti pubbliche regionali e saranno sostituiti dai dati certificati; le frazioni comprimibili riguardano la sola componente a matrice psichica, distinta dall’</w:t>
      </w:r>
      <w:proofErr w:type="spellStart"/>
      <w:r>
        <w:rPr>
          <w:i/>
          <w:iCs/>
        </w:rPr>
        <w:t>inappropriatezza</w:t>
      </w:r>
      <w:proofErr w:type="spellEnd"/>
      <w:r>
        <w:rPr>
          <w:i/>
          <w:iCs/>
        </w:rPr>
        <w:t xml:space="preserve"> complessiva.</w:t>
      </w:r>
    </w:p>
    <w:p w14:paraId="2E54F798" w14:textId="77777777" w:rsidR="007C4598" w:rsidRDefault="007C4598"/>
    <w:p w14:paraId="0CAB5A43" w14:textId="77777777" w:rsidR="007C4598" w:rsidRDefault="00000000">
      <w:pPr>
        <w:jc w:val="both"/>
      </w:pPr>
      <w:r>
        <w:t xml:space="preserve">Sulla base di questo quadro, la stima del risparmio del secondo canale è articolata nelle tre componenti corrispondenti ai tre aggregati, e per ciascuno dei tre scenari di copertura. La componente del pronto soccorso, relativa alla deviazione degli accessi impropri a matrice psichica, è stimata con prudenza, in ragione tanto della difficoltà di isolare la quota effettivamente psichica entro l’ampia </w:t>
      </w:r>
      <w:proofErr w:type="spellStart"/>
      <w:r>
        <w:t>inappropriatezza</w:t>
      </w:r>
      <w:proofErr w:type="spellEnd"/>
      <w:r>
        <w:t xml:space="preserve"> complessiva quanto del costo unitario relativamente contenuto del singolo accesso. La componente dei ricoveri medici evitabili costituisce, per il suo maggiore costo unitario, la quota prevalente del risparmio del canale, ed è stimata in un ordine di grandezza crescente con la copertura. La componente dei ricoveri psichiatrici evitabili è stimata su un margine intermedio, coerente con la rilevanza del fenomeno del </w:t>
      </w:r>
      <w:proofErr w:type="spellStart"/>
      <w:r>
        <w:t>ri</w:t>
      </w:r>
      <w:proofErr w:type="spellEnd"/>
      <w:r>
        <w:t>-ricovero e con l’incertezza sulla quota effettivamente prevenibile dalla sola continuità territoriale.</w:t>
      </w:r>
    </w:p>
    <w:p w14:paraId="24B2803A"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61343200"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EEDFA46" w14:textId="77777777" w:rsidR="007C4598" w:rsidRDefault="00000000">
            <w:pPr>
              <w:spacing w:after="40"/>
            </w:pPr>
            <w:r>
              <w:rPr>
                <w:b/>
                <w:bCs/>
                <w:color w:val="FFFFFF"/>
                <w:sz w:val="18"/>
                <w:szCs w:val="18"/>
              </w:rPr>
              <w:t>Componente del risparmio (mln €/anno)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AA73B07" w14:textId="77777777" w:rsidR="007C4598" w:rsidRDefault="00000000">
            <w:pPr>
              <w:spacing w:after="40"/>
            </w:pPr>
            <w:r>
              <w:rPr>
                <w:b/>
                <w:bCs/>
                <w:color w:val="FFFFFF"/>
                <w:sz w:val="18"/>
                <w:szCs w:val="18"/>
              </w:rPr>
              <w:t>Conservativo (~450)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C904F17" w14:textId="77777777" w:rsidR="007C4598" w:rsidRDefault="00000000">
            <w:pPr>
              <w:spacing w:after="40"/>
            </w:pPr>
            <w:r>
              <w:rPr>
                <w:b/>
                <w:bCs/>
                <w:color w:val="FFFFFF"/>
                <w:sz w:val="18"/>
                <w:szCs w:val="18"/>
              </w:rPr>
              <w:t>Intermedio (~700)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736ED24" w14:textId="77777777" w:rsidR="007C4598" w:rsidRDefault="00000000">
            <w:pPr>
              <w:spacing w:after="40"/>
            </w:pPr>
            <w:r>
              <w:rPr>
                <w:b/>
                <w:bCs/>
                <w:color w:val="FFFFFF"/>
                <w:sz w:val="18"/>
                <w:szCs w:val="18"/>
              </w:rPr>
              <w:t>Espansivo (~900)</w:t>
            </w:r>
          </w:p>
        </w:tc>
      </w:tr>
      <w:tr w:rsidR="007C4598" w14:paraId="1DFBAEE8"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A6F257C" w14:textId="77777777" w:rsidR="007C4598" w:rsidRDefault="00000000">
            <w:pPr>
              <w:spacing w:after="40"/>
            </w:pPr>
            <w:r>
              <w:t>Deviazione degli accessi impropri al pronto soccorso (quota psichica)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4FDC6B7" w14:textId="77777777" w:rsidR="007C4598" w:rsidRDefault="00000000">
            <w:pPr>
              <w:spacing w:after="40"/>
            </w:pPr>
            <w:r>
              <w:t>~3,0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6BD0498" w14:textId="77777777" w:rsidR="007C4598" w:rsidRDefault="00000000">
            <w:pPr>
              <w:spacing w:after="40"/>
            </w:pPr>
            <w:r>
              <w:t>~4,0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C65F1D7" w14:textId="77777777" w:rsidR="007C4598" w:rsidRDefault="00000000">
            <w:pPr>
              <w:spacing w:after="40"/>
            </w:pPr>
            <w:r>
              <w:t>~5,0</w:t>
            </w:r>
          </w:p>
        </w:tc>
      </w:tr>
      <w:tr w:rsidR="007C4598" w14:paraId="1F997E1E"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B71C00A" w14:textId="77777777" w:rsidR="007C4598" w:rsidRDefault="00000000">
            <w:pPr>
              <w:spacing w:after="40"/>
            </w:pPr>
            <w:r>
              <w:t>Riduzione dei ricoveri medici evitabili (componente psichica)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5E11D98" w14:textId="77777777" w:rsidR="007C4598" w:rsidRDefault="00000000">
            <w:pPr>
              <w:spacing w:after="40"/>
            </w:pPr>
            <w:r>
              <w:t>~4,0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8392185" w14:textId="77777777" w:rsidR="007C4598" w:rsidRDefault="00000000">
            <w:pPr>
              <w:spacing w:after="40"/>
            </w:pPr>
            <w:r>
              <w:t>~8,0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2C7A1DD" w14:textId="77777777" w:rsidR="007C4598" w:rsidRDefault="00000000">
            <w:pPr>
              <w:spacing w:after="40"/>
            </w:pPr>
            <w:r>
              <w:t>~12,0</w:t>
            </w:r>
          </w:p>
        </w:tc>
      </w:tr>
      <w:tr w:rsidR="007C4598" w14:paraId="7C204079"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E880EC7" w14:textId="77777777" w:rsidR="007C4598" w:rsidRDefault="00000000">
            <w:pPr>
              <w:spacing w:after="40"/>
            </w:pPr>
            <w:r>
              <w:t xml:space="preserve">Riduzione dei ricoveri e </w:t>
            </w:r>
            <w:proofErr w:type="spellStart"/>
            <w:r>
              <w:t>ri</w:t>
            </w:r>
            <w:proofErr w:type="spellEnd"/>
            <w:r>
              <w:t>-ricoveri psichiatrici evitabili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4ABC5E1" w14:textId="77777777" w:rsidR="007C4598" w:rsidRDefault="00000000">
            <w:pPr>
              <w:spacing w:after="40"/>
            </w:pPr>
            <w:r>
              <w:t>~2,0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CD31D8E" w14:textId="77777777" w:rsidR="007C4598" w:rsidRDefault="00000000">
            <w:pPr>
              <w:spacing w:after="40"/>
            </w:pPr>
            <w:r>
              <w:t>~4,0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A21C219" w14:textId="77777777" w:rsidR="007C4598" w:rsidRDefault="00000000">
            <w:pPr>
              <w:spacing w:after="40"/>
            </w:pPr>
            <w:r>
              <w:t>~6,0</w:t>
            </w:r>
          </w:p>
        </w:tc>
      </w:tr>
      <w:tr w:rsidR="007C4598" w14:paraId="086D4212"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C566AD9" w14:textId="77777777" w:rsidR="007C4598" w:rsidRDefault="00000000">
            <w:pPr>
              <w:spacing w:after="40"/>
            </w:pPr>
            <w:r>
              <w:t>Risparmio diretto del canale pronto soccorso e ricoveri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A4E01A4" w14:textId="77777777" w:rsidR="007C4598" w:rsidRDefault="00000000">
            <w:pPr>
              <w:spacing w:after="40"/>
            </w:pPr>
            <w:r>
              <w:t>~9,0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DA1BF54" w14:textId="77777777" w:rsidR="007C4598" w:rsidRDefault="00000000">
            <w:pPr>
              <w:spacing w:after="40"/>
            </w:pPr>
            <w:r>
              <w:t>~16,0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135CFB0" w14:textId="77777777" w:rsidR="007C4598" w:rsidRDefault="00000000">
            <w:pPr>
              <w:spacing w:after="40"/>
            </w:pPr>
            <w:r>
              <w:t>~23,0</w:t>
            </w:r>
          </w:p>
        </w:tc>
      </w:tr>
    </w:tbl>
    <w:p w14:paraId="628C69AE" w14:textId="77777777" w:rsidR="007C4598" w:rsidRDefault="007C4598"/>
    <w:p w14:paraId="3FBF25F2" w14:textId="77777777" w:rsidR="007C4598" w:rsidRDefault="00000000">
      <w:pPr>
        <w:jc w:val="both"/>
      </w:pPr>
      <w:r>
        <w:rPr>
          <w:i/>
          <w:iCs/>
        </w:rPr>
        <w:t>Tabella 8.4 — Stima prudenziale del risparmio del canale pronto soccorso e ricoveri per scenario. Le cifre sono bande prudenziali arrotondate, coerenti con il canale del pronto soccorso (3-5 milioni) e con la componente ricoveri della valutazione economica del telaio, e con l’aggregato per scenario ricomposto nella voce 8.6. L’ultima riga è la somma delle tre componenti.</w:t>
      </w:r>
    </w:p>
    <w:p w14:paraId="231F7C19" w14:textId="77777777" w:rsidR="007C4598" w:rsidRDefault="007C4598"/>
    <w:p w14:paraId="09E893FE" w14:textId="77777777" w:rsidR="007C4598" w:rsidRDefault="00000000">
      <w:pPr>
        <w:jc w:val="both"/>
      </w:pPr>
      <w:r>
        <w:t xml:space="preserve">Il risparmio diretto del secondo canale è dunque stimato in un ordine di grandezza compreso tra circa 9 milioni di euro l’anno nello scenario conservativo e circa 23 milioni nello scenario espansivo, con un valore intermedio dell’ordine di 16 milioni. È, dei quattro canali, quello di maggiore consistenza, e la ragione risiede nella struttura dei costi del sistema: il pronto soccorso e, soprattutto, il ricovero sono i </w:t>
      </w:r>
      <w:proofErr w:type="spellStart"/>
      <w:r>
        <w:t>setting</w:t>
      </w:r>
      <w:proofErr w:type="spellEnd"/>
      <w:r>
        <w:t xml:space="preserve"> più onerosi dell’intero ciclo assistenziale, sicché anche una compressione di volume contenuta, applicata a un costo unitario elevato, genera un risparmio assoluto significativo. È questa, e non un’ottimistica ipotesi di svuotamento dell’ospedale, la ragione del peso del canale: l’</w:t>
      </w:r>
      <w:proofErr w:type="spellStart"/>
      <w:r>
        <w:t>evitamento</w:t>
      </w:r>
      <w:proofErr w:type="spellEnd"/>
      <w:r>
        <w:t xml:space="preserve"> di una quota modesta delle degenze più costose vale, in termini fiscali, più della compressione di volumi assai maggiori di prestazioni a basso costo unitario.</w:t>
      </w:r>
    </w:p>
    <w:p w14:paraId="3A8220A2" w14:textId="77777777" w:rsidR="007C4598" w:rsidRDefault="007C4598"/>
    <w:p w14:paraId="2D2ACAE2" w14:textId="77777777" w:rsidR="007C4598" w:rsidRDefault="00000000">
      <w:pPr>
        <w:jc w:val="both"/>
      </w:pPr>
      <w:r>
        <w:t xml:space="preserve">Anche per questo canale la stima incorpora la progressione non lineare propria degli scenari. Al crescere della copertura cresce non soltanto il numero dei pazienti intercettati, ma la tempestività dell’intercettazione, e con essa la capacità di prevenire l’acuzie prima che essa si manifesti, e non soltanto di gestirne le conseguenze. La componente di prevenzione dell’acuzie, che agisce sul flusso dei nuovi episodi acuti, cresce dunque più che proporzionalmente con la scala del servizio, mentre la componente di gestione del </w:t>
      </w:r>
      <w:proofErr w:type="spellStart"/>
      <w:r>
        <w:t>ri</w:t>
      </w:r>
      <w:proofErr w:type="spellEnd"/>
      <w:r>
        <w:t>-ricovero, che agisce sullo stock dei pazienti già transitati per l’ospedale, cresce in modo più lineare. La modellazione dell’undicesima parte rappresenta formalmente questa struttura, che spiega perché il risparmio espansivo del canale non sia il semplice multiplo di quello conservativo in proporzione agli incarichi.</w:t>
      </w:r>
    </w:p>
    <w:p w14:paraId="5DB60662"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7313E037"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B1FC5FA" w14:textId="77777777" w:rsidR="007C4598" w:rsidRDefault="00000000">
            <w:pPr>
              <w:spacing w:after="40"/>
            </w:pPr>
            <w:r>
              <w:rPr>
                <w:b/>
                <w:bCs/>
                <w:color w:val="FFFFFF"/>
                <w:sz w:val="18"/>
                <w:szCs w:val="18"/>
              </w:rPr>
              <w:t xml:space="preserve">◆ SEGNAPOSTO INFOGRAFICA — FIG. 8.B · DA INSERIRE A POSTERIORI Titolo previsto: Il canale pronto soccorso e ricoveri: componenti e scenari — Puglia CODICE CANVA-FRIENDLY (scheda di generazione) Tipo di grafico: diagramma a barre orizzontali raggruppate per i tre scenari di copertura, ciascuna barra scomposta nelle tre componenti del risparmio (accessi al pronto soccorso; ricoveri medici evitabili; ricoveri e </w:t>
            </w:r>
            <w:proofErr w:type="spellStart"/>
            <w:r>
              <w:rPr>
                <w:b/>
                <w:bCs/>
                <w:color w:val="FFFFFF"/>
                <w:sz w:val="18"/>
                <w:szCs w:val="18"/>
              </w:rPr>
              <w:t>ri</w:t>
            </w:r>
            <w:proofErr w:type="spellEnd"/>
            <w:r>
              <w:rPr>
                <w:b/>
                <w:bCs/>
                <w:color w:val="FFFFFF"/>
                <w:sz w:val="18"/>
                <w:szCs w:val="18"/>
              </w:rPr>
              <w:t xml:space="preserve">-ricoveri psichiatrici), con etichetta del totale di canale. Lettura: tre gruppi di barre (Conservativo, Intermedio, Espansivo) la cui lunghezza complessiva corrisponde al risparmio totale del canale (9, 16 e 23 milioni); la scomposizione cromatica interna rende evidente il peso prevalente della componente dei ricoveri medici evitabili. Palette: componente pronto soccorso in blu medio #244272; componente ricoveri medici evitabili in blu </w:t>
            </w:r>
            <w:proofErr w:type="spellStart"/>
            <w:r>
              <w:rPr>
                <w:b/>
                <w:bCs/>
                <w:color w:val="FFFFFF"/>
                <w:sz w:val="18"/>
                <w:szCs w:val="18"/>
              </w:rPr>
              <w:t>navy</w:t>
            </w:r>
            <w:proofErr w:type="spellEnd"/>
            <w:r>
              <w:rPr>
                <w:b/>
                <w:bCs/>
                <w:color w:val="FFFFFF"/>
                <w:sz w:val="18"/>
                <w:szCs w:val="18"/>
              </w:rPr>
              <w:t xml:space="preserve"> #16264B; componente ricoveri psichiatrici in blu #2E5AA0; etichetta del totale di canale in oro #C49A48; griglia in grigio #D8D8D8.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etichette degli scenari </w:t>
            </w:r>
            <w:proofErr w:type="spellStart"/>
            <w:r>
              <w:rPr>
                <w:b/>
                <w:bCs/>
                <w:color w:val="FFFFFF"/>
                <w:sz w:val="18"/>
                <w:szCs w:val="18"/>
              </w:rPr>
              <w:t>Bold</w:t>
            </w:r>
            <w:proofErr w:type="spellEnd"/>
            <w:r>
              <w:rPr>
                <w:b/>
                <w:bCs/>
                <w:color w:val="FFFFFF"/>
                <w:sz w:val="18"/>
                <w:szCs w:val="18"/>
              </w:rPr>
              <w:t xml:space="preserve">, valori Medium, note Regular.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Valori da rappresentare: Conservativo — pronto soccorso ~3,0; ricoveri medici ~4,0; ricoveri psichiatrici ~2,0; totale ~9,0. Intermedio — ~4,0; ~8,0; ~4,0; totale ~16,0. Espansivo — ~5,0; ~12,0; ~6,0; totale ~23,0. Variante 3D (consigliata): barre a rilievo isometrico con le tre componenti impilate in profondità; il blocco dei ricoveri medici, prevalente, posto alla base di ciascun gruppo. Fonte (piè di figura): Elaborazione dello studio; dati regionali sugli accessi al pronto soccorso; indicatori sui ricoveri per condizioni sensibili alle cure ambulatoriali; graduazione GRADE dell’evidenza. La figura deve rendere evidente che la componente prevalente del risparmio del canale è la riduzione dei ricoveri medici evitabili, in ragione dell’elevato costo unitario della degenza, e che il canale è il più consistente dei quattro.</w:t>
            </w:r>
          </w:p>
          <w:p w14:paraId="7CFAE2A1" w14:textId="77777777" w:rsidR="007C4598" w:rsidRDefault="00000000">
            <w:pPr>
              <w:spacing w:before="120" w:after="60"/>
              <w:jc w:val="center"/>
            </w:pPr>
            <w:r>
              <w:rPr>
                <w:noProof/>
              </w:rPr>
              <w:drawing>
                <wp:inline distT="0" distB="0" distL="0" distR="0" wp14:anchorId="50C64092" wp14:editId="60A811A8">
                  <wp:extent cx="8229600" cy="4629150"/>
                  <wp:effectExtent l="0" t="0" r="0" b="0"/>
                  <wp:docPr id="134" name="Infografica34" descr="Il canale pronto soccorso e ricov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nfografica34"/>
                          <pic:cNvPicPr>
                            <a:picLocks noChangeAspect="1" noChangeArrowheads="1"/>
                          </pic:cNvPicPr>
                        </pic:nvPicPr>
                        <pic:blipFill>
                          <a:blip r:embed="rId57">
                            <a:extLst>
                              <a:ext uri="{96DAC541-7B7A-43D3-8B79-37D633B846F1}">
                                <asvg:svgBlip xmlns:asvg="http://schemas.microsoft.com/office/drawing/2016/SVG/main" r:embed="rId58"/>
                              </a:ext>
                            </a:extLst>
                          </a:blip>
                          <a:stretch>
                            <a:fillRect/>
                          </a:stretch>
                        </pic:blipFill>
                        <pic:spPr bwMode="auto">
                          <a:xfrm>
                            <a:off x="0" y="0"/>
                            <a:ext cx="8229600" cy="4629150"/>
                          </a:xfrm>
                          <a:prstGeom prst="rect">
                            <a:avLst/>
                          </a:prstGeom>
                          <a:noFill/>
                          <a:ln>
                            <a:noFill/>
                          </a:ln>
                        </pic:spPr>
                      </pic:pic>
                    </a:graphicData>
                  </a:graphic>
                </wp:inline>
              </w:drawing>
            </w:r>
          </w:p>
          <w:p w14:paraId="3FD54063" w14:textId="77777777" w:rsidR="007C4598" w:rsidRDefault="00000000">
            <w:pPr>
              <w:spacing w:before="40" w:after="200"/>
              <w:jc w:val="center"/>
            </w:pPr>
            <w:r>
              <w:rPr>
                <w:i/>
                <w:color w:val="2E5A8F"/>
                <w:sz w:val="16"/>
                <w:szCs w:val="16"/>
              </w:rPr>
              <w:t>Fig. 8.B — Il canale pronto soccorso e ricoveri. Elaborazione dello studio · Luigi De Michele · Giugno 2026.</w:t>
            </w:r>
          </w:p>
        </w:tc>
      </w:tr>
    </w:tbl>
    <w:p w14:paraId="5C8D9E68" w14:textId="77777777" w:rsidR="007C4598" w:rsidRDefault="007C4598"/>
    <w:p w14:paraId="4002E25C" w14:textId="77777777" w:rsidR="007C4598" w:rsidRDefault="00000000">
      <w:pPr>
        <w:pStyle w:val="Titolo2"/>
        <w:spacing w:before="200" w:after="100"/>
      </w:pPr>
      <w:r>
        <w:rPr>
          <w:sz w:val="22"/>
          <w:szCs w:val="22"/>
        </w:rPr>
        <w:t>8.2.5  La graduazione dell’evidenza, i confini della stima e l’agenda di verifica</w:t>
      </w:r>
    </w:p>
    <w:p w14:paraId="49B2B073" w14:textId="77777777" w:rsidR="007C4598" w:rsidRDefault="007C4598"/>
    <w:p w14:paraId="6727FB20" w14:textId="77777777" w:rsidR="007C4598" w:rsidRDefault="00000000">
      <w:pPr>
        <w:jc w:val="both"/>
      </w:pPr>
      <w:r>
        <w:t xml:space="preserve">La solidità della stima del secondo canale va dichiarata con la medesima franchezza adottata per il primo. L’anello clinico-organizzativo della catena causale — il fatto che un primo livello psicologico integrato nelle cure primarie riduca l’utilizzo dei servizi ad alta intensità — è sostenuto da evidenza di qualità da moderata ad alta, derivata dagli studi sui modelli di assistenza collaborativa e di cura per intensità crescente. L’anello comportamentale — il fatto che l’offerta territoriale effettivamente devii la domanda dal pronto soccorso e dal ricovero — è sostenuto da evidenza coerente ma di qualità da moderata a bassa, in ragione della dipendenza dell’effetto da fattori organizzativi e culturali. L’anello economico — il fatto che la minore acuzie si traduca in un risparmio statisticamente significativo sui costi ospedalieri — è sostenuto da evidenza di qualità bassa, in coerenza con il </w:t>
      </w:r>
      <w:proofErr w:type="spellStart"/>
      <w:r>
        <w:t>caveat</w:t>
      </w:r>
      <w:proofErr w:type="spellEnd"/>
      <w:r>
        <w:t xml:space="preserve"> invariante.</w:t>
      </w:r>
      <w:r>
        <w:rPr>
          <w:color w:val="555555"/>
          <w:sz w:val="16"/>
          <w:szCs w:val="16"/>
          <w:vertAlign w:val="superscript"/>
        </w:rPr>
        <w:t>[18]</w:t>
      </w:r>
      <w:r>
        <w:t xml:space="preserve"> La graduazione complessiva del canale è, dunque, bassa, e per questo il risparmio è espresso in bande prudenziali.</w:t>
      </w:r>
    </w:p>
    <w:p w14:paraId="03D9E22E" w14:textId="77777777" w:rsidR="007C4598" w:rsidRDefault="007C4598"/>
    <w:p w14:paraId="58C6B33C" w14:textId="77777777" w:rsidR="007C4598" w:rsidRDefault="00000000">
      <w:pPr>
        <w:jc w:val="both"/>
      </w:pPr>
      <w:r>
        <w:t>Da questa graduazione discendono i confini della stima. In primo luogo, il risparmio del canale è una grandezza fiscale diretta, e non viene sommato alle ricadute sociali che la minore acuzie genera — la maggiore continuità lavorativa del paziente non ricoverato, il minore carico sui familiari, la migliore qualità della vita — che la nona parte tratta separatamente.</w:t>
      </w:r>
      <w:r>
        <w:rPr>
          <w:color w:val="555555"/>
          <w:sz w:val="16"/>
          <w:szCs w:val="16"/>
          <w:vertAlign w:val="superscript"/>
        </w:rPr>
        <w:t>[19]</w:t>
      </w:r>
      <w:r>
        <w:t xml:space="preserve"> In secondo luogo, la quota del risparmio attribuibile alla leva digitale e all’Intelligenza Artificiale, attraverso la stratificazione del rischio e l’identificazione precoce dei pazienti a maggiore probabilità di accesso improprio o di </w:t>
      </w:r>
      <w:proofErr w:type="spellStart"/>
      <w:r>
        <w:t>ri</w:t>
      </w:r>
      <w:proofErr w:type="spellEnd"/>
      <w:r>
        <w:t>-ricovero, non è qui aggiunta al risparmio del canale, ma è isolata nella voce 8.5. In terzo luogo, la stima riguarda la sola componente a matrice psichica dell’</w:t>
      </w:r>
      <w:proofErr w:type="spellStart"/>
      <w:r>
        <w:t>inappropriatezza</w:t>
      </w:r>
      <w:proofErr w:type="spellEnd"/>
      <w:r>
        <w:t xml:space="preserve"> e dei ricoveri evitabili, e non l’</w:t>
      </w:r>
      <w:proofErr w:type="spellStart"/>
      <w:r>
        <w:t>inappropriatezza</w:t>
      </w:r>
      <w:proofErr w:type="spellEnd"/>
      <w:r>
        <w:t xml:space="preserve"> nel suo complesso, gran parte della quale risponde a bisogni che esulano dal mandato del primo livello psicologico: questa delimitazione è la condizione della difendibilità della cifra.</w:t>
      </w:r>
    </w:p>
    <w:p w14:paraId="59D6EB4C" w14:textId="77777777" w:rsidR="007C4598" w:rsidRDefault="007C4598"/>
    <w:p w14:paraId="250DAF08" w14:textId="77777777" w:rsidR="007C4598" w:rsidRDefault="00000000">
      <w:pPr>
        <w:jc w:val="both"/>
      </w:pPr>
      <w:r>
        <w:t>La verifica documentale del secondo canale segue un’agenda precisa. Essa richiede l’acquisizione dei dati regionali sugli accessi al pronto soccorso disaggregati per codice di priorità e per motivo dell’accesso, indispensabile per isolare la quota a matrice psichica entro l’</w:t>
      </w:r>
      <w:proofErr w:type="spellStart"/>
      <w:r>
        <w:t>inappropriatezza</w:t>
      </w:r>
      <w:proofErr w:type="spellEnd"/>
      <w:r>
        <w:t xml:space="preserve"> complessiva; dei dati sui ricoveri per condizioni sensibili alle cure ambulatoriali e sui </w:t>
      </w:r>
      <w:proofErr w:type="spellStart"/>
      <w:r>
        <w:t>ri</w:t>
      </w:r>
      <w:proofErr w:type="spellEnd"/>
      <w:r>
        <w:t>-ricoveri psichiatrici, necessari per dimensionare la componente prevenibile della degenza; e dei dati sui costi unitari medi dell’accesso e della giornata di degenza, necessari per tradurre la minore acuzie in minore spesa. L’acquisizione di questi dati, prevista nella fase di consolidamento, consentirà di restringere la banda del risparmio e di sostituire alle stime prudenziali misure ancorate alla realtà del sistema dell’emergenza e della degenza regionale. Stabiliti l’ordine di grandezza del secondo canale, i suoi meccanismi e i suoi confini, la rinegoziazione può ora muovere verso il terzo canale, il più distintivo del caso pugliese: la riduzione della mobilità sanitaria passiva.</w:t>
      </w:r>
    </w:p>
    <w:p w14:paraId="19009961" w14:textId="77777777" w:rsidR="007C4598" w:rsidRDefault="007C4598"/>
    <w:p w14:paraId="4708DF0D" w14:textId="77777777" w:rsidR="007C4598" w:rsidRDefault="00000000">
      <w:pPr>
        <w:pStyle w:val="Titolo1"/>
        <w:pageBreakBefore/>
      </w:pPr>
      <w:r>
        <w:rPr>
          <w:sz w:val="22"/>
          <w:szCs w:val="22"/>
        </w:rPr>
        <w:t>8.3  La riduzione della mobilità sanitaria passiva</w:t>
      </w:r>
    </w:p>
    <w:p w14:paraId="3A61D422" w14:textId="77777777" w:rsidR="007C4598" w:rsidRDefault="007C4598"/>
    <w:p w14:paraId="5613F118" w14:textId="77777777" w:rsidR="007C4598" w:rsidRDefault="00000000">
      <w:pPr>
        <w:jc w:val="both"/>
      </w:pPr>
      <w:r>
        <w:rPr>
          <w:i/>
          <w:iCs/>
        </w:rPr>
        <w:t xml:space="preserve">La terza voce sviluppa il canale più caratteristico del caso pugliese, quello che non comprime una spesa interna ma trattiene sul territorio una spesa che oggi defluisce verso altre regioni. La mobilità sanitaria passiva — il fenomeno per cui il cittadino pugliese si cura fuori regione, e la Regione ne sostiene il costo rimborsandolo alle amministrazioni che lo erogano — costituisce una delle voci più gravose del bilancio sanitario regionale, e una di quelle su cui il rafforzamento dell’offerta territoriale può incidere più direttamente. Una quota di questa mobilità è infatti generata non dalla necessità di prestazioni </w:t>
      </w:r>
      <w:proofErr w:type="spellStart"/>
      <w:r>
        <w:rPr>
          <w:i/>
          <w:iCs/>
        </w:rPr>
        <w:t>iperspecialistiche</w:t>
      </w:r>
      <w:proofErr w:type="spellEnd"/>
      <w:r>
        <w:rPr>
          <w:i/>
          <w:iCs/>
        </w:rPr>
        <w:t xml:space="preserve"> indisponibili in regione, ma dalla carenza o dalla frammentazione di un’offerta che un primo livello psicologico territoriale, integrato nella rete delle cure primarie e della salute mentale, contribuisce a colmare. Intercettare quella quota, e trattenerla sul territorio, riduce il deflusso e con esso il costo che la Regione ne sostiene. La voce ricostruisce il contesto della mobilità passiva pugliese, ne isola la componente intercettabile, ne traccia la catena causale, ne stima il risparmio per scenario e ne dichiara la graduazione e i confini.</w:t>
      </w:r>
    </w:p>
    <w:p w14:paraId="56151044" w14:textId="77777777" w:rsidR="007C4598" w:rsidRDefault="007C4598"/>
    <w:p w14:paraId="011DE5C9" w14:textId="77777777" w:rsidR="007C4598" w:rsidRDefault="00000000">
      <w:pPr>
        <w:pStyle w:val="Titolo2"/>
        <w:spacing w:before="200" w:after="100"/>
      </w:pPr>
      <w:r>
        <w:rPr>
          <w:sz w:val="22"/>
          <w:szCs w:val="22"/>
        </w:rPr>
        <w:t>8.3.1  Il contesto: la mobilità passiva pugliese e la sua componente psichica</w:t>
      </w:r>
    </w:p>
    <w:p w14:paraId="730504C4" w14:textId="77777777" w:rsidR="007C4598" w:rsidRDefault="007C4598"/>
    <w:p w14:paraId="2294CE9D" w14:textId="77777777" w:rsidR="007C4598" w:rsidRDefault="00000000">
      <w:pPr>
        <w:jc w:val="both"/>
      </w:pPr>
      <w:r>
        <w:t>La Puglia è strutturalmente una regione a mobilità sanitaria passiva, esposta cioè a un deflusso di pazienti e di risorse verso le regioni del Centro-Nord superiore al flusso che riceve in entrata. Il saldo della mobilità interregionale, ossia la differenza tra ciò che la Regione rimborsa per i propri cittadini curati altrove e ciò che incassa per i cittadini di altre regioni curati nei propri presìdi, è negativo e di entità rilevante: nell’esercizio di riferimento esso si colloca su un valore dell’ordine di duecentocinquanta milioni di euro, risultante da un flusso passivo in uscita di poco inferiore ai quattrocento milioni e da un flusso attivo in entrata dell’ordine di centoventi milioni.</w:t>
      </w:r>
      <w:r>
        <w:rPr>
          <w:color w:val="555555"/>
          <w:sz w:val="16"/>
          <w:szCs w:val="16"/>
          <w:vertAlign w:val="superscript"/>
        </w:rPr>
        <w:t>[20]</w:t>
      </w:r>
      <w:r>
        <w:t xml:space="preserve"> Questo saldo, che pesa direttamente sul bilancio sanitario regionale, misura una perdita netta di risorse che la riforma può contribuire a ridurre nella sua componente comprimibile, ossia in quella parte del deflusso che non risponde a un bisogno di prestazioni indisponibili in regione, ma a una carenza dell’offerta territoriale che la riforma rafforza.</w:t>
      </w:r>
    </w:p>
    <w:p w14:paraId="41C72232" w14:textId="77777777" w:rsidR="007C4598" w:rsidRDefault="007C4598"/>
    <w:p w14:paraId="0F77A4BE" w14:textId="77777777" w:rsidR="007C4598" w:rsidRDefault="00000000">
      <w:pPr>
        <w:jc w:val="both"/>
      </w:pPr>
      <w:r>
        <w:t xml:space="preserve">Entro il complesso della mobilità passiva, la componente direttamente o indirettamente riconducibile alla salute mentale e al disagio comune costituisce una frazione specifica, sulla quale, e sulla quale soltanto, la stima del canale si esercita. Questa componente assume tre forme. La prima è la mobilità per ricoveri psichiatrici e neuropsichiatrici, ossia il deflusso di pazienti che cercano fuori regione una risposta ospedaliera o residenziale al disturbo grave, in misura non irrilevante per la neuropsichiatria dell’età evolutiva. La seconda è la mobilità per la residenzialità e la </w:t>
      </w:r>
      <w:proofErr w:type="spellStart"/>
      <w:r>
        <w:t>semiresidenzialità</w:t>
      </w:r>
      <w:proofErr w:type="spellEnd"/>
      <w:r>
        <w:t xml:space="preserve"> psichiatrica, ossia il collocamento di pazienti in strutture extra-regionali per la presa in carico di lungo periodo, voce particolarmente onerosa per il suo costo unitario elevato e protratto. La terza è la mobilità per prestazioni specialistiche e ambulatoriali correlate al disagio, ossia il deflusso di una domanda diagnostica e di consulto che un’offerta territoriale capillare tratterebbe in regione. È la somma di queste tre forme, e non la mobilità complessiva, che costituisce la grandezza di ancoraggio del canale.</w:t>
      </w:r>
    </w:p>
    <w:p w14:paraId="7BF7D8EC" w14:textId="77777777" w:rsidR="007C4598" w:rsidRDefault="007C4598"/>
    <w:p w14:paraId="6E49D602" w14:textId="77777777" w:rsidR="007C4598" w:rsidRDefault="00000000">
      <w:pPr>
        <w:jc w:val="both"/>
      </w:pPr>
      <w:r>
        <w:t xml:space="preserve">La connessione tra questa componente della mobilità e il primo livello psicologico è, in apparenza, meno immediata di quella dei canali precedenti, ma è non meno reale. Lo Psicologo di Base non eroga, di norma, le prestazioni </w:t>
      </w:r>
      <w:proofErr w:type="spellStart"/>
      <w:r>
        <w:t>iperspecialistiche</w:t>
      </w:r>
      <w:proofErr w:type="spellEnd"/>
      <w:r>
        <w:t xml:space="preserve"> per cui una parte della mobilità è generata; ma agisce a monte, sul flusso che alimenta una porzione di quel deflusso, in tre modi. Intercetta e tratta il disagio comune prima che esso si aggravi al punto di richiedere la risposta residenziale o ospedaliera che oggi si cerca fuori regione, riducendo così la domanda di quelle prestazioni. Rafforza la rete territoriale della salute mentale, rendendo l’offerta regionale più capillare e più tempestiva, e con ciò più capace di trattenere la domanda che la frammentazione oggi spinge altrove. Contribuisce, infine, alla continuità della presa in carico, riducendo i percorsi discontinui che inducono il paziente e la famiglia a cercare altrove la risposta che il territorio non ha saputo garantire. È attraverso questi tre meccanismi, e non attraverso l’erogazione diretta delle prestazioni </w:t>
      </w:r>
      <w:proofErr w:type="spellStart"/>
      <w:r>
        <w:t>iperspecialistiche</w:t>
      </w:r>
      <w:proofErr w:type="spellEnd"/>
      <w:r>
        <w:t>, che la riforma incide sulla mobilità passiva.</w:t>
      </w:r>
      <w:r>
        <w:rPr>
          <w:color w:val="555555"/>
          <w:sz w:val="16"/>
          <w:szCs w:val="16"/>
          <w:vertAlign w:val="superscript"/>
        </w:rPr>
        <w:t>[21]</w:t>
      </w:r>
    </w:p>
    <w:p w14:paraId="21A409BB" w14:textId="77777777" w:rsidR="007C4598" w:rsidRDefault="007C4598"/>
    <w:p w14:paraId="2D162047" w14:textId="77777777" w:rsidR="007C4598" w:rsidRDefault="00000000">
      <w:pPr>
        <w:pStyle w:val="Titolo2"/>
        <w:spacing w:before="200" w:after="100"/>
      </w:pPr>
      <w:r>
        <w:rPr>
          <w:sz w:val="22"/>
          <w:szCs w:val="22"/>
        </w:rPr>
        <w:t>8.3.2  I meccanismi: dall’offerta territoriale alla ritenzione della domanda</w:t>
      </w:r>
    </w:p>
    <w:p w14:paraId="44E1195C" w14:textId="77777777" w:rsidR="007C4598" w:rsidRDefault="007C4598"/>
    <w:p w14:paraId="0A96C8E6" w14:textId="77777777" w:rsidR="007C4598" w:rsidRDefault="00000000">
      <w:pPr>
        <w:jc w:val="both"/>
      </w:pPr>
      <w:r>
        <w:t>Il canale della mobilità passiva opera attraverso tre meccanismi, accomunati dal fatto di agire sulla ritenzione territoriale della domanda anziché sulla compressione di una spesa interna. Il primo meccanismo è la riduzione della domanda di prestazioni ad alta intensità attraverso l’intercettazione precoce. Una parte della domanda che oggi defluisce verso la residenzialità e il ricovero extra-regionale nasce dall’aggravamento di disturbi che una presa in carico territoriale tempestiva avrebbe mantenuto a un livello di intensità inferiore, gestibile in regime ambulatoriale e in regione. Agendo sulla prevenzione secondaria, il primo livello psicologico riduce la quota di domanda che raggiunge il livello di intensità per cui oggi si cerca la risposta fuori regione, e con essa il deflusso che ne consegue.</w:t>
      </w:r>
    </w:p>
    <w:p w14:paraId="55A5D74D" w14:textId="77777777" w:rsidR="007C4598" w:rsidRDefault="007C4598"/>
    <w:p w14:paraId="56418435" w14:textId="77777777" w:rsidR="007C4598" w:rsidRDefault="00000000">
      <w:pPr>
        <w:jc w:val="both"/>
      </w:pPr>
      <w:r>
        <w:t>Il secondo meccanismo è la ritenzione della domanda attraverso il rafforzamento e la capillarità dell’offerta territoriale. Una parte del deflusso non nasce dall’indisponibilità della prestazione in regione, ma dalla difficoltà di accedervi: liste d’attesa, distanza, frammentazione dei percorsi, che inducono il paziente a cercare altrove una risposta che la regione potrebbe in linea di principio fornire. L’inserimento dello Psicologo di Base nella rete delle cure primarie, in raccordo con i Centri di Salute Mentale e con i servizi specialistici, accresce la capillarità e la tempestività dell’offerta regionale, e con ciò la sua capacità di trattenere la domanda che la frammentazione oggi spinge fuori. Il meccanismo agisce, in questo caso, non riducendo il bisogno, ma migliorando la capacità del sistema regionale di soddisfarlo internamente. Il terzo meccanismo è la continuità della presa in carico, che riduce i percorsi discontinui e i passaggi non governati tra i livelli, i quali costituiscono una delle cause per cui il paziente e la famiglia, perduta la fiducia nella continuità dell’offerta regionale, si rivolgono a strutture extra-regionali. I tre meccanismi convergono verso il medesimo esito fiscale — la riduzione del saldo passivo della mobilità — e condividono il presupposto della maggiore capacità di ritenzione del sistema regionale; e per questo possono essere trattati come componenti di un unico canale.</w:t>
      </w:r>
    </w:p>
    <w:p w14:paraId="2A79B9ED" w14:textId="77777777" w:rsidR="007C4598" w:rsidRDefault="007C4598"/>
    <w:p w14:paraId="1ADE7651" w14:textId="77777777" w:rsidR="007C4598" w:rsidRDefault="00000000">
      <w:pPr>
        <w:pStyle w:val="Titolo2"/>
        <w:spacing w:before="200" w:after="100"/>
      </w:pPr>
      <w:r>
        <w:rPr>
          <w:sz w:val="22"/>
          <w:szCs w:val="22"/>
        </w:rPr>
        <w:t>8.3.3  La catena causale: dalla ritenzione territoriale al minore saldo passivo</w:t>
      </w:r>
    </w:p>
    <w:p w14:paraId="636DC443" w14:textId="77777777" w:rsidR="007C4598" w:rsidRDefault="007C4598"/>
    <w:p w14:paraId="050F1915" w14:textId="77777777" w:rsidR="007C4598" w:rsidRDefault="00000000">
      <w:pPr>
        <w:jc w:val="both"/>
      </w:pPr>
      <w:r>
        <w:t>La formazione del risparmio del terzo canale segue una catena causale che condivide con le precedenti la struttura ad anelli e la regola della solidità pari a quella dell’anello più debole, ma che presenta una specificità: il suo anello economico è, paradossalmente, più diretto di quello degli altri canali, mentre il suo anello comportamentale è più incerto. Il primo anello è clinico-organizzativo: il rafforzamento dell’offerta territoriale, attraverso l’intercettazione precoce e la capillarità del primo livello psicologico, riduce la domanda di prestazioni ad alta intensità e accresce la capacità di ritenzione del sistema regionale. Questo anello è sostenuto dall’evidenza sull’efficacia dei modelli territoriali nel ridurre il ricorso ai livelli ad alta intensità, di qualità da moderata ad alta.</w:t>
      </w:r>
    </w:p>
    <w:p w14:paraId="2F41ECD5" w14:textId="77777777" w:rsidR="007C4598" w:rsidRDefault="007C4598"/>
    <w:p w14:paraId="0F2775AF" w14:textId="77777777" w:rsidR="007C4598" w:rsidRDefault="00000000">
      <w:pPr>
        <w:jc w:val="both"/>
      </w:pPr>
      <w:r>
        <w:t xml:space="preserve">Il secondo anello è comportamentale, ed è il più incerto della catena: la riduzione della domanda e la maggiore capillarità dell’offerta si traducono effettivamente in minore deflusso soltanto nella misura in cui la decisione del paziente e della famiglia di curarsi fuori regione è determinata da fattori che la riforma modifica, e non da fattori — la reputazione di centri specialistici, le reti familiari extra-regionali, la natura genuinamente </w:t>
      </w:r>
      <w:proofErr w:type="spellStart"/>
      <w:r>
        <w:t>iperspecialistica</w:t>
      </w:r>
      <w:proofErr w:type="spellEnd"/>
      <w:r>
        <w:t xml:space="preserve"> della prestazione — che la riforma non tocca. La quota del deflusso effettivamente recuperabile è, di conseguenza, una frazione di quella riconducibile alla salute mentale, e la sua stima richiede la massima prudenza.</w:t>
      </w:r>
      <w:r>
        <w:rPr>
          <w:color w:val="555555"/>
          <w:sz w:val="16"/>
          <w:szCs w:val="16"/>
          <w:vertAlign w:val="superscript"/>
        </w:rPr>
        <w:t>[22]</w:t>
      </w:r>
      <w:r>
        <w:t xml:space="preserve"> Il terzo anello è economico, ed è qui relativamente diretto: ogni prestazione trattenuta in regione anziché acquistata fuori si traduce immediatamente in un minore rimborso interregionale a carico del bilancio sanitario regionale, senza il margine di incertezza sulla traduzione del minore consumo in minore spesa che grava sugli altri canali. La graduazione complessiva del canale è dunque determinata non dall’anello economico, come negli altri casi, ma dall’anello comportamentale, ed è per questo media: l’effetto, una volta che si produca, è fiscalmente certo, ma la misura in cui si produce è incerta.</w:t>
      </w:r>
    </w:p>
    <w:p w14:paraId="77DA66EE" w14:textId="77777777" w:rsidR="007C4598" w:rsidRDefault="007C4598"/>
    <w:p w14:paraId="10ABA6AF" w14:textId="77777777" w:rsidR="007C4598" w:rsidRDefault="00000000">
      <w:pPr>
        <w:pStyle w:val="Titolo2"/>
        <w:spacing w:before="200" w:after="100"/>
      </w:pPr>
      <w:r>
        <w:rPr>
          <w:sz w:val="22"/>
          <w:szCs w:val="22"/>
        </w:rPr>
        <w:t>8.3.4  La quantificazione del canale: componenti e scenari</w:t>
      </w:r>
    </w:p>
    <w:p w14:paraId="2426428B" w14:textId="77777777" w:rsidR="007C4598" w:rsidRDefault="007C4598"/>
    <w:p w14:paraId="6AD3A676" w14:textId="77777777" w:rsidR="007C4598" w:rsidRDefault="00000000">
      <w:pPr>
        <w:jc w:val="both"/>
      </w:pPr>
      <w:r>
        <w:t>La quantificazione del terzo canale procede secondo il metodo consueto, applicato alla grandezza di ancoraggio costituita dalla componente psichica del saldo passivo della mobilità. La tabella che segue ricostruisce, sui dati pubblici disponibili, il saldo complessivo e la sua articolazione, isolando le tre forme della componente intercettabile su cui il canale opera.</w:t>
      </w:r>
    </w:p>
    <w:p w14:paraId="54A5E025"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64B1BC29"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A94DF34" w14:textId="77777777" w:rsidR="007C4598" w:rsidRDefault="00000000">
            <w:pPr>
              <w:spacing w:after="40"/>
            </w:pPr>
            <w:r>
              <w:rPr>
                <w:b/>
                <w:bCs/>
                <w:color w:val="FFFFFF"/>
                <w:sz w:val="18"/>
                <w:szCs w:val="18"/>
              </w:rPr>
              <w:t>Aggregato di ancoraggio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C43C015" w14:textId="77777777" w:rsidR="007C4598" w:rsidRDefault="00000000">
            <w:pPr>
              <w:spacing w:after="40"/>
            </w:pPr>
            <w:r>
              <w:rPr>
                <w:b/>
                <w:bCs/>
                <w:color w:val="FFFFFF"/>
                <w:sz w:val="18"/>
                <w:szCs w:val="18"/>
              </w:rPr>
              <w:t>Grandezza in Puglia</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E2CB894" w14:textId="77777777" w:rsidR="007C4598" w:rsidRDefault="00000000">
            <w:pPr>
              <w:spacing w:after="40"/>
            </w:pPr>
            <w:r>
              <w:rPr>
                <w:b/>
                <w:bCs/>
                <w:color w:val="FFFFFF"/>
                <w:sz w:val="18"/>
                <w:szCs w:val="18"/>
              </w:rPr>
              <w:t>Componente intercettabile dal primo livello psicologico</w:t>
            </w:r>
          </w:p>
        </w:tc>
      </w:tr>
      <w:tr w:rsidR="007C4598" w14:paraId="70354BB4"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18C6C28" w14:textId="77777777" w:rsidR="007C4598" w:rsidRDefault="00000000">
            <w:pPr>
              <w:spacing w:after="40"/>
            </w:pPr>
            <w:r>
              <w:t>Saldo passivo della mobilità interregionale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31DE64A" w14:textId="77777777" w:rsidR="007C4598" w:rsidRDefault="00000000">
            <w:pPr>
              <w:spacing w:after="40"/>
            </w:pPr>
            <w:r>
              <w:t>~ -250 mln/anno (uscita ~377; entrata ~123)</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D1881B8" w14:textId="77777777" w:rsidR="007C4598" w:rsidRDefault="00000000">
            <w:pPr>
              <w:spacing w:after="40"/>
            </w:pPr>
            <w:r>
              <w:t xml:space="preserve">la sola componente a matrice psichica, distinta dalla mobilità </w:t>
            </w:r>
            <w:proofErr w:type="spellStart"/>
            <w:r>
              <w:t>iperspecialistica</w:t>
            </w:r>
            <w:proofErr w:type="spellEnd"/>
          </w:p>
        </w:tc>
      </w:tr>
      <w:tr w:rsidR="007C4598" w14:paraId="4318006C"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7A62CC1" w14:textId="77777777" w:rsidR="007C4598" w:rsidRDefault="00000000">
            <w:pPr>
              <w:spacing w:after="40"/>
            </w:pPr>
            <w:r>
              <w:t>Mobilità per ricoveri psichiatrici e neuropsichiatrici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D0FC566" w14:textId="77777777" w:rsidR="007C4598" w:rsidRDefault="00000000">
            <w:pPr>
              <w:spacing w:after="40"/>
            </w:pPr>
            <w:r>
              <w:t>deflusso ospedaliero del disturbo grave e dell’età evolutiva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114B95C" w14:textId="77777777" w:rsidR="007C4598" w:rsidRDefault="00000000">
            <w:pPr>
              <w:spacing w:after="40"/>
            </w:pPr>
            <w:r>
              <w:t>la quota prevenibile dall’intercettazione precoce e dalla ritenzione territoriale</w:t>
            </w:r>
          </w:p>
        </w:tc>
      </w:tr>
      <w:tr w:rsidR="007C4598" w14:paraId="54BE1061"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AD50EC6" w14:textId="77777777" w:rsidR="007C4598" w:rsidRDefault="00000000">
            <w:pPr>
              <w:spacing w:after="40"/>
            </w:pPr>
            <w:r>
              <w:t xml:space="preserve">Mobilità per residenzialità e </w:t>
            </w:r>
            <w:proofErr w:type="spellStart"/>
            <w:r>
              <w:t>semiresidenzialità</w:t>
            </w:r>
            <w:proofErr w:type="spellEnd"/>
            <w:r>
              <w:t xml:space="preserve"> psichiatrica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AA465BF" w14:textId="77777777" w:rsidR="007C4598" w:rsidRDefault="00000000">
            <w:pPr>
              <w:spacing w:after="40"/>
            </w:pPr>
            <w:r>
              <w:t>collocamenti extra-regionali di lungo periodo, ad alto costo unitario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FE0237B" w14:textId="77777777" w:rsidR="007C4598" w:rsidRDefault="00000000">
            <w:pPr>
              <w:spacing w:after="40"/>
            </w:pPr>
            <w:r>
              <w:t>la quota evitabile dal rafforzamento dell’offerta territoriale</w:t>
            </w:r>
          </w:p>
        </w:tc>
      </w:tr>
      <w:tr w:rsidR="007C4598" w14:paraId="585E1F1E"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A874C41" w14:textId="77777777" w:rsidR="007C4598" w:rsidRDefault="00000000">
            <w:pPr>
              <w:spacing w:after="40"/>
            </w:pPr>
            <w:r>
              <w:t>Mobilità per specialistica e ambulatoriale correlata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3852C7C" w14:textId="77777777" w:rsidR="007C4598" w:rsidRDefault="00000000">
            <w:pPr>
              <w:spacing w:after="40"/>
            </w:pPr>
            <w:r>
              <w:t>deflusso della domanda diagnostica e di consulto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70866D7" w14:textId="77777777" w:rsidR="007C4598" w:rsidRDefault="00000000">
            <w:pPr>
              <w:spacing w:after="40"/>
            </w:pPr>
            <w:r>
              <w:t>la quota trattenibile dalla capillarità dell’offerta regionale</w:t>
            </w:r>
          </w:p>
        </w:tc>
      </w:tr>
    </w:tbl>
    <w:p w14:paraId="2DDCBA03" w14:textId="77777777" w:rsidR="007C4598" w:rsidRDefault="007C4598"/>
    <w:p w14:paraId="07D8BF17" w14:textId="77777777" w:rsidR="007C4598" w:rsidRDefault="00000000">
      <w:pPr>
        <w:jc w:val="both"/>
      </w:pPr>
      <w:r>
        <w:rPr>
          <w:i/>
          <w:iCs/>
        </w:rPr>
        <w:t xml:space="preserve">Tabella 8.5 — Gli aggregati di ancoraggio del terzo canale e la componente intercettabile. I dati del saldo di mobilità sono tratti dalle fonti pubbliche regionali e nazionali e saranno sostituiti dai dati certificati; la componente intercettabile riguarda la sola quota a matrice psichica del deflusso, distinta dalla mobilità per prestazioni genuinamente </w:t>
      </w:r>
      <w:proofErr w:type="spellStart"/>
      <w:r>
        <w:rPr>
          <w:i/>
          <w:iCs/>
        </w:rPr>
        <w:t>iperspecialistiche</w:t>
      </w:r>
      <w:proofErr w:type="spellEnd"/>
      <w:r>
        <w:rPr>
          <w:i/>
          <w:iCs/>
        </w:rPr>
        <w:t>.</w:t>
      </w:r>
    </w:p>
    <w:p w14:paraId="21277919" w14:textId="77777777" w:rsidR="007C4598" w:rsidRDefault="007C4598"/>
    <w:p w14:paraId="025D8037" w14:textId="77777777" w:rsidR="007C4598" w:rsidRDefault="00000000">
      <w:pPr>
        <w:jc w:val="both"/>
      </w:pPr>
      <w:r>
        <w:t xml:space="preserve">Sulla base di questo quadro, la stima del risparmio del terzo canale è articolata nelle tre componenti corrispondenti alle tre forme della mobilità psichica, e per ciascuno dei tre scenari di copertura. La componente dei ricoveri psichiatrici e neuropsichiatrici recuperati costituisce, per il costo unitario del ricovero e per la rilevanza del deflusso nell’età evolutiva, la quota maggiore del risparmio del canale. La componente della residenzialità e </w:t>
      </w:r>
      <w:proofErr w:type="spellStart"/>
      <w:r>
        <w:t>semiresidenzialità</w:t>
      </w:r>
      <w:proofErr w:type="spellEnd"/>
      <w:r>
        <w:t>, pur riguardando un numero minore di casi, incide in misura significativa per l’elevatezza e la protrazione del costo unitario del collocamento extra-regionale. La componente della specialistica e dell’ambulatoriale correlata è stimata su un margine più contenuto, coerente con il minore costo unitario e con la maggiore incertezza sulla quota effettivamente trattenibile.</w:t>
      </w:r>
    </w:p>
    <w:p w14:paraId="580C6012"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2E907647"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DCE852E" w14:textId="77777777" w:rsidR="007C4598" w:rsidRDefault="00000000">
            <w:pPr>
              <w:spacing w:after="40"/>
            </w:pPr>
            <w:r>
              <w:rPr>
                <w:b/>
                <w:bCs/>
                <w:color w:val="FFFFFF"/>
                <w:sz w:val="18"/>
                <w:szCs w:val="18"/>
              </w:rPr>
              <w:t>Componente del risparmio (mln €/anno)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6D8231C" w14:textId="77777777" w:rsidR="007C4598" w:rsidRDefault="00000000">
            <w:pPr>
              <w:spacing w:after="40"/>
            </w:pPr>
            <w:r>
              <w:rPr>
                <w:b/>
                <w:bCs/>
                <w:color w:val="FFFFFF"/>
                <w:sz w:val="18"/>
                <w:szCs w:val="18"/>
              </w:rPr>
              <w:t>Conservativo (~450)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CC7A424" w14:textId="77777777" w:rsidR="007C4598" w:rsidRDefault="00000000">
            <w:pPr>
              <w:spacing w:after="40"/>
            </w:pPr>
            <w:r>
              <w:rPr>
                <w:b/>
                <w:bCs/>
                <w:color w:val="FFFFFF"/>
                <w:sz w:val="18"/>
                <w:szCs w:val="18"/>
              </w:rPr>
              <w:t>Intermedio (~700)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1F0D10C" w14:textId="77777777" w:rsidR="007C4598" w:rsidRDefault="00000000">
            <w:pPr>
              <w:spacing w:after="40"/>
            </w:pPr>
            <w:r>
              <w:rPr>
                <w:b/>
                <w:bCs/>
                <w:color w:val="FFFFFF"/>
                <w:sz w:val="18"/>
                <w:szCs w:val="18"/>
              </w:rPr>
              <w:t>Espansivo (~900)</w:t>
            </w:r>
          </w:p>
        </w:tc>
      </w:tr>
      <w:tr w:rsidR="007C4598" w14:paraId="690D3739"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7164F1E" w14:textId="77777777" w:rsidR="007C4598" w:rsidRDefault="00000000">
            <w:pPr>
              <w:spacing w:after="40"/>
            </w:pPr>
            <w:r>
              <w:t>Ricoveri psichiatrici e neuropsichiatrici recuperati in regione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DE61D1F" w14:textId="77777777" w:rsidR="007C4598" w:rsidRDefault="00000000">
            <w:pPr>
              <w:spacing w:after="40"/>
            </w:pPr>
            <w:r>
              <w:t>~2,5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FF80567" w14:textId="77777777" w:rsidR="007C4598" w:rsidRDefault="00000000">
            <w:pPr>
              <w:spacing w:after="40"/>
            </w:pPr>
            <w:r>
              <w:t>~4,0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8F423C7" w14:textId="77777777" w:rsidR="007C4598" w:rsidRDefault="00000000">
            <w:pPr>
              <w:spacing w:after="40"/>
            </w:pPr>
            <w:r>
              <w:t>~6,0</w:t>
            </w:r>
          </w:p>
        </w:tc>
      </w:tr>
      <w:tr w:rsidR="007C4598" w14:paraId="3C948C4F"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B0C6CCF" w14:textId="77777777" w:rsidR="007C4598" w:rsidRDefault="00000000">
            <w:pPr>
              <w:spacing w:after="40"/>
            </w:pPr>
            <w:r>
              <w:t xml:space="preserve">Residenzialità e </w:t>
            </w:r>
            <w:proofErr w:type="spellStart"/>
            <w:r>
              <w:t>semiresidenzialità</w:t>
            </w:r>
            <w:proofErr w:type="spellEnd"/>
            <w:r>
              <w:t xml:space="preserve"> psichiatrica trattenuta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6B718A3" w14:textId="77777777" w:rsidR="007C4598" w:rsidRDefault="00000000">
            <w:pPr>
              <w:spacing w:after="40"/>
            </w:pPr>
            <w:r>
              <w:t>~1,5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9392472" w14:textId="77777777" w:rsidR="007C4598" w:rsidRDefault="00000000">
            <w:pPr>
              <w:spacing w:after="40"/>
            </w:pPr>
            <w:r>
              <w:t>~2,5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037ED39" w14:textId="77777777" w:rsidR="007C4598" w:rsidRDefault="00000000">
            <w:pPr>
              <w:spacing w:after="40"/>
            </w:pPr>
            <w:r>
              <w:t>~3,5</w:t>
            </w:r>
          </w:p>
        </w:tc>
      </w:tr>
      <w:tr w:rsidR="007C4598" w14:paraId="16E07C30"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9D77C0E" w14:textId="77777777" w:rsidR="007C4598" w:rsidRDefault="00000000">
            <w:pPr>
              <w:spacing w:after="40"/>
            </w:pPr>
            <w:r>
              <w:t>Specialistica e ambulatoriale correlata trattenuta in regione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ABEF842" w14:textId="77777777" w:rsidR="007C4598" w:rsidRDefault="00000000">
            <w:pPr>
              <w:spacing w:after="40"/>
            </w:pPr>
            <w:r>
              <w:t>~1,0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B46C748" w14:textId="77777777" w:rsidR="007C4598" w:rsidRDefault="00000000">
            <w:pPr>
              <w:spacing w:after="40"/>
            </w:pPr>
            <w:r>
              <w:t>~1,5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557DDB1" w14:textId="77777777" w:rsidR="007C4598" w:rsidRDefault="00000000">
            <w:pPr>
              <w:spacing w:after="40"/>
            </w:pPr>
            <w:r>
              <w:t>~2,5</w:t>
            </w:r>
          </w:p>
        </w:tc>
      </w:tr>
      <w:tr w:rsidR="007C4598" w14:paraId="725A2B77"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D08E959" w14:textId="77777777" w:rsidR="007C4598" w:rsidRDefault="00000000">
            <w:pPr>
              <w:spacing w:after="40"/>
            </w:pPr>
            <w:r>
              <w:t>Risparmio diretto del canale mobilità passiva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9ECBFBF" w14:textId="77777777" w:rsidR="007C4598" w:rsidRDefault="00000000">
            <w:pPr>
              <w:spacing w:after="40"/>
            </w:pPr>
            <w:r>
              <w:t>~5,0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A84AFA5" w14:textId="77777777" w:rsidR="007C4598" w:rsidRDefault="00000000">
            <w:pPr>
              <w:spacing w:after="40"/>
            </w:pPr>
            <w:r>
              <w:t>~8,0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F531BB1" w14:textId="77777777" w:rsidR="007C4598" w:rsidRDefault="00000000">
            <w:pPr>
              <w:spacing w:after="40"/>
            </w:pPr>
            <w:r>
              <w:t>~12,0</w:t>
            </w:r>
          </w:p>
        </w:tc>
      </w:tr>
    </w:tbl>
    <w:p w14:paraId="08427017" w14:textId="77777777" w:rsidR="007C4598" w:rsidRDefault="007C4598"/>
    <w:p w14:paraId="77D2DF92" w14:textId="77777777" w:rsidR="007C4598" w:rsidRDefault="00000000">
      <w:pPr>
        <w:jc w:val="both"/>
      </w:pPr>
      <w:r>
        <w:rPr>
          <w:i/>
          <w:iCs/>
        </w:rPr>
        <w:t>Tabella 8.6 — Stima prudenziale del risparmio del canale della mobilità passiva per scenario. Le cifre sono bande prudenziali arrotondate, coerenti con il canale della mobilità recuperata della valutazione economica del telaio (5-12 milioni) e con l’aggregato per scenario ricomposto nella voce 8.6. L’ultima riga è la somma delle tre componenti.</w:t>
      </w:r>
    </w:p>
    <w:p w14:paraId="6FD7CD3C" w14:textId="77777777" w:rsidR="007C4598" w:rsidRDefault="007C4598"/>
    <w:p w14:paraId="44E977E6" w14:textId="77777777" w:rsidR="007C4598" w:rsidRDefault="00000000">
      <w:pPr>
        <w:jc w:val="both"/>
      </w:pPr>
      <w:r>
        <w:t xml:space="preserve">Il risparmio diretto del terzo canale è dunque stimato in un ordine di grandezza compreso tra circa 5 milioni di euro l’anno nello scenario conservativo e circa 12 milioni nello scenario espansivo, con un valore intermedio dell’ordine di 8 milioni. La cifra rappresenta una frazione contenuta del saldo passivo complessivo, coerente con la natura del margine: non l’azzeramento della mobilità, gran parte della quale risponde a bisogni </w:t>
      </w:r>
      <w:proofErr w:type="spellStart"/>
      <w:r>
        <w:t>iperspecialistici</w:t>
      </w:r>
      <w:proofErr w:type="spellEnd"/>
      <w:r>
        <w:t xml:space="preserve"> che la riforma non tocca, ma la ritenzione della sola quota a matrice psichica effettivamente intercettabile a monte e trattenibile attraverso una più capillare offerta territoriale. La modestia relativa della cifra rispetto al saldo complessivo è, anche in questo caso, la sua onestà: un recupero di pochi milioni, fondato sulla compressione della sola componente comprimibile del deflusso, è più credibile di un’ambiziosa ipotesi di riduzione generalizzata della mobilità che la natura </w:t>
      </w:r>
      <w:proofErr w:type="spellStart"/>
      <w:r>
        <w:t>iperspecialistica</w:t>
      </w:r>
      <w:proofErr w:type="spellEnd"/>
      <w:r>
        <w:t xml:space="preserve"> di gran parte di essa non autorizza.</w:t>
      </w:r>
    </w:p>
    <w:p w14:paraId="4BA98B32" w14:textId="77777777" w:rsidR="007C4598" w:rsidRDefault="007C4598"/>
    <w:p w14:paraId="424DD26F" w14:textId="77777777" w:rsidR="007C4598" w:rsidRDefault="00000000">
      <w:pPr>
        <w:jc w:val="both"/>
      </w:pPr>
      <w:r>
        <w:t>La stima incorpora, come per gli altri canali, la progressione non lineare propria degli scenari, ma con una specificità. La capacità di ritenzione del sistema regionale non cresce semplicemente in proporzione al numero degli incarichi, ma in funzione della soglia di capillarità oltre la quale l’offerta territoriale diviene percepita come affidabile e continua, e quindi capace di trattenere la domanda. Al di sotto di quella soglia, l’incremento della copertura produce un recupero modesto; in prossimità e al di sopra di essa, il recupero accelera, perché alla maggiore offerta si aggiunge l’effetto di fiducia che induce il paziente a non cercare altrove. Questa struttura a soglia, che la modellazione dell’undicesima parte rappresenta, spiega perché il recupero dello scenario espansivo sia più che proporzionale rispetto a quello conservativo, e perché la piena valorizzazione del canale richieda il raggiungimento di una copertura sufficiente a rendere l’offerta regionale credibile come alternativa al deflusso.</w:t>
      </w:r>
    </w:p>
    <w:p w14:paraId="3E8EBAED"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0CA0CBA4"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4A5DE55" w14:textId="77777777" w:rsidR="007C4598" w:rsidRDefault="00000000">
            <w:pPr>
              <w:spacing w:after="40"/>
            </w:pPr>
            <w:r>
              <w:rPr>
                <w:b/>
                <w:bCs/>
                <w:color w:val="FFFFFF"/>
                <w:sz w:val="18"/>
                <w:szCs w:val="18"/>
              </w:rPr>
              <w:t xml:space="preserve">◆ SEGNAPOSTO INFOGRAFICA — FIG. 8.C · DA INSERIRE A POSTERIORI Titolo previsto: Il canale della mobilità passiva: saldo, componente intercettabile e recupero per scenario — Puglia CODICE CANVA-FRIENDLY (scheda di generazione) Tipo di grafico: figura composita a due pannelli affiancati. Pannello sinistro: barra impilata che rappresenta il saldo passivo complessivo, con evidenziazione della sola componente a matrice psichica intercettabile. Pannello destro: diagramma a barre raggruppate per i tre scenari, scomposto nelle tre componenti del recupero (ricoveri; residenzialità; specialistica), con etichetta del totale di canale. Lettura: il pannello sinistro colloca il recupero nella sua corretta proporzione rispetto al saldo complessivo, mostrando che il canale agisce sulla sola quota psichica e non sull’intera mobilità; il pannello destro mostra la crescita del recupero da 5 a 12 milioni tra lo scenario conservativo e quello espansivo, con prevalenza della componente dei ricoveri recuperati. Palette: saldo complessivo e componente non intercettabile in grigio #D8D8D8; componente psichica intercettabile e componente ricoveri in blu </w:t>
            </w:r>
            <w:proofErr w:type="spellStart"/>
            <w:r>
              <w:rPr>
                <w:b/>
                <w:bCs/>
                <w:color w:val="FFFFFF"/>
                <w:sz w:val="18"/>
                <w:szCs w:val="18"/>
              </w:rPr>
              <w:t>navy</w:t>
            </w:r>
            <w:proofErr w:type="spellEnd"/>
            <w:r>
              <w:rPr>
                <w:b/>
                <w:bCs/>
                <w:color w:val="FFFFFF"/>
                <w:sz w:val="18"/>
                <w:szCs w:val="18"/>
              </w:rPr>
              <w:t xml:space="preserve"> #16264B; componente residenzialità in blu medio #244272; componente specialistica in blu #2E5AA0; totale di canale in oro #C49A48.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etichette </w:t>
            </w:r>
            <w:proofErr w:type="spellStart"/>
            <w:r>
              <w:rPr>
                <w:b/>
                <w:bCs/>
                <w:color w:val="FFFFFF"/>
                <w:sz w:val="18"/>
                <w:szCs w:val="18"/>
              </w:rPr>
              <w:t>Bold</w:t>
            </w:r>
            <w:proofErr w:type="spellEnd"/>
            <w:r>
              <w:rPr>
                <w:b/>
                <w:bCs/>
                <w:color w:val="FFFFFF"/>
                <w:sz w:val="18"/>
                <w:szCs w:val="18"/>
              </w:rPr>
              <w:t xml:space="preserve">, valori Medium, note Regular.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due pannelli affiancati · modalità </w:t>
            </w:r>
            <w:proofErr w:type="spellStart"/>
            <w:r>
              <w:rPr>
                <w:b/>
                <w:bCs/>
                <w:color w:val="FFFFFF"/>
                <w:sz w:val="18"/>
                <w:szCs w:val="18"/>
              </w:rPr>
              <w:t>Canva-Friendly</w:t>
            </w:r>
            <w:proofErr w:type="spellEnd"/>
            <w:r>
              <w:rPr>
                <w:b/>
                <w:bCs/>
                <w:color w:val="FFFFFF"/>
                <w:sz w:val="18"/>
                <w:szCs w:val="18"/>
              </w:rPr>
              <w:t>. Valori da rappresentare: Saldo passivo complessivo ~ -250 (uscita ~377; entrata ~123); componente psichica intercettabile evidenziata come quota del deflusso. Recupero per scenario — Conservativo: ricoveri ~2,5; residenzialità ~1,5; specialistica ~1,0; totale ~5,0. Intermedio: ~4,0; ~2,5; ~1,5; totale ~8,0. Espansivo: ~6,0; ~3,5; ~2,5; totale ~12,0. Variante 3D (consigliata): pannello sinistro a colonna prismatica con la quota intercettabile estratta in profondità; pannello destro a barre isometriche impilate. Fonte (piè di figura): Elaborazione dello studio; dati regionali e nazionali sul saldo della mobilità interregionale; graduazione GRADE dell’evidenza sulla quota recuperabile. La figura deve rendere evidente, da un lato, che il recupero riguarda la sola componente psichica del saldo passivo e non l’intera mobilità, e, dall’altro, che il recupero cresce più che proporzionalmente con la copertura per effetto della soglia di capillarità dell’offerta.</w:t>
            </w:r>
          </w:p>
          <w:p w14:paraId="6A4F1A40" w14:textId="77777777" w:rsidR="007C4598" w:rsidRDefault="00000000">
            <w:pPr>
              <w:spacing w:before="120" w:after="60"/>
              <w:jc w:val="center"/>
            </w:pPr>
            <w:r>
              <w:rPr>
                <w:noProof/>
              </w:rPr>
              <w:drawing>
                <wp:inline distT="0" distB="0" distL="0" distR="0" wp14:anchorId="2ABA3419" wp14:editId="446D634C">
                  <wp:extent cx="8229600" cy="4629150"/>
                  <wp:effectExtent l="0" t="0" r="0" b="0"/>
                  <wp:docPr id="135" name="Infografica35" descr="Il canale della mobilità passiva — pannello dop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Infografica35"/>
                          <pic:cNvPicPr>
                            <a:picLocks noChangeAspect="1" noChangeArrowheads="1"/>
                          </pic:cNvPicPr>
                        </pic:nvPicPr>
                        <pic:blipFill>
                          <a:blip r:embed="rId59">
                            <a:extLst>
                              <a:ext uri="{96DAC541-7B7A-43D3-8B79-37D633B846F1}">
                                <asvg:svgBlip xmlns:asvg="http://schemas.microsoft.com/office/drawing/2016/SVG/main" r:embed="rId60"/>
                              </a:ext>
                            </a:extLst>
                          </a:blip>
                          <a:stretch>
                            <a:fillRect/>
                          </a:stretch>
                        </pic:blipFill>
                        <pic:spPr bwMode="auto">
                          <a:xfrm>
                            <a:off x="0" y="0"/>
                            <a:ext cx="8229600" cy="4629150"/>
                          </a:xfrm>
                          <a:prstGeom prst="rect">
                            <a:avLst/>
                          </a:prstGeom>
                          <a:noFill/>
                          <a:ln>
                            <a:noFill/>
                          </a:ln>
                        </pic:spPr>
                      </pic:pic>
                    </a:graphicData>
                  </a:graphic>
                </wp:inline>
              </w:drawing>
            </w:r>
          </w:p>
          <w:p w14:paraId="77AEEC01" w14:textId="77777777" w:rsidR="007C4598" w:rsidRDefault="00000000">
            <w:pPr>
              <w:spacing w:before="40" w:after="200"/>
              <w:jc w:val="center"/>
            </w:pPr>
            <w:r>
              <w:rPr>
                <w:i/>
                <w:color w:val="2E5A8F"/>
                <w:sz w:val="16"/>
                <w:szCs w:val="16"/>
              </w:rPr>
              <w:t>Fig. 8.C — Il canale della mobilità passiva — pannello doppio. Elaborazione dello studio · Luigi De Michele · Giugno 2026.</w:t>
            </w:r>
          </w:p>
        </w:tc>
      </w:tr>
    </w:tbl>
    <w:p w14:paraId="0FB10E00" w14:textId="77777777" w:rsidR="007C4598" w:rsidRDefault="007C4598"/>
    <w:p w14:paraId="1672CB0D" w14:textId="77777777" w:rsidR="007C4598" w:rsidRDefault="00000000">
      <w:pPr>
        <w:pStyle w:val="Titolo2"/>
        <w:spacing w:before="200" w:after="100"/>
      </w:pPr>
      <w:r>
        <w:rPr>
          <w:sz w:val="22"/>
          <w:szCs w:val="22"/>
        </w:rPr>
        <w:t>8.3.5  La graduazione dell’evidenza, i confini della stima e l’agenda di verifica</w:t>
      </w:r>
    </w:p>
    <w:p w14:paraId="4CE47C47" w14:textId="77777777" w:rsidR="007C4598" w:rsidRDefault="007C4598"/>
    <w:p w14:paraId="74807F5D" w14:textId="77777777" w:rsidR="007C4598" w:rsidRDefault="00000000">
      <w:pPr>
        <w:jc w:val="both"/>
      </w:pPr>
      <w:r>
        <w:t>La solidità della stima del terzo canale presenta, come si è detto, una specificità che va dichiarata. L’anello clinico-organizzativo della catena — il fatto che il rafforzamento dell’offerta territoriale riduca la domanda di prestazioni ad alta intensità — è sostenuto da evidenza di qualità da moderata ad alta. L’anello economico — il fatto che la prestazione trattenuta si traduca in minore rimborso interregionale — è, in questo canale, di qualità relativamente più solida, perché la traduzione del minore deflusso in minore spesa è contabilmente diretta e non soggetta al margine di incertezza che grava sugli altri canali. È invece l’anello comportamentale — il fatto che la domanda effettivamente si trattenga in regione anziché continuare a defluire — a essere di qualità da bassa a moderata, perché la decisione di curarsi fuori regione dipende da fattori, in parte estranei all’offerta, che la riforma modifica solo in parte.</w:t>
      </w:r>
      <w:r>
        <w:rPr>
          <w:color w:val="555555"/>
          <w:sz w:val="16"/>
          <w:szCs w:val="16"/>
          <w:vertAlign w:val="superscript"/>
        </w:rPr>
        <w:t>[23]</w:t>
      </w:r>
      <w:r>
        <w:t xml:space="preserve"> La graduazione complessiva del canale, determinata dal suo anello più debole, è dunque media, e si traduce in una banda prudenziale ampia, che riflette l’incertezza sulla quota effettivamente recuperabile più che sull’effetto fiscale del recupero una volta conseguito.</w:t>
      </w:r>
    </w:p>
    <w:p w14:paraId="00A30F3F" w14:textId="77777777" w:rsidR="007C4598" w:rsidRDefault="007C4598"/>
    <w:p w14:paraId="0A8C8C20" w14:textId="77777777" w:rsidR="007C4598" w:rsidRDefault="00000000">
      <w:pPr>
        <w:jc w:val="both"/>
      </w:pPr>
      <w:r>
        <w:t>Da questa graduazione discendono i confini della stima. In primo luogo, il risparmio del canale è una grandezza fiscale diretta — il minore rimborso interregionale a carico del fondo sanitario regionale — e non è sommato alle ricadute sociali della maggiore prossimità delle cure, quali il minore costo per le famiglie costrette oggi a sostenere i viaggi e i soggiorni fuori regione, che la nona parte tratta tra gli oneri assistenziali evitati.</w:t>
      </w:r>
      <w:r>
        <w:rPr>
          <w:color w:val="555555"/>
          <w:sz w:val="16"/>
          <w:szCs w:val="16"/>
          <w:vertAlign w:val="superscript"/>
        </w:rPr>
        <w:t>[24]</w:t>
      </w:r>
      <w:r>
        <w:t xml:space="preserve"> In secondo luogo, la stima riguarda la sola componente a matrice psichica del saldo passivo, e non la mobilità complessiva, gran parte della quale risponde a bisogni </w:t>
      </w:r>
      <w:proofErr w:type="spellStart"/>
      <w:r>
        <w:t>iperspecialistici</w:t>
      </w:r>
      <w:proofErr w:type="spellEnd"/>
      <w:r>
        <w:t xml:space="preserve"> estranei al mandato del primo livello psicologico: questa delimitazione è la condizione della difendibilità della cifra, e la distingue nettamente da ogni ipotesi di azzeramento del deflusso. In terzo luogo, il contributo della leva digitale, attraverso il monitoraggio remoto e la </w:t>
      </w:r>
      <w:proofErr w:type="spellStart"/>
      <w:r>
        <w:t>telepsicologia</w:t>
      </w:r>
      <w:proofErr w:type="spellEnd"/>
      <w:r>
        <w:t xml:space="preserve"> che riducono la necessità dello spostamento fisico, non è qui aggiunto al risparmio del canale, ma è isolato nella voce 8.5.</w:t>
      </w:r>
    </w:p>
    <w:p w14:paraId="4CE86FDB" w14:textId="77777777" w:rsidR="007C4598" w:rsidRDefault="007C4598"/>
    <w:p w14:paraId="0C180DCD" w14:textId="77777777" w:rsidR="007C4598" w:rsidRDefault="00000000">
      <w:pPr>
        <w:jc w:val="both"/>
      </w:pPr>
      <w:r>
        <w:t>La verifica documentale del terzo canale segue un’agenda precisa e, per questo canale, particolarmente impegnativa, in ragione della complessità dei flussi di mobilità. Essa richiede l’acquisizione dei dati regionali sul saldo della mobilità interregionale disaggregati per disciplina e per tipologia di prestazione, indispensabili per isolare la componente a matrice psichica entro il deflusso complessivo; dei dati sui collocamenti residenziali e semiresidenziali extra-regionali e sul loro costo, necessari per dimensionare la componente più onerosa del canale; e dei dati sulla provenienza territoriale e sui motivi del deflusso, necessari per stimare la quota effettivamente recuperabile attraverso il rafforzamento dell’offerta. L’acquisizione di questi dati, prevista nella fase di consolidamento, consentirà di restringere l’ampia banda del risparmio del canale e di sostituire alle stime prudenziali misure ancorate alla realtà dei flussi di mobilità regionali. Stabiliti l’ordine di grandezza, i meccanismi, la graduazione e i confini del terzo canale, la rinegoziazione può ora muovere verso il quarto e ultimo canale, quello degli esami, delle visite specialistiche e degli invii impropri, che la voce seguente sviluppa.</w:t>
      </w:r>
    </w:p>
    <w:p w14:paraId="11D61631" w14:textId="77777777" w:rsidR="007C4598" w:rsidRDefault="007C4598"/>
    <w:p w14:paraId="5D1E096D" w14:textId="77777777" w:rsidR="007C4598" w:rsidRDefault="00000000">
      <w:pPr>
        <w:pStyle w:val="Titolo1"/>
        <w:pageBreakBefore/>
      </w:pPr>
      <w:r>
        <w:rPr>
          <w:sz w:val="22"/>
          <w:szCs w:val="22"/>
        </w:rPr>
        <w:t>8.4  La riduzione degli esami, delle visite specialistiche e degli invii impropri</w:t>
      </w:r>
    </w:p>
    <w:p w14:paraId="645C7A34" w14:textId="77777777" w:rsidR="007C4598" w:rsidRDefault="007C4598"/>
    <w:p w14:paraId="4AC91467" w14:textId="77777777" w:rsidR="007C4598" w:rsidRDefault="00000000">
      <w:pPr>
        <w:jc w:val="both"/>
      </w:pPr>
      <w:r>
        <w:rPr>
          <w:i/>
          <w:iCs/>
        </w:rPr>
        <w:t>La quarta voce sviluppa il quarto e ultimo canale del risparmio diretto, quello che opera sulla domanda di prestazioni specialistiche generata dal disagio non riconosciuto. Essa muove dalla constatazione che una parte della domanda diagnostica e specialistica che oggi grava sul sistema regionale — esami di laboratorio e di immagine ripetuti, visite specialistiche reiterate, invii ad altri livelli — non risponde a un bisogno organico accertato, ma alla rincorsa diagnostica del sintomo somatico funzionale e alla mancanza di un’alternativa territoriale che ne riconosca la matrice psichica. Intercettare quel disagio al primo livello, riconoscendone la natura prima che esso inneschi la spirale degli accertamenti, sottrae al circuito specialistico una quota di prestazioni inappropriate e con essa la spesa che le accompagna. La voce ricostruisce il contesto pugliese della domanda specialistica indotta, ne isola i meccanismi, ne traccia la catena causale, ne stima il risparmio per scenario e ne dichiara la graduazione e i confini. Con essa si chiude la rassegna dei quattro canali, e si rende disponibile l’aggregato che la voce 8.6 ricomporrà.</w:t>
      </w:r>
    </w:p>
    <w:p w14:paraId="1F208265" w14:textId="77777777" w:rsidR="007C4598" w:rsidRDefault="007C4598"/>
    <w:p w14:paraId="3D372167" w14:textId="77777777" w:rsidR="007C4598" w:rsidRDefault="00000000">
      <w:pPr>
        <w:pStyle w:val="Titolo2"/>
        <w:spacing w:before="200" w:after="100"/>
      </w:pPr>
      <w:r>
        <w:rPr>
          <w:sz w:val="22"/>
          <w:szCs w:val="22"/>
        </w:rPr>
        <w:t>8.4.1  Il contesto: la domanda specialistica indotta dal disagio non riconosciuto</w:t>
      </w:r>
    </w:p>
    <w:p w14:paraId="0709358D" w14:textId="77777777" w:rsidR="007C4598" w:rsidRDefault="007C4598"/>
    <w:p w14:paraId="0758207E" w14:textId="77777777" w:rsidR="007C4598" w:rsidRDefault="00000000">
      <w:pPr>
        <w:jc w:val="both"/>
      </w:pPr>
      <w:r>
        <w:t>Il sistema delle prestazioni specialistiche ambulatoriali pugliese è gravato, come quello di gran parte delle regioni italiane, da una domanda che eccede il bisogno clinicamente appropriato e che alimenta liste d’attesa e mobilità. Una componente di questa domanda eccedente è generata dal disagio psichico non riconosciuto, attraverso un meccanismo che la letteratura sui sintomi somatici funzionali ha ampiamente descritto: il paziente che presenta un sintomo fisico privo di causa organica — la cefalea persistente, il dolore toracico o addominale, la stanchezza cronica, le vertigini — e la cui origine psichica non viene riconosciuta entra in un percorso diagnostico che, non potendo trovare la causa organica che non esiste, tende a moltiplicarsi: all’esame negativo segue l’approfondimento, alla visita specialistica segue la seconda opinione, e la rassicurazione episodica non interrompe il ciclo, perché non affronta la causa.</w:t>
      </w:r>
      <w:r>
        <w:rPr>
          <w:color w:val="555555"/>
          <w:sz w:val="16"/>
          <w:szCs w:val="16"/>
          <w:vertAlign w:val="superscript"/>
        </w:rPr>
        <w:t>[25]</w:t>
      </w:r>
      <w:r>
        <w:t xml:space="preserve"> Questa domanda indotta, distinta dalla domanda specialistica appropriata, costituisce la frazione comprimibile su cui il quarto canale opera.</w:t>
      </w:r>
    </w:p>
    <w:p w14:paraId="5AE33313" w14:textId="77777777" w:rsidR="007C4598" w:rsidRDefault="007C4598"/>
    <w:p w14:paraId="592B4DAC" w14:textId="77777777" w:rsidR="007C4598" w:rsidRDefault="00000000">
      <w:pPr>
        <w:jc w:val="both"/>
      </w:pPr>
      <w:r>
        <w:t>Il fenomeno si manifesta in tre forme principali, che corrispondono ai tre punti del percorso in cui la domanda indotta si genera. La prima è la prescrizione di esami diagnostici impropri, ossia di accertamenti di laboratorio e di immagine richiesti per escludere l’organicità di un sintomo a matrice psichica, e ripetuti perché la negatività del primo accertamento non rassicura durevolmente il paziente la cui causa non è stata affrontata. La seconda è la richiesta di visite specialistiche reiterate, ossia il ricorso ripetuto allo specialista d’organo — il cardiologo per le palpitazioni, il gastroenterologo per i disturbi funzionali dell’apparato digerente, il neurologo per la cefalea tensiva — che, non potendo che confermare l’assenza di patologia d’organo, rinvia il paziente al punto di partenza. La terza è l’invio improprio ad altri livelli, ossia la trasmissione del paziente da un livello all’altro del sistema in cerca di una risposta che nessun livello d’organo può dare, perché la risposta appropriata è di natura psicologica. È la somma di queste tre forme che costituisce la grandezza di ancoraggio del canale.</w:t>
      </w:r>
    </w:p>
    <w:p w14:paraId="6D4F9D4B" w14:textId="77777777" w:rsidR="007C4598" w:rsidRDefault="007C4598"/>
    <w:p w14:paraId="22522FF9" w14:textId="77777777" w:rsidR="007C4598" w:rsidRDefault="00000000">
      <w:pPr>
        <w:jc w:val="both"/>
      </w:pPr>
      <w:r>
        <w:t xml:space="preserve">La connessione tra questa domanda indotta e il primo livello psicologico è diretta e si esercita nel punto stesso in cui la domanda si genera, ossia nel rapporto tra il paziente e il medico di medicina generale. È il medico di medicina generale che, di fronte al sintomo somatico funzionale e in assenza di un’alternativa, avvia in buona fede il percorso degli accertamenti, perché la prudenza clinica gli impone di escludere l’organicità e perché non dispone, all’interno del proprio </w:t>
      </w:r>
      <w:proofErr w:type="spellStart"/>
      <w:r>
        <w:t>setting</w:t>
      </w:r>
      <w:proofErr w:type="spellEnd"/>
      <w:r>
        <w:t>, dello strumento per affrontare la causa psichica. La disponibilità dello Psicologo di Base nella medesima sede delle cure primarie fornisce quell’alternativa: consente al medico di riconoscere la matrice psichica del sintomo e di indirizzare il paziente alla presa in carico appropriata anziché alla spirale degli accertamenti, sostituendo alla rincorsa diagnostica del sintomo il trattamento della sua causa. È in questo punto di sostituzione, e non in un astratto controllo della domanda, che il quarto canale genera il proprio risparmio.</w:t>
      </w:r>
      <w:r>
        <w:rPr>
          <w:color w:val="555555"/>
          <w:sz w:val="16"/>
          <w:szCs w:val="16"/>
          <w:vertAlign w:val="superscript"/>
        </w:rPr>
        <w:t>[26]</w:t>
      </w:r>
    </w:p>
    <w:p w14:paraId="46072252" w14:textId="77777777" w:rsidR="007C4598" w:rsidRDefault="007C4598"/>
    <w:p w14:paraId="1ABC8CD7" w14:textId="77777777" w:rsidR="007C4598" w:rsidRDefault="00000000">
      <w:pPr>
        <w:pStyle w:val="Titolo2"/>
        <w:spacing w:before="200" w:after="100"/>
      </w:pPr>
      <w:r>
        <w:rPr>
          <w:sz w:val="22"/>
          <w:szCs w:val="22"/>
        </w:rPr>
        <w:t>8.4.2  I meccanismi: dalla sostituzione diagnostica alla minore domanda specialistica</w:t>
      </w:r>
    </w:p>
    <w:p w14:paraId="4E73E0E8" w14:textId="77777777" w:rsidR="007C4598" w:rsidRDefault="007C4598"/>
    <w:p w14:paraId="4E880517" w14:textId="77777777" w:rsidR="007C4598" w:rsidRDefault="00000000">
      <w:pPr>
        <w:jc w:val="both"/>
      </w:pPr>
      <w:r>
        <w:t>Il quarto canale opera attraverso tre meccanismi, corrispondenti alle tre forme della domanda indotta e accomunati dalla sostituzione del riconoscimento della causa alla rincorsa del sintomo. Il primo meccanismo è la riduzione degli esami diagnostici impropri attraverso il riconoscimento precoce della matrice psichica del sintomo. Quando il sintomo somatico funzionale è riconosciuto nella sua natura e il paziente è preso in carico al primo livello psicologico, viene meno la necessità di moltiplicare gli accertamenti per escludere un’organicità che la presa in carico psicologica consente di affrontare diversamente: l’esame appropriato per escludere ragionevolmente l’organicità resta, ma la sua ripetizione ossessiva, alimentata dall’ansia non trattata, si interrompe. Il meccanismo agisce sulla sostituzione diagnostica: alla diagnostica per esclusione ripetuta si sostituisce la diagnosi positiva della condizione psichica.</w:t>
      </w:r>
    </w:p>
    <w:p w14:paraId="533810E8" w14:textId="77777777" w:rsidR="007C4598" w:rsidRDefault="007C4598"/>
    <w:p w14:paraId="28ED6E0C" w14:textId="77777777" w:rsidR="007C4598" w:rsidRDefault="00000000">
      <w:pPr>
        <w:jc w:val="both"/>
      </w:pPr>
      <w:r>
        <w:t>Il secondo meccanismo è la riduzione delle visite specialistiche reiterate attraverso la presa in carico della causa. Il paziente che ricorre ripetutamente allo specialista d’organo per un disturbo funzionale lo fa perché cerca una spiegazione e un sollievo che lo specialista d’organo, correttamente, non può fornire, non essendovi patologia d’organo da trattare. La presa in carico psicologica, offrendo la spiegazione e il trattamento appropriati alla natura del disturbo, riduce la domanda di visite specialistiche reiterate, restituendo allo specialista d’organo lo spazio per i pazienti che ne hanno effettivo bisogno. Il terzo meccanismo è la riduzione degli invii impropri tra i livelli attraverso il riconoscimento, da parte del medico di medicina generale, della via appropriata di presa in carico. La disponibilità del primo livello psicologico come destinazione appropriata dell’invio sostituisce, per i quadri a matrice psichica, l’invio improprio allo specialista d’organo con l’invio appropriato allo psicologo, riducendo i passaggi non risolutivi tra i livelli. I tre meccanismi convergono verso il medesimo esito fiscale — la minore spesa per prestazioni specialistiche e diagnostiche — e condividono il presupposto della sostituzione diagnostica operata a monte; e per questo possono essere trattati come componenti di un unico canale, sommabili tra loro ma non con i risparmi degli altri canali.</w:t>
      </w:r>
    </w:p>
    <w:p w14:paraId="37A38D10" w14:textId="77777777" w:rsidR="007C4598" w:rsidRDefault="007C4598"/>
    <w:p w14:paraId="18677C53" w14:textId="77777777" w:rsidR="007C4598" w:rsidRDefault="00000000">
      <w:pPr>
        <w:pStyle w:val="Titolo2"/>
        <w:spacing w:before="200" w:after="100"/>
      </w:pPr>
      <w:r>
        <w:rPr>
          <w:sz w:val="22"/>
          <w:szCs w:val="22"/>
        </w:rPr>
        <w:t>8.4.3  La catena causale: dal riconoscimento della causa alla minore spesa specialistica</w:t>
      </w:r>
    </w:p>
    <w:p w14:paraId="55194A00" w14:textId="77777777" w:rsidR="007C4598" w:rsidRDefault="007C4598"/>
    <w:p w14:paraId="4638D7A3" w14:textId="77777777" w:rsidR="007C4598" w:rsidRDefault="00000000">
      <w:pPr>
        <w:jc w:val="both"/>
      </w:pPr>
      <w:r>
        <w:t>La formazione del risparmio del quarto canale segue una catena causale analoga a quella dei canali precedenti, con la medesima regola della solidità pari a quella dell’anello più debole. Il primo anello è clinico-diagnostico: il riconoscimento precoce della matrice psichica del sintomo somatico funzionale, reso possibile dalla presenza del primo livello psicologico, interrompe la rincorsa diagnostica del sintomo. Questo anello è sostenuto dall’evidenza sull’efficacia del riconoscimento e del trattamento dei disturbi somatici funzionali nelle cure primarie, di qualità da moderata a variabile, in ragione della eterogeneità di questi quadri e della difficoltà del loro inquadramento.</w:t>
      </w:r>
    </w:p>
    <w:p w14:paraId="0DB568CD" w14:textId="77777777" w:rsidR="007C4598" w:rsidRDefault="007C4598"/>
    <w:p w14:paraId="0382391F" w14:textId="77777777" w:rsidR="007C4598" w:rsidRDefault="00000000">
      <w:pPr>
        <w:jc w:val="both"/>
      </w:pPr>
      <w:r>
        <w:t xml:space="preserve">Il secondo anello è comportamentale: il riconoscimento della causa modifica il percorso del paziente, sostituendo alla domanda specialistica e diagnostica reiterata la presa in carico psicologica, e riduce così il volume delle prestazioni inappropriate. Questo anello è sostenuto da evidenza coerente ma di qualità più variabile, perché la misura in cui il riconoscimento effettivamente riduce la domanda dipende dalla disponibilità e dall’accessibilità del primo livello psicologico e dalla disponibilità del paziente ad accettare la natura psichica del proprio disturbo, fattore non sempre presente. Il terzo anello è economico: la minore domanda di esami e visite si traduce in minore spesa specialistica per il bilancio sanitario regionale. Anche qui l’anello economico è il più debole, in coerenza con il </w:t>
      </w:r>
      <w:proofErr w:type="spellStart"/>
      <w:r>
        <w:t>caveat</w:t>
      </w:r>
      <w:proofErr w:type="spellEnd"/>
      <w:r>
        <w:t xml:space="preserve"> invariante sui risparmi diretti, e la graduazione complessiva del canale è di conseguenza bassa, e si traduce in bande prudenziali. A questo si aggiunge una specificità del canale: la quota di sovrapposizione potenziale con gli altri canali, e segnatamente con quello del pronto soccorso, è qui più elevata, poiché la domanda diagnostica impropria si manifesta sia nel circuito ambulatoriale sia in quello dell’urgenza; la regola di non duplicazione impone pertanto, in questo canale più che negli altri, di stimare la sola componente ambulatoriale non già contata nel canale del pronto soccorso.</w:t>
      </w:r>
      <w:r>
        <w:rPr>
          <w:color w:val="555555"/>
          <w:sz w:val="16"/>
          <w:szCs w:val="16"/>
          <w:vertAlign w:val="superscript"/>
        </w:rPr>
        <w:t>[27]</w:t>
      </w:r>
    </w:p>
    <w:p w14:paraId="35D61A07" w14:textId="77777777" w:rsidR="007C4598" w:rsidRDefault="007C4598"/>
    <w:p w14:paraId="71B1481F" w14:textId="77777777" w:rsidR="007C4598" w:rsidRDefault="00000000">
      <w:pPr>
        <w:pStyle w:val="Titolo2"/>
        <w:spacing w:before="200" w:after="100"/>
      </w:pPr>
      <w:r>
        <w:rPr>
          <w:sz w:val="22"/>
          <w:szCs w:val="22"/>
        </w:rPr>
        <w:t>8.4.4  La quantificazione del canale: componenti e scenari</w:t>
      </w:r>
    </w:p>
    <w:p w14:paraId="3928B556" w14:textId="77777777" w:rsidR="007C4598" w:rsidRDefault="007C4598"/>
    <w:p w14:paraId="69C1899E" w14:textId="77777777" w:rsidR="007C4598" w:rsidRDefault="00000000">
      <w:pPr>
        <w:jc w:val="both"/>
      </w:pPr>
      <w:r>
        <w:t>La quantificazione del quarto canale procede secondo il metodo consueto, applicato alle tre forme della domanda specialistica indotta, con la cautela aggiuntiva di isolare la sola componente ambulatoriale non sovrapposta al canale del pronto soccorso. La tabella che segue ricostruisce, sui dati pubblici disponibili, gli aggregati di ancoraggio e i margini su cui il canale opera.</w:t>
      </w:r>
    </w:p>
    <w:p w14:paraId="40C96963"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72DF5A1C"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9DCBF87" w14:textId="77777777" w:rsidR="007C4598" w:rsidRDefault="00000000">
            <w:pPr>
              <w:spacing w:after="40"/>
            </w:pPr>
            <w:r>
              <w:rPr>
                <w:b/>
                <w:bCs/>
                <w:color w:val="FFFFFF"/>
                <w:sz w:val="18"/>
                <w:szCs w:val="18"/>
              </w:rPr>
              <w:t>Forma della domanda indotta</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4AC593C" w14:textId="77777777" w:rsidR="007C4598" w:rsidRDefault="00000000">
            <w:pPr>
              <w:spacing w:after="40"/>
            </w:pPr>
            <w:r>
              <w:rPr>
                <w:b/>
                <w:bCs/>
                <w:color w:val="FFFFFF"/>
                <w:sz w:val="18"/>
                <w:szCs w:val="18"/>
              </w:rPr>
              <w:t>Grandezza di ancoraggio in Puglia</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2E83FAC" w14:textId="77777777" w:rsidR="007C4598" w:rsidRDefault="00000000">
            <w:pPr>
              <w:spacing w:after="40"/>
            </w:pPr>
            <w:r>
              <w:rPr>
                <w:b/>
                <w:bCs/>
                <w:color w:val="FFFFFF"/>
                <w:sz w:val="18"/>
                <w:szCs w:val="18"/>
              </w:rPr>
              <w:t>Componente comprimibile dal primo livello psicologico</w:t>
            </w:r>
          </w:p>
        </w:tc>
      </w:tr>
      <w:tr w:rsidR="007C4598" w14:paraId="74F91561"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D90DFF3" w14:textId="77777777" w:rsidR="007C4598" w:rsidRDefault="00000000">
            <w:pPr>
              <w:spacing w:after="40"/>
            </w:pPr>
            <w:r>
              <w:t>Esami diagnostici di laboratorio e di immagine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9EC702E" w14:textId="77777777" w:rsidR="007C4598" w:rsidRDefault="00000000">
            <w:pPr>
              <w:spacing w:after="40"/>
            </w:pPr>
            <w:r>
              <w:t>domanda diagnostica ambulatoriale; quota ripetuta per sintomi funzionali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E9854C6" w14:textId="77777777" w:rsidR="007C4598" w:rsidRDefault="00000000">
            <w:pPr>
              <w:spacing w:after="40"/>
            </w:pPr>
            <w:r>
              <w:t>la sola quota indotta dalla matrice psichica non riconosciuta</w:t>
            </w:r>
          </w:p>
        </w:tc>
      </w:tr>
      <w:tr w:rsidR="007C4598" w14:paraId="575C5B9D"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2B62832" w14:textId="77777777" w:rsidR="007C4598" w:rsidRDefault="00000000">
            <w:pPr>
              <w:spacing w:after="40"/>
            </w:pPr>
            <w:r>
              <w:t>Visite specialistiche d’organo reiterate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130C6AD" w14:textId="77777777" w:rsidR="007C4598" w:rsidRDefault="00000000">
            <w:pPr>
              <w:spacing w:after="40"/>
            </w:pPr>
            <w:r>
              <w:t>accessi ripetuti a cardiologia, gastroenterologia, neurologia per disturbi funzionali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742C3BF" w14:textId="77777777" w:rsidR="007C4598" w:rsidRDefault="00000000">
            <w:pPr>
              <w:spacing w:after="40"/>
            </w:pPr>
            <w:r>
              <w:t>la quota reiterata per assenza di presa in carico della causa</w:t>
            </w:r>
          </w:p>
        </w:tc>
      </w:tr>
      <w:tr w:rsidR="007C4598" w14:paraId="1E055458"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D337F2A" w14:textId="77777777" w:rsidR="007C4598" w:rsidRDefault="00000000">
            <w:pPr>
              <w:spacing w:after="40"/>
            </w:pPr>
            <w:r>
              <w:t>Invii impropri tra i livelli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BA21BAB" w14:textId="77777777" w:rsidR="007C4598" w:rsidRDefault="00000000">
            <w:pPr>
              <w:spacing w:after="40"/>
            </w:pPr>
            <w:r>
              <w:t>passaggi non risolutivi del paziente a matrice psichica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50C2571" w14:textId="77777777" w:rsidR="007C4598" w:rsidRDefault="00000000">
            <w:pPr>
              <w:spacing w:after="40"/>
            </w:pPr>
            <w:r>
              <w:t>la quota deviabile verso l’invio appropriato al primo livello psicologico</w:t>
            </w:r>
          </w:p>
        </w:tc>
      </w:tr>
    </w:tbl>
    <w:p w14:paraId="4D8163D9" w14:textId="77777777" w:rsidR="007C4598" w:rsidRDefault="007C4598"/>
    <w:p w14:paraId="77E0584A" w14:textId="77777777" w:rsidR="007C4598" w:rsidRDefault="00000000">
      <w:pPr>
        <w:jc w:val="both"/>
      </w:pPr>
      <w:r>
        <w:rPr>
          <w:i/>
          <w:iCs/>
        </w:rPr>
        <w:t>Tabella 8.7 — Gli aggregati di ancoraggio del quarto canale e i margini di compressione. I volumi della specialistica ambulatoriale sono tratti dalle fonti pubbliche regionali e saranno sostituiti dai dati certificati; le componenti comprimibili riguardano la sola quota a matrice psichica, distinta dalla domanda specialistica appropriata e dalla componente già contata nel canale del pronto soccorso.</w:t>
      </w:r>
    </w:p>
    <w:p w14:paraId="74A814A0" w14:textId="77777777" w:rsidR="007C4598" w:rsidRDefault="007C4598"/>
    <w:p w14:paraId="6F2C472B" w14:textId="77777777" w:rsidR="007C4598" w:rsidRDefault="00000000">
      <w:pPr>
        <w:jc w:val="both"/>
      </w:pPr>
      <w:r>
        <w:t>Sulla base di questo quadro, la stima del risparmio del quarto canale è articolata nelle tre componenti corrispondenti alle tre forme della domanda indotta, e per ciascuno dei tre scenari di copertura. La componente degli esami diagnostici impropri costituisce, per la frequenza e la ripetibilità degli accertamenti, la quota maggiore del risparmio del canale. La componente delle visite specialistiche reiterate incide in misura intermedia, coerente con il costo unitario della visita e con la frequenza della reiterazione. La componente degli invii impropri è stimata su un margine più contenuto, in ragione tanto del minore costo diretto immediatamente attribuibile all’invio in quanto tale quanto della maggiore sovrapposizione potenziale con gli altri canali, che impone la massima prudenza per non duplicare il risparmio.</w:t>
      </w:r>
    </w:p>
    <w:p w14:paraId="10B31F01"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56050AF3"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2B92FDF" w14:textId="77777777" w:rsidR="007C4598" w:rsidRDefault="00000000">
            <w:pPr>
              <w:spacing w:after="40"/>
            </w:pPr>
            <w:r>
              <w:rPr>
                <w:b/>
                <w:bCs/>
                <w:color w:val="FFFFFF"/>
                <w:sz w:val="18"/>
                <w:szCs w:val="18"/>
              </w:rPr>
              <w:t>Componente del risparmio (mln €/anno)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56E54ED" w14:textId="77777777" w:rsidR="007C4598" w:rsidRDefault="00000000">
            <w:pPr>
              <w:spacing w:after="40"/>
            </w:pPr>
            <w:r>
              <w:rPr>
                <w:b/>
                <w:bCs/>
                <w:color w:val="FFFFFF"/>
                <w:sz w:val="18"/>
                <w:szCs w:val="18"/>
              </w:rPr>
              <w:t>Conservativo (~450)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4BCFCEA" w14:textId="77777777" w:rsidR="007C4598" w:rsidRDefault="00000000">
            <w:pPr>
              <w:spacing w:after="40"/>
            </w:pPr>
            <w:r>
              <w:rPr>
                <w:b/>
                <w:bCs/>
                <w:color w:val="FFFFFF"/>
                <w:sz w:val="18"/>
                <w:szCs w:val="18"/>
              </w:rPr>
              <w:t>Intermedio (~700)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13F574D" w14:textId="77777777" w:rsidR="007C4598" w:rsidRDefault="00000000">
            <w:pPr>
              <w:spacing w:after="40"/>
            </w:pPr>
            <w:r>
              <w:rPr>
                <w:b/>
                <w:bCs/>
                <w:color w:val="FFFFFF"/>
                <w:sz w:val="18"/>
                <w:szCs w:val="18"/>
              </w:rPr>
              <w:t>Espansivo (~900)</w:t>
            </w:r>
          </w:p>
        </w:tc>
      </w:tr>
      <w:tr w:rsidR="007C4598" w14:paraId="7D32F268"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A81EE49" w14:textId="77777777" w:rsidR="007C4598" w:rsidRDefault="00000000">
            <w:pPr>
              <w:spacing w:after="40"/>
            </w:pPr>
            <w:r>
              <w:t>Riduzione degli esami diagnostici impropri (sintomi funzionali)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59F307A" w14:textId="77777777" w:rsidR="007C4598" w:rsidRDefault="00000000">
            <w:pPr>
              <w:spacing w:after="40"/>
            </w:pPr>
            <w:r>
              <w:t>~1,5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7137683" w14:textId="77777777" w:rsidR="007C4598" w:rsidRDefault="00000000">
            <w:pPr>
              <w:spacing w:after="40"/>
            </w:pPr>
            <w:r>
              <w:t>~3,0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0B65049" w14:textId="77777777" w:rsidR="007C4598" w:rsidRDefault="00000000">
            <w:pPr>
              <w:spacing w:after="40"/>
            </w:pPr>
            <w:r>
              <w:t>~4,5</w:t>
            </w:r>
          </w:p>
        </w:tc>
      </w:tr>
      <w:tr w:rsidR="007C4598" w14:paraId="2FD9E16C"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68A8395" w14:textId="77777777" w:rsidR="007C4598" w:rsidRDefault="00000000">
            <w:pPr>
              <w:spacing w:after="40"/>
            </w:pPr>
            <w:r>
              <w:t>Riduzione delle visite specialistiche reiterate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AE6B216" w14:textId="77777777" w:rsidR="007C4598" w:rsidRDefault="00000000">
            <w:pPr>
              <w:spacing w:after="40"/>
            </w:pPr>
            <w:r>
              <w:t>~1,0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F4AD05A" w14:textId="77777777" w:rsidR="007C4598" w:rsidRDefault="00000000">
            <w:pPr>
              <w:spacing w:after="40"/>
            </w:pPr>
            <w:r>
              <w:t>~2,0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4280F26" w14:textId="77777777" w:rsidR="007C4598" w:rsidRDefault="00000000">
            <w:pPr>
              <w:spacing w:after="40"/>
            </w:pPr>
            <w:r>
              <w:t>~3,0</w:t>
            </w:r>
          </w:p>
        </w:tc>
      </w:tr>
      <w:tr w:rsidR="007C4598" w14:paraId="6E89F23E"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4A9C40D" w14:textId="77777777" w:rsidR="007C4598" w:rsidRDefault="00000000">
            <w:pPr>
              <w:spacing w:after="40"/>
            </w:pPr>
            <w:r>
              <w:t>Riduzione degli invii impropri tra i livelli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FD2FC12" w14:textId="77777777" w:rsidR="007C4598" w:rsidRDefault="00000000">
            <w:pPr>
              <w:spacing w:after="40"/>
            </w:pPr>
            <w:r>
              <w:t>~0,5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C1CEDBF" w14:textId="77777777" w:rsidR="007C4598" w:rsidRDefault="00000000">
            <w:pPr>
              <w:spacing w:after="40"/>
            </w:pPr>
            <w:r>
              <w:t>~1,0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CD97C7E" w14:textId="77777777" w:rsidR="007C4598" w:rsidRDefault="00000000">
            <w:pPr>
              <w:spacing w:after="40"/>
            </w:pPr>
            <w:r>
              <w:t>~1,5</w:t>
            </w:r>
          </w:p>
        </w:tc>
      </w:tr>
      <w:tr w:rsidR="007C4598" w14:paraId="59CE1352"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D1F3A1F" w14:textId="77777777" w:rsidR="007C4598" w:rsidRDefault="00000000">
            <w:pPr>
              <w:spacing w:after="40"/>
            </w:pPr>
            <w:r>
              <w:t>Risparmio diretto del canale specialistico e diagnostico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2058C01" w14:textId="77777777" w:rsidR="007C4598" w:rsidRDefault="00000000">
            <w:pPr>
              <w:spacing w:after="40"/>
            </w:pPr>
            <w:r>
              <w:t>~3,0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9D8ECE9" w14:textId="77777777" w:rsidR="007C4598" w:rsidRDefault="00000000">
            <w:pPr>
              <w:spacing w:after="40"/>
            </w:pPr>
            <w:r>
              <w:t>~6,0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2058BB8" w14:textId="77777777" w:rsidR="007C4598" w:rsidRDefault="00000000">
            <w:pPr>
              <w:spacing w:after="40"/>
            </w:pPr>
            <w:r>
              <w:t>~9,0</w:t>
            </w:r>
          </w:p>
        </w:tc>
      </w:tr>
    </w:tbl>
    <w:p w14:paraId="51C805D5" w14:textId="77777777" w:rsidR="007C4598" w:rsidRDefault="007C4598"/>
    <w:p w14:paraId="01949C71" w14:textId="77777777" w:rsidR="007C4598" w:rsidRDefault="00000000">
      <w:pPr>
        <w:jc w:val="both"/>
      </w:pPr>
      <w:r>
        <w:rPr>
          <w:i/>
          <w:iCs/>
        </w:rPr>
        <w:t>Tabella 8.8 — Stima prudenziale del risparmio del quarto canale per scenario. Le cifre sono bande prudenziali arrotondate, coerenti con la componente specialistica della valutazione economica del telaio e con l’aggregato per scenario ricomposto nella voce 8.6. L’ultima riga è la somma delle tre componenti.</w:t>
      </w:r>
    </w:p>
    <w:p w14:paraId="3D424948" w14:textId="77777777" w:rsidR="007C4598" w:rsidRDefault="007C4598"/>
    <w:p w14:paraId="33022BC5" w14:textId="77777777" w:rsidR="007C4598" w:rsidRDefault="00000000">
      <w:pPr>
        <w:jc w:val="both"/>
      </w:pPr>
      <w:r>
        <w:t>Il risparmio diretto del quarto canale è dunque stimato in un ordine di grandezza compreso tra circa 3 milioni di euro l’anno nello scenario conservativo e circa 9 milioni nello scenario espansivo, con un valore intermedio dell’ordine di 6 milioni. La cifra rappresenta una frazione contenuta della spesa specialistica ambulatoriale regionale, coerente con la natura del margine, che non è la riduzione della domanda specialistica appropriata — la quale anzi, nella misura in cui la riforma migliora l’accesso, può crescere — ma la compressione della sola domanda indotta dal disagio non riconosciuto. La prudenza della stima riflette, oltre all’incertezza generale, la cautela specifica imposta dalla maggiore sovrapposizione potenziale di questo canale con quello del pronto soccorso: per evitare ogni duplicazione, la stima conta la sola componente ambulatoriale non già attribuita al canale precedente, sacrificando deliberatamente parte del risparmio potenziale alla certezza di non contarlo due volte.</w:t>
      </w:r>
    </w:p>
    <w:p w14:paraId="7555F6FC" w14:textId="77777777" w:rsidR="007C4598" w:rsidRDefault="007C4598"/>
    <w:p w14:paraId="7DF11A41" w14:textId="77777777" w:rsidR="007C4598" w:rsidRDefault="00000000">
      <w:pPr>
        <w:jc w:val="both"/>
      </w:pPr>
      <w:r>
        <w:t>La stima incorpora, come per gli altri canali, la progressione non lineare propria degli scenari, secondo una logica che in questo canale assume una forma particolare. La capacità di sostituire il riconoscimento della causa alla rincorsa del sintomo dipende criticamente dalla precocità dell’intercettazione: il paziente intercettato alla prima presentazione del sintomo, prima che la spirale diagnostica si sia avviata, genera un risparmio assai maggiore del paziente intercettato dopo anni di accertamenti, quando il percorso si è ormai consolidato. Al crescere della copertura cresce la quota di pazienti intercettati precocemente, e con essa la capacità di prevenire l’avvio della spirale diagnostica, e non soltanto di interromperla. La componente di prevenzione dell’avvio, che agisce sul flusso delle nuove spirali diagnostiche, cresce dunque più che proporzionalmente con la scala del servizio, secondo la struttura che la modellazione dell’undicesima parte rappresenta.</w:t>
      </w:r>
    </w:p>
    <w:p w14:paraId="2589216E"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7CDC38AE"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8D44F81" w14:textId="77777777" w:rsidR="007C4598" w:rsidRDefault="00000000">
            <w:pPr>
              <w:spacing w:after="40"/>
            </w:pPr>
            <w:r>
              <w:rPr>
                <w:b/>
                <w:bCs/>
                <w:color w:val="FFFFFF"/>
                <w:sz w:val="18"/>
                <w:szCs w:val="18"/>
              </w:rPr>
              <w:t xml:space="preserve">◆ SEGNAPOSTO INFOGRAFICA — FIG. 8.D · DA INSERIRE A POSTERIORI Titolo previsto: Il canale specialistico e diagnostico del risparmio diretto: componenti e scenari — Puglia CODICE CANVA-FRIENDLY (scheda di generazione) Tipo di grafico: diagramma a barre orizzontali raggruppate per i tre scenari di copertura, ciascuna barra scomposta nelle tre componenti del risparmio (esami diagnostici impropri; visite specialistiche reiterate; invii impropri), con etichetta del totale di canale. Lettura: tre gruppi di barre (Conservativo, Intermedio, Espansivo) la cui lunghezza complessiva corrisponde al risparmio totale del canale (3, 6 e 9 milioni); la scomposizione cromatica interna rende evidente il peso prevalente della componente degli esami diagnostici impropri. Palette: componente esami diagnostici in blu </w:t>
            </w:r>
            <w:proofErr w:type="spellStart"/>
            <w:r>
              <w:rPr>
                <w:b/>
                <w:bCs/>
                <w:color w:val="FFFFFF"/>
                <w:sz w:val="18"/>
                <w:szCs w:val="18"/>
              </w:rPr>
              <w:t>navy</w:t>
            </w:r>
            <w:proofErr w:type="spellEnd"/>
            <w:r>
              <w:rPr>
                <w:b/>
                <w:bCs/>
                <w:color w:val="FFFFFF"/>
                <w:sz w:val="18"/>
                <w:szCs w:val="18"/>
              </w:rPr>
              <w:t xml:space="preserve"> #16264B; componente visite specialistiche in blu medio #244272; componente invii impropri in blu #2E5AA0; etichetta del totale di canale in oro #C49A48; griglia in grigio #D8D8D8.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etichette degli scenari </w:t>
            </w:r>
            <w:proofErr w:type="spellStart"/>
            <w:r>
              <w:rPr>
                <w:b/>
                <w:bCs/>
                <w:color w:val="FFFFFF"/>
                <w:sz w:val="18"/>
                <w:szCs w:val="18"/>
              </w:rPr>
              <w:t>Bold</w:t>
            </w:r>
            <w:proofErr w:type="spellEnd"/>
            <w:r>
              <w:rPr>
                <w:b/>
                <w:bCs/>
                <w:color w:val="FFFFFF"/>
                <w:sz w:val="18"/>
                <w:szCs w:val="18"/>
              </w:rPr>
              <w:t xml:space="preserve">, valori Medium, note Regular.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Valori da rappresentare: Conservativo — esami ~1,5; visite ~1,0; invii ~0,5; totale ~3,0. Intermedio — ~3,0; ~2,0; ~1,0; totale ~6,0. Espansivo — ~4,5; ~3,0; ~1,5; totale ~9,0. Variante 3D (consigliata): barre a rilievo isometrico con le tre componenti impilate in profondità; il blocco degli esami diagnostici, prevalente, posto alla base di ciascun gruppo. Fonte (piè di figura): Elaborazione dello studio; dati regionali sulla specialistica ambulatoriale; letteratura sui disturbi somatici funzionali e sulle prestazioni a basso valore; graduazione GRADE dell’evidenza. La figura deve rendere evidente che la componente prevalente del risparmio è la riduzione degli esami diagnostici impropri, e che il totale del canale resta contenuto, in ragione della prudenza imposta dalla sovrapposizione con il canale del pronto soccorso.</w:t>
            </w:r>
          </w:p>
          <w:p w14:paraId="23FAD9D6" w14:textId="77777777" w:rsidR="007C4598" w:rsidRDefault="00000000">
            <w:pPr>
              <w:spacing w:before="120" w:after="60"/>
              <w:jc w:val="center"/>
            </w:pPr>
            <w:r>
              <w:rPr>
                <w:noProof/>
              </w:rPr>
              <w:drawing>
                <wp:inline distT="0" distB="0" distL="0" distR="0" wp14:anchorId="338727A3" wp14:editId="63086790">
                  <wp:extent cx="8229600" cy="4629150"/>
                  <wp:effectExtent l="0" t="0" r="0" b="0"/>
                  <wp:docPr id="136" name="Infografica36" descr="Il canale specialistico e diagnostico del risparmio di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Infografica36"/>
                          <pic:cNvPicPr>
                            <a:picLocks noChangeAspect="1" noChangeArrowheads="1"/>
                          </pic:cNvPicPr>
                        </pic:nvPicPr>
                        <pic:blipFill>
                          <a:blip r:embed="rId61">
                            <a:extLst>
                              <a:ext uri="{96DAC541-7B7A-43D3-8B79-37D633B846F1}">
                                <asvg:svgBlip xmlns:asvg="http://schemas.microsoft.com/office/drawing/2016/SVG/main" r:embed="rId62"/>
                              </a:ext>
                            </a:extLst>
                          </a:blip>
                          <a:stretch>
                            <a:fillRect/>
                          </a:stretch>
                        </pic:blipFill>
                        <pic:spPr bwMode="auto">
                          <a:xfrm>
                            <a:off x="0" y="0"/>
                            <a:ext cx="8229600" cy="4629150"/>
                          </a:xfrm>
                          <a:prstGeom prst="rect">
                            <a:avLst/>
                          </a:prstGeom>
                          <a:noFill/>
                          <a:ln>
                            <a:noFill/>
                          </a:ln>
                        </pic:spPr>
                      </pic:pic>
                    </a:graphicData>
                  </a:graphic>
                </wp:inline>
              </w:drawing>
            </w:r>
          </w:p>
          <w:p w14:paraId="6983B5A4" w14:textId="77777777" w:rsidR="007C4598" w:rsidRDefault="00000000">
            <w:pPr>
              <w:spacing w:before="40" w:after="200"/>
              <w:jc w:val="center"/>
            </w:pPr>
            <w:r>
              <w:rPr>
                <w:i/>
                <w:color w:val="2E5A8F"/>
                <w:sz w:val="16"/>
                <w:szCs w:val="16"/>
              </w:rPr>
              <w:t>Fig. 8.D — Il canale specialistico e diagnostico del risparmio diretto. Elaborazione dello studio · Luigi De Michele · Giugno 2026.</w:t>
            </w:r>
          </w:p>
        </w:tc>
      </w:tr>
    </w:tbl>
    <w:p w14:paraId="27775ED4" w14:textId="77777777" w:rsidR="007C4598" w:rsidRDefault="007C4598"/>
    <w:p w14:paraId="297DA8FC" w14:textId="77777777" w:rsidR="007C4598" w:rsidRDefault="00000000">
      <w:pPr>
        <w:pStyle w:val="Titolo2"/>
        <w:spacing w:before="200" w:after="100"/>
      </w:pPr>
      <w:r>
        <w:rPr>
          <w:sz w:val="22"/>
          <w:szCs w:val="22"/>
        </w:rPr>
        <w:t>8.4.5  La graduazione dell’evidenza, i confini della stima e l’agenda di verifica</w:t>
      </w:r>
    </w:p>
    <w:p w14:paraId="54C88757" w14:textId="77777777" w:rsidR="007C4598" w:rsidRDefault="007C4598"/>
    <w:p w14:paraId="2BFCEC7F" w14:textId="77777777" w:rsidR="007C4598" w:rsidRDefault="00000000">
      <w:pPr>
        <w:jc w:val="both"/>
      </w:pPr>
      <w:r>
        <w:t xml:space="preserve">La solidità della stima del quarto canale va dichiarata con la medesima franchezza adottata per i precedenti. L’anello clinico-diagnostico della catena — il fatto che il riconoscimento della matrice psichica interrompa la rincorsa diagnostica del sintomo — è sostenuto da evidenza di qualità da moderata a variabile, in ragione della eterogeneità dei disturbi somatici funzionali. L’anello comportamentale — il fatto che il riconoscimento riduca effettivamente la domanda specialistica — è sostenuto da evidenza coerente ma di qualità da moderata a bassa, dipendendo dall’accessibilità del primo livello e dall’accettazione, da parte del paziente, della natura psichica del disturbo. L’anello economico — il fatto che la minore domanda si traduca in un risparmio statisticamente significativo — è sostenuto da evidenza di qualità bassa, in coerenza con il </w:t>
      </w:r>
      <w:proofErr w:type="spellStart"/>
      <w:r>
        <w:t>caveat</w:t>
      </w:r>
      <w:proofErr w:type="spellEnd"/>
      <w:r>
        <w:t xml:space="preserve"> invariante.</w:t>
      </w:r>
      <w:r>
        <w:rPr>
          <w:color w:val="555555"/>
          <w:sz w:val="16"/>
          <w:szCs w:val="16"/>
          <w:vertAlign w:val="superscript"/>
        </w:rPr>
        <w:t>[28]</w:t>
      </w:r>
      <w:r>
        <w:t xml:space="preserve"> La graduazione complessiva del canale è dunque bassa, e per questo il risparmio è espresso in bande prudenziali, con la cautela aggiuntiva imposta dalla sovrapposizione con il canale del pronto soccorso.</w:t>
      </w:r>
    </w:p>
    <w:p w14:paraId="2109A073" w14:textId="77777777" w:rsidR="007C4598" w:rsidRDefault="007C4598"/>
    <w:p w14:paraId="095D2D3A" w14:textId="77777777" w:rsidR="007C4598" w:rsidRDefault="00000000">
      <w:pPr>
        <w:jc w:val="both"/>
      </w:pPr>
      <w:r>
        <w:t>Da questa graduazione discendono i confini della stima. In primo luogo, il risparmio del canale è una grandezza fiscale diretta, e non è sommato alle ricadute sociali della minore medicalizzazione del disagio — il minore tempo sottratto al lavoro per accertamenti inutili, la minore ansia iatrogena indotta dalla spirale diagnostica, la migliore qualità della vita — che la nona parte tratta separatamente.</w:t>
      </w:r>
      <w:r>
        <w:rPr>
          <w:color w:val="555555"/>
          <w:sz w:val="16"/>
          <w:szCs w:val="16"/>
          <w:vertAlign w:val="superscript"/>
        </w:rPr>
        <w:t>[29]</w:t>
      </w:r>
      <w:r>
        <w:t xml:space="preserve"> In secondo luogo, la stima conta la sola componente ambulatoriale non sovrapposta al canale del pronto soccorso, in ossequio alla regola di non duplicazione, che in questo canale opera con particolare rigore. In terzo luogo, la quota del risparmio attribuibile alla leva digitale e all’Intelligenza Artificiale, attraverso il supporto alla decisione diagnostica del medico di medicina generale e l’identificazione dei pattern di domanda indotta, non è qui aggiunta al risparmio del canale, ma è isolata nella voce seguente. In quarto luogo, la stima riguarda la sola domanda indotta dal disagio non riconosciuto, e non la domanda specialistica appropriata, che la riforma non comprime e può anzi accrescere: questa delimitazione è la condizione della difendibilità della cifra.</w:t>
      </w:r>
    </w:p>
    <w:p w14:paraId="569CCE8E" w14:textId="77777777" w:rsidR="007C4598" w:rsidRDefault="007C4598"/>
    <w:p w14:paraId="58ACF82C" w14:textId="77777777" w:rsidR="007C4598" w:rsidRDefault="00000000">
      <w:pPr>
        <w:jc w:val="both"/>
      </w:pPr>
      <w:r>
        <w:t>La verifica documentale del quarto canale segue un’agenda precisa. Essa richiede l’acquisizione dei dati regionali sulla domanda specialistica ambulatoriale disaggregati per branca e per tipologia di prestazione, indispensabili per isolare la quota indotta dalla matrice psichica entro la domanda complessiva; dei dati sulla ripetizione degli accertamenti e sulla reiterazione delle visite per i medesimi pazienti, necessari per dimensionare la componente comprimibile; e dei dati sui costi unitari delle prestazioni, necessari per tradurre la minore domanda in minore spesa. L’acquisizione di questi dati, prevista nella fase di consolidamento, consentirà di restringere la banda del risparmio e di sostituire alle stime prudenziali misure ancorate alla realtà della domanda specialistica regionale. Conclusa con il quarto canale la rassegna dei canali del risparmio diretto, e prima di ricomporne l’aggregato nella voce conclusiva, la rinegoziazione deve isolare, all’interno dei quattro canali percorsi, la quota di risparmio attribuibile alla leva digitale e all’Intelligenza Artificiale: è l’oggetto della voce seguente.</w:t>
      </w:r>
    </w:p>
    <w:p w14:paraId="7EB9A0F9" w14:textId="77777777" w:rsidR="007C4598" w:rsidRDefault="007C4598"/>
    <w:p w14:paraId="32616D5D" w14:textId="77777777" w:rsidR="007C4598" w:rsidRDefault="00000000">
      <w:pPr>
        <w:pStyle w:val="Titolo1"/>
        <w:pageBreakBefore/>
      </w:pPr>
      <w:r>
        <w:rPr>
          <w:sz w:val="22"/>
          <w:szCs w:val="22"/>
        </w:rPr>
        <w:t>8.5  Il contributo incrementale dell’Intelligenza Artificiale ai risparmi diretti</w:t>
      </w:r>
    </w:p>
    <w:p w14:paraId="5EAD5AD5" w14:textId="77777777" w:rsidR="007C4598" w:rsidRDefault="007C4598"/>
    <w:p w14:paraId="3B82733F" w14:textId="77777777" w:rsidR="007C4598" w:rsidRDefault="00000000">
      <w:pPr>
        <w:jc w:val="both"/>
      </w:pPr>
      <w:r>
        <w:rPr>
          <w:i/>
          <w:iCs/>
        </w:rPr>
        <w:t>La quinta voce non aggiunge un quinto canale al risparmio diretto, ma attraversa i quattro canali precedenti per isolare, all’interno di ciascuno, la quota di risparmio attribuibile alla leva digitale e all’Intelligenza Artificiale. La sua funzione è di trasparenza, non di addizione: essa rende visibile, e separatamente quantificabile, il contributo che gli strumenti digitali apportano all’efficacia dei quattro meccanismi già descritti, senza in alcun punto sommare quel contributo ai risparmi dei canali entro cui esso già si esprime. Questa collocazione discende direttamente dal posizionamento dell’Intelligenza Artificiale stabilito nella prima parte e ribadito nella quarta: l’Intelligenza Artificiale non è l’oggetto centrale dell’analisi né un canale autonomo di risparmio, ma una delle leve che rendono la figura dello Psicologo di Base più funzionale ed efficace, e il suo contributo si manifesta attraverso il potenziamento dei canali, non accanto ad essi. La voce espone le funzioni dell’Intelligenza Artificiale lungo i quattro canali, ne quantifica la quota incrementale entro bande prudenziali e con la massima cautela, e ne dichiara la graduazione e i confini, applicando all’evidenza digitale il medesimo rigore applicato all’evidenza clinica.</w:t>
      </w:r>
    </w:p>
    <w:p w14:paraId="168C17DF" w14:textId="77777777" w:rsidR="007C4598" w:rsidRDefault="007C4598"/>
    <w:p w14:paraId="177C93A4" w14:textId="77777777" w:rsidR="007C4598" w:rsidRDefault="00000000">
      <w:pPr>
        <w:pStyle w:val="Titolo2"/>
        <w:spacing w:before="200" w:after="100"/>
      </w:pPr>
      <w:r>
        <w:rPr>
          <w:sz w:val="22"/>
          <w:szCs w:val="22"/>
        </w:rPr>
        <w:t>8.5.1  La posizione dell’Intelligenza Artificiale nella rinegoziazione: leva, non canale</w:t>
      </w:r>
    </w:p>
    <w:p w14:paraId="2138B4F3" w14:textId="77777777" w:rsidR="007C4598" w:rsidRDefault="007C4598"/>
    <w:p w14:paraId="178294DD" w14:textId="77777777" w:rsidR="007C4598" w:rsidRDefault="00000000">
      <w:pPr>
        <w:jc w:val="both"/>
      </w:pPr>
      <w:r>
        <w:t>La collocazione dell’Intelligenza Artificiale nella rinegoziazione dei risparmi diretti richiede una precisazione preliminare, che ne governa l’intera trattazione e che discende dal principio architettonico dell’opera. L’Intelligenza Artificiale non genera un risparmio proprio e separabile, che si aggiunga a quello dei quattro canali; essa accresce l’efficacia dei meccanismi attraverso cui i quattro canali generano il proprio risparmio. Quando un sistema di supporto alla decisione aiuta il medico di medicina generale a riconoscere la matrice psichica di un sintomo, il risparmio che ne deriva — il minore esame, la minore visita — è già contato nel quarto canale; l’Intelligenza Artificiale non aggiunge un risparmio, ma rende più probabile e più tempestivo quello che il canale già produce. Per questa ragione, la quota attribuibile all’Intelligenza Artificiale non è una grandezza addizionale, ma una grandezza interna ai canali, che questa voce isola per renderla trasparente, e che la regola di non duplicazione vieta tassativamente di sommare all’aggregato dei canali.</w:t>
      </w:r>
      <w:r>
        <w:rPr>
          <w:color w:val="555555"/>
          <w:sz w:val="16"/>
          <w:szCs w:val="16"/>
          <w:vertAlign w:val="superscript"/>
        </w:rPr>
        <w:t>[30]</w:t>
      </w:r>
    </w:p>
    <w:p w14:paraId="079599D0" w14:textId="77777777" w:rsidR="007C4598" w:rsidRDefault="007C4598"/>
    <w:p w14:paraId="113A6488" w14:textId="77777777" w:rsidR="007C4598" w:rsidRDefault="00000000">
      <w:pPr>
        <w:jc w:val="both"/>
      </w:pPr>
      <w:r>
        <w:t>Questa precisazione non riduce l’importanza della leva digitale, ma ne colloca correttamente il valore. Il contributo dell’Intelligenza Artificiale ai risparmi diretti è reale e merita di essere reso visibile, perché orienta le scelte di investimento nella componente tecnologica del servizio; ma esso è un contributo all’efficacia dei canali, non un canale a sé, e la sua quantificazione separata ha la funzione di mostrare quanta parte del risparmio complessivo dipende dal potenziamento digitale dei meccanismi, non di accrescere il risparmio complessivo. La distinzione è la stessa che, nella prima parte, separa la leva dall’oggetto: l’oggetto del risparmio è la riduzione del consumo inappropriato di risorse sanitarie, e la leva digitale è uno degli strumenti che rendono quella riduzione più efficace, accanto alle leve organizzative, di processo e formative. Trattare l’Intelligenza Artificiale come un canale autonomo significherebbe non solo violare la regola di non duplicazione, ma fraintendere la sua natura di strumento subordinato alla funzione clinica e organizzativa che potenzia.</w:t>
      </w:r>
    </w:p>
    <w:p w14:paraId="082F7014" w14:textId="77777777" w:rsidR="007C4598" w:rsidRDefault="007C4598"/>
    <w:p w14:paraId="1EEB6B5C" w14:textId="77777777" w:rsidR="007C4598" w:rsidRDefault="00000000">
      <w:pPr>
        <w:pStyle w:val="Titolo2"/>
        <w:spacing w:before="200" w:after="100"/>
      </w:pPr>
      <w:r>
        <w:rPr>
          <w:sz w:val="22"/>
          <w:szCs w:val="22"/>
        </w:rPr>
        <w:t>8.5.2  Le funzioni dell’Intelligenza Artificiale lungo i quattro canali</w:t>
      </w:r>
    </w:p>
    <w:p w14:paraId="488275D3" w14:textId="77777777" w:rsidR="007C4598" w:rsidRDefault="007C4598"/>
    <w:p w14:paraId="4FEEEB7B" w14:textId="77777777" w:rsidR="007C4598" w:rsidRDefault="00000000">
      <w:pPr>
        <w:jc w:val="both"/>
      </w:pPr>
      <w:r>
        <w:t xml:space="preserve">Il contributo della leva digitale si distribuisce sui quattro canali attraverso funzioni specifiche, ciascuna delle quali potenzia un meccanismo già descritto. Nel canale farmaceutico, l’Intelligenza Artificiale interviene attraverso il supporto alla revisione prescrittiva e l’identificazione dei trattamenti cronici inappropriati: i sistemi di analisi dei profili prescrittivi possono segnalare al medico le terapie con benzodiazepine protratte oltre i termini raccomandati e i pazienti candidati alla </w:t>
      </w:r>
      <w:proofErr w:type="spellStart"/>
      <w:r>
        <w:t>deprescrizione</w:t>
      </w:r>
      <w:proofErr w:type="spellEnd"/>
      <w:r>
        <w:t>, rendendo più sistematica e tempestiva la revisione che il meccanismo farmaceutico richiede. Il contributo è qui di supporto all’appropriatezza, e la quota di risparmio che ne deriva è interna al canale farmaceutico.</w:t>
      </w:r>
    </w:p>
    <w:p w14:paraId="1BCCA0A2" w14:textId="77777777" w:rsidR="007C4598" w:rsidRDefault="007C4598"/>
    <w:p w14:paraId="143B1D41" w14:textId="77777777" w:rsidR="007C4598" w:rsidRDefault="00000000">
      <w:pPr>
        <w:jc w:val="both"/>
      </w:pPr>
      <w:r>
        <w:t xml:space="preserve">Nel canale del pronto soccorso e dei ricoveri, l’Intelligenza Artificiale interviene attraverso la stratificazione del rischio e l’identificazione precoce dei pazienti a maggiore probabilità di accesso improprio o di </w:t>
      </w:r>
      <w:proofErr w:type="spellStart"/>
      <w:r>
        <w:t>ri</w:t>
      </w:r>
      <w:proofErr w:type="spellEnd"/>
      <w:r>
        <w:t xml:space="preserve">-ricovero: i modelli predittivi applicati ai dati delle cure primarie possono individuare i pazienti il cui profilo segnala un rischio elevato di percorrere la via dell’urgenza o di ritornare in reparto dopo la dimissione, consentendo di concentrare su di essi l’intercettazione preventiva. Nel canale della mobilità passiva, l’Intelligenza Artificiale interviene principalmente attraverso la </w:t>
      </w:r>
      <w:proofErr w:type="spellStart"/>
      <w:r>
        <w:t>telepsicologia</w:t>
      </w:r>
      <w:proofErr w:type="spellEnd"/>
      <w:r>
        <w:t xml:space="preserve"> e il monitoraggio remoto, che riducono la necessità dello spostamento fisico: la possibilità di erogare a distanza una parte della presa in carico e del monitoraggio accresce la capacità di ritenzione territoriale, trattenendo in regione una quota della domanda che la distanza spingerebbe altrove. Nel canale specialistico e diagnostico, infine, l’Intelligenza Artificiale interviene attraverso il supporto alla decisione diagnostica del medico di medicina generale, che aiuta a riconoscere la matrice psichica del sintomo e a distinguere la domanda indotta da quella appropriata, potenziando il meccanismo della sostituzione diagnostica. A queste funzioni canale per canale si aggiungono gli strumenti trasversali — le terapie digitali e la terapia cognitivo-comportamentale erogata via internet — che, ampliando la capacità di presa in carico del primo livello, potenziano l’intercettazione su cui tutti i canali si fondano.</w:t>
      </w:r>
      <w:r>
        <w:rPr>
          <w:color w:val="555555"/>
          <w:sz w:val="16"/>
          <w:szCs w:val="16"/>
          <w:vertAlign w:val="superscript"/>
        </w:rPr>
        <w:t>[31]</w:t>
      </w:r>
      <w:r>
        <w:t xml:space="preserve"> </w:t>
      </w:r>
      <w:r>
        <w:rPr>
          <w:color w:val="555555"/>
          <w:sz w:val="16"/>
          <w:szCs w:val="16"/>
          <w:vertAlign w:val="superscript"/>
        </w:rPr>
        <w:t>[32]</w:t>
      </w:r>
    </w:p>
    <w:p w14:paraId="3ADDF525" w14:textId="77777777" w:rsidR="007C4598" w:rsidRDefault="007C4598"/>
    <w:p w14:paraId="70125E8F" w14:textId="77777777" w:rsidR="007C4598" w:rsidRDefault="00000000">
      <w:pPr>
        <w:pStyle w:val="Titolo2"/>
        <w:spacing w:before="200" w:after="100"/>
      </w:pPr>
      <w:r>
        <w:rPr>
          <w:sz w:val="22"/>
          <w:szCs w:val="22"/>
        </w:rPr>
        <w:t>8.5.3  La quantificazione della quota incrementale isolata per canale</w:t>
      </w:r>
    </w:p>
    <w:p w14:paraId="0BC29727" w14:textId="77777777" w:rsidR="007C4598" w:rsidRDefault="007C4598"/>
    <w:p w14:paraId="432D68BE" w14:textId="77777777" w:rsidR="007C4598" w:rsidRDefault="00000000">
      <w:pPr>
        <w:jc w:val="both"/>
      </w:pPr>
      <w:r>
        <w:t>La quantificazione del contributo dell’Intelligenza Artificiale procede isolando, all’interno del risparmio già stimato per ciascun canale, la quota attribuibile alle funzioni digitali descritte. Questa quota è stimata, con la massima prudenza imposta dalla qualità emergente dell’evidenza, in un ordine di grandezza dell’ordine di un decimo del risparmio di ciascun canale, con variazioni tra i canali che riflettono il diverso peso della leva digitale in ciascuno di essi. La stima è deliberatamente cauta, perché l’evidenza sull’effetto incrementale degli strumenti digitali sul risparmio sanitario diretto, distinto dall’effetto dell’intervento clinico che essi supportano, è ancora limitata e di qualità bassa, e impone di non sopravvalutare un contributo che la letteratura non consente ancora di misurare con precisione. La tabella che segue isola la quota attribuibile all’Intelligenza Artificiale per ciascun canale e per ciascuno scenario, ribadendo che tale quota è interna al risparmio dei canali e non vi si aggiunge.</w:t>
      </w:r>
    </w:p>
    <w:p w14:paraId="401815FE"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64A622AF"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7108A5C" w14:textId="77777777" w:rsidR="007C4598" w:rsidRDefault="00000000">
            <w:pPr>
              <w:spacing w:after="40"/>
            </w:pPr>
            <w:r>
              <w:rPr>
                <w:b/>
                <w:bCs/>
                <w:color w:val="FFFFFF"/>
                <w:sz w:val="18"/>
                <w:szCs w:val="18"/>
              </w:rPr>
              <w:t>Quota incrementale attribuibile all’IA, isolata (mln €/anno)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098EA80" w14:textId="77777777" w:rsidR="007C4598" w:rsidRDefault="00000000">
            <w:pPr>
              <w:spacing w:after="40"/>
            </w:pPr>
            <w:r>
              <w:rPr>
                <w:b/>
                <w:bCs/>
                <w:color w:val="FFFFFF"/>
                <w:sz w:val="18"/>
                <w:szCs w:val="18"/>
              </w:rPr>
              <w:t>Conservativo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5690CBD" w14:textId="77777777" w:rsidR="007C4598" w:rsidRDefault="00000000">
            <w:pPr>
              <w:spacing w:after="40"/>
            </w:pPr>
            <w:r>
              <w:rPr>
                <w:b/>
                <w:bCs/>
                <w:color w:val="FFFFFF"/>
                <w:sz w:val="18"/>
                <w:szCs w:val="18"/>
              </w:rPr>
              <w:t>Intermedio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A1A7923" w14:textId="77777777" w:rsidR="007C4598" w:rsidRDefault="00000000">
            <w:pPr>
              <w:spacing w:after="40"/>
            </w:pPr>
            <w:r>
              <w:rPr>
                <w:b/>
                <w:bCs/>
                <w:color w:val="FFFFFF"/>
                <w:sz w:val="18"/>
                <w:szCs w:val="18"/>
              </w:rPr>
              <w:t>Espansivo</w:t>
            </w:r>
          </w:p>
        </w:tc>
      </w:tr>
      <w:tr w:rsidR="007C4598" w14:paraId="08D55474"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48D6DDD" w14:textId="77777777" w:rsidR="007C4598" w:rsidRDefault="00000000">
            <w:pPr>
              <w:spacing w:after="40"/>
            </w:pPr>
            <w:r>
              <w:t>Entro il canale farmaceutico (supporto alla revisione prescrittiva)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0BC8C67" w14:textId="77777777" w:rsidR="007C4598" w:rsidRDefault="00000000">
            <w:pPr>
              <w:spacing w:after="40"/>
            </w:pPr>
            <w:r>
              <w:t>~0,3</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C633271" w14:textId="77777777" w:rsidR="007C4598" w:rsidRDefault="00000000">
            <w:pPr>
              <w:spacing w:after="40"/>
            </w:pPr>
            <w:r>
              <w:t>~0,4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4930FE3" w14:textId="77777777" w:rsidR="007C4598" w:rsidRDefault="00000000">
            <w:pPr>
              <w:spacing w:after="40"/>
            </w:pPr>
            <w:r>
              <w:t>~0,6</w:t>
            </w:r>
          </w:p>
        </w:tc>
      </w:tr>
      <w:tr w:rsidR="007C4598" w14:paraId="129EE62E"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B15A993" w14:textId="77777777" w:rsidR="007C4598" w:rsidRDefault="00000000">
            <w:pPr>
              <w:spacing w:after="40"/>
            </w:pPr>
            <w:r>
              <w:t>Entro il canale pronto soccorso e ricoveri (stratificazione del rischio)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9175887" w14:textId="77777777" w:rsidR="007C4598" w:rsidRDefault="00000000">
            <w:pPr>
              <w:spacing w:after="40"/>
            </w:pPr>
            <w:r>
              <w:t>~0,9</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FABEAB7" w14:textId="77777777" w:rsidR="007C4598" w:rsidRDefault="00000000">
            <w:pPr>
              <w:spacing w:after="40"/>
            </w:pPr>
            <w:r>
              <w:t>~1,6</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15846BF" w14:textId="77777777" w:rsidR="007C4598" w:rsidRDefault="00000000">
            <w:pPr>
              <w:spacing w:after="40"/>
            </w:pPr>
            <w:r>
              <w:t>~2,3</w:t>
            </w:r>
          </w:p>
        </w:tc>
      </w:tr>
      <w:tr w:rsidR="007C4598" w14:paraId="28615EE7"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4F12F8D" w14:textId="77777777" w:rsidR="007C4598" w:rsidRDefault="00000000">
            <w:pPr>
              <w:spacing w:after="40"/>
            </w:pPr>
            <w:r>
              <w:t>Entro il canale mobilità passiva (</w:t>
            </w:r>
            <w:proofErr w:type="spellStart"/>
            <w:r>
              <w:t>telepsicologia</w:t>
            </w:r>
            <w:proofErr w:type="spellEnd"/>
            <w:r>
              <w:t>, monitoraggio remoto)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3BA20F1" w14:textId="77777777" w:rsidR="007C4598" w:rsidRDefault="00000000">
            <w:pPr>
              <w:spacing w:after="40"/>
            </w:pPr>
            <w:r>
              <w:t>~0,5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68EACF7" w14:textId="77777777" w:rsidR="007C4598" w:rsidRDefault="00000000">
            <w:pPr>
              <w:spacing w:after="40"/>
            </w:pPr>
            <w:r>
              <w:t>~0,8</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A8E83C1" w14:textId="77777777" w:rsidR="007C4598" w:rsidRDefault="00000000">
            <w:pPr>
              <w:spacing w:after="40"/>
            </w:pPr>
            <w:r>
              <w:t>~1,2</w:t>
            </w:r>
          </w:p>
        </w:tc>
      </w:tr>
      <w:tr w:rsidR="007C4598" w14:paraId="3BFCFE77"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A828AF3" w14:textId="77777777" w:rsidR="007C4598" w:rsidRDefault="00000000">
            <w:pPr>
              <w:spacing w:after="40"/>
            </w:pPr>
            <w:r>
              <w:t>Entro il canale specialistico (supporto alla decisione diagnostica)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D196D9C" w14:textId="77777777" w:rsidR="007C4598" w:rsidRDefault="00000000">
            <w:pPr>
              <w:spacing w:after="40"/>
            </w:pPr>
            <w:r>
              <w:t>~0,3</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38ED1A4" w14:textId="77777777" w:rsidR="007C4598" w:rsidRDefault="00000000">
            <w:pPr>
              <w:spacing w:after="40"/>
            </w:pPr>
            <w:r>
              <w:t>~0,6</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90D3D7E" w14:textId="77777777" w:rsidR="007C4598" w:rsidRDefault="00000000">
            <w:pPr>
              <w:spacing w:after="40"/>
            </w:pPr>
            <w:r>
              <w:t>~0,9</w:t>
            </w:r>
          </w:p>
        </w:tc>
      </w:tr>
      <w:tr w:rsidR="007C4598" w14:paraId="6FE51112"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3BAE016" w14:textId="77777777" w:rsidR="007C4598" w:rsidRDefault="00000000">
            <w:pPr>
              <w:spacing w:after="40"/>
            </w:pPr>
            <w:r>
              <w:t>Quota IA complessiva — già inclusa nei canali, non additiva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333A96C" w14:textId="77777777" w:rsidR="007C4598" w:rsidRDefault="00000000">
            <w:pPr>
              <w:spacing w:after="40"/>
            </w:pPr>
            <w:r>
              <w:t>~2,0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FF7709F" w14:textId="77777777" w:rsidR="007C4598" w:rsidRDefault="00000000">
            <w:pPr>
              <w:spacing w:after="40"/>
            </w:pPr>
            <w:r>
              <w:t>~3,4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2A85C2D" w14:textId="77777777" w:rsidR="007C4598" w:rsidRDefault="00000000">
            <w:pPr>
              <w:spacing w:after="40"/>
            </w:pPr>
            <w:r>
              <w:t>~5,0</w:t>
            </w:r>
          </w:p>
        </w:tc>
      </w:tr>
    </w:tbl>
    <w:p w14:paraId="41CCE0DE" w14:textId="77777777" w:rsidR="007C4598" w:rsidRDefault="007C4598"/>
    <w:p w14:paraId="6BDB6BC1" w14:textId="77777777" w:rsidR="007C4598" w:rsidRDefault="00000000">
      <w:pPr>
        <w:jc w:val="both"/>
      </w:pPr>
      <w:r>
        <w:rPr>
          <w:i/>
          <w:iCs/>
        </w:rPr>
        <w:t>Tabella 8.9 — Isolamento della quota incrementale attribuibile all’Intelligenza Artificiale, per canale e per scenario. Le cifre sono bande prudenziali arrotondate e rappresentano una quota interna al risparmio di ciascun canale, già conteggiata nelle tabelle precedenti; esse non vanno in alcun caso sommate all’aggregato dei quattro canali. La quota complessiva è dell’ordine di un decimo del risparmio diretto totale.</w:t>
      </w:r>
    </w:p>
    <w:p w14:paraId="5BC1B369" w14:textId="77777777" w:rsidR="007C4598" w:rsidRDefault="007C4598"/>
    <w:p w14:paraId="310CBD5B" w14:textId="77777777" w:rsidR="007C4598" w:rsidRDefault="00000000">
      <w:pPr>
        <w:jc w:val="both"/>
      </w:pPr>
      <w:r>
        <w:t>La lettura corretta della tabella richiede di insistere, una volta ancora, sulla sua natura non additiva. Le cifre ivi riportate non costituiscono un quinto addendo da sommare ai quattro canali, ma una scomposizione interna che mostra quanta parte del risparmio già stimato dipende dal potenziamento digitale dei meccanismi. La quota complessiva attribuibile all’Intelligenza Artificiale — dell’ordine di due milioni nello scenario conservativo, di tre milioni e mezzo in quello intermedio e di cinque milioni in quello espansivo — è dunque interamente contenuta nell’aggregato di venti, trentaquattro e cinquanta milioni che la voce conclusiva ricomporrà, e ne rappresenta la frazione attribuibile alla leva digitale. Sommarla all’aggregato significherebbe contare due volte il medesimo risparmio, in violazione del vincolo invariante che governa l’intera parte. La quantificazione separata serve a rispondere a una domanda legittima del decisore — quanta parte del risparmio dipende dall’investimento tecnologico — non a gonfiare il risparmio complessivo.</w:t>
      </w:r>
    </w:p>
    <w:p w14:paraId="50C90959" w14:textId="77777777" w:rsidR="007C4598" w:rsidRDefault="007C4598"/>
    <w:p w14:paraId="4B788B80" w14:textId="77777777" w:rsidR="007C4598" w:rsidRDefault="00000000">
      <w:pPr>
        <w:pStyle w:val="Titolo2"/>
        <w:spacing w:before="200" w:after="100"/>
      </w:pPr>
      <w:r>
        <w:rPr>
          <w:sz w:val="22"/>
          <w:szCs w:val="22"/>
        </w:rPr>
        <w:t xml:space="preserve">8.5.4  La graduazione dell’evidenza digitale, la </w:t>
      </w:r>
      <w:proofErr w:type="spellStart"/>
      <w:r>
        <w:rPr>
          <w:sz w:val="22"/>
          <w:szCs w:val="22"/>
        </w:rPr>
        <w:t>governance</w:t>
      </w:r>
      <w:proofErr w:type="spellEnd"/>
      <w:r>
        <w:rPr>
          <w:sz w:val="22"/>
          <w:szCs w:val="22"/>
        </w:rPr>
        <w:t xml:space="preserve"> prudenziale e i confini</w:t>
      </w:r>
    </w:p>
    <w:p w14:paraId="6A8C841D" w14:textId="77777777" w:rsidR="007C4598" w:rsidRDefault="007C4598"/>
    <w:p w14:paraId="2BB54BD7" w14:textId="77777777" w:rsidR="007C4598" w:rsidRDefault="00000000">
      <w:pPr>
        <w:jc w:val="both"/>
      </w:pPr>
      <w:r>
        <w:t>La graduazione dell’evidenza a sostegno del contributo dell’Intelligenza Artificiale segue il principio di simmetria stabilito nella prima parte: all’evidenza digitale è applicato il medesimo rigore applicato all’evidenza clinica, senza l’indulgenza che spesso accompagna le tecnologie emergenti. Su questa base, l’evidenza sull’efficacia clinica di alcuni strumenti digitali — segnatamente la terapia cognitivo-comportamentale erogata via internet per i disturbi d’ansia e depressivi — è di qualità da moderata a buona, sostenuta da un corpo di studi controllati ormai consistente. L’evidenza sull’efficacia dei modelli predittivi e di stratificazione del rischio applicati alle cure primarie è invece di qualità più bassa e di natura emergente, derivata da studi prevalentemente osservazionali e di validazione, non ancora da valutazioni d’impatto robuste. E l’evidenza sull’effetto incrementale specifico di questi strumenti sul risparmio sanitario diretto — distinto dall’effetto clinico dell’intervento che essi supportano — è di qualità bassa, perché gli studi che isolano tale effetto sono ancora pochi.</w:t>
      </w:r>
      <w:r>
        <w:rPr>
          <w:color w:val="555555"/>
          <w:sz w:val="16"/>
          <w:szCs w:val="16"/>
          <w:vertAlign w:val="superscript"/>
        </w:rPr>
        <w:t>[33]</w:t>
      </w:r>
      <w:r>
        <w:t xml:space="preserve"> </w:t>
      </w:r>
      <w:r>
        <w:rPr>
          <w:color w:val="555555"/>
          <w:sz w:val="16"/>
          <w:szCs w:val="16"/>
          <w:vertAlign w:val="superscript"/>
        </w:rPr>
        <w:t>[34]</w:t>
      </w:r>
      <w:r>
        <w:t xml:space="preserve"> La graduazione complessiva del contributo dell’Intelligenza Artificiale ai risparmi diretti è, di conseguenza, bassa, e impone le bande prudenziali e la cautela che la stima ha adottato.</w:t>
      </w:r>
    </w:p>
    <w:p w14:paraId="652B41E2" w14:textId="77777777" w:rsidR="007C4598" w:rsidRDefault="007C4598"/>
    <w:p w14:paraId="478B5F95" w14:textId="77777777" w:rsidR="007C4598" w:rsidRDefault="00000000">
      <w:pPr>
        <w:jc w:val="both"/>
      </w:pPr>
      <w:r>
        <w:t xml:space="preserve">A questa graduazione si accompagna la cornice di </w:t>
      </w:r>
      <w:proofErr w:type="spellStart"/>
      <w:r>
        <w:t>governance</w:t>
      </w:r>
      <w:proofErr w:type="spellEnd"/>
      <w:r>
        <w:t xml:space="preserve"> prudenziale che la quarta e la tredicesima parte definiscono, e che condiziona la realizzabilità del contributo stimato. L’impiego dell’Intelligenza Artificiale lungo i canali è subordinato alla supervisione umana, alla protezione dei dati, all’equità di accesso e alla responsabilità professionale: il sistema di supporto alla decisione assiste il clinico, non lo sostituisce; il modello predittivo orienta l’attenzione, non determina la presa in carico; lo strumento digitale amplia l’accesso, ma non deve generare nuove diseguaglianze a danno di chi non dispone delle competenze o degli strumenti per utilizzarlo.</w:t>
      </w:r>
      <w:r>
        <w:rPr>
          <w:color w:val="555555"/>
          <w:sz w:val="16"/>
          <w:szCs w:val="16"/>
          <w:vertAlign w:val="superscript"/>
        </w:rPr>
        <w:t>[35]</w:t>
      </w:r>
      <w:r>
        <w:t xml:space="preserve"> Il rispetto di questa cornice è condizione non solo etica e giuridica, ma anche economica, perché un impiego dell’Intelligenza Artificiale che ne violasse i principi genererebbe costi — di rimedio, di contenzioso, di perdita di fiducia — che eroderebbero il risparmio stimato. La quota incrementale attribuita alla leva digitale presuppone, dunque, un impiego conforme alla </w:t>
      </w:r>
      <w:proofErr w:type="spellStart"/>
      <w:r>
        <w:t>governance</w:t>
      </w:r>
      <w:proofErr w:type="spellEnd"/>
      <w:r>
        <w:t xml:space="preserve"> prudenziale, e non un impiego qualsiasi.</w:t>
      </w:r>
    </w:p>
    <w:p w14:paraId="48DEA0DC" w14:textId="77777777" w:rsidR="007C4598" w:rsidRDefault="007C4598"/>
    <w:p w14:paraId="1FCDE793" w14:textId="77777777" w:rsidR="007C4598" w:rsidRDefault="00000000">
      <w:pPr>
        <w:jc w:val="both"/>
      </w:pPr>
      <w:r>
        <w:t>Da queste considerazioni discendono i confini della stima del contributo digitale, che conviene dichiarare esplicitamente. In primo luogo, la quota attribuita all’Intelligenza Artificiale è interna ai canali e non additiva, e non è in alcun punto sommata all’aggregato dei quattro canali: è questa la conseguenza più stringente della regola di non duplicazione, ed è la ragione per cui questa voce, sola tra le voci dei canali, non incrementa il totale. In secondo luogo, la quota è stimata con prudenza accentuata, in ragione della qualità bassa dell’evidenza sull’effetto incrementale specifico, e il suo valore è destinato a essere precisato — in aumento o in diminuzione — dall’evidenza futura e dalla valutazione ex-post che la quindicesima parte prevede. In terzo luogo, il costo della leva digitale e dell’Intelligenza Artificiale non è contabilizzato in questa parte, che tratta i soli risparmi, ma nella settima, che ne ha stimato il costo incrementale: il saldo tra il costo della leva digitale e la quota di risparmio che essa genera è ricomposto nella voce conclusiva e nella decima parte, e costituisce uno degli elementi della valutazione del valore della componente tecnologica del servizio. Isolata la quota attribuibile all’Intelligenza Artificiale e dichiarata la sua natura non additiva, la rinegoziazione dispone ora di tutti gli elementi per ricomporre l’aggregato del risparmio diretto e confrontarlo con i costi: è il compito della voce conclusiva, che la prossima tranche svilupperà.</w:t>
      </w:r>
      <w:r>
        <w:rPr>
          <w:color w:val="555555"/>
          <w:sz w:val="16"/>
          <w:szCs w:val="16"/>
          <w:vertAlign w:val="superscript"/>
        </w:rPr>
        <w:t>[36]</w:t>
      </w:r>
    </w:p>
    <w:p w14:paraId="3939A91A"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6BC66F41"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41914D9" w14:textId="77777777" w:rsidR="007C4598" w:rsidRDefault="00000000">
            <w:pPr>
              <w:spacing w:after="40"/>
            </w:pPr>
            <w:r>
              <w:rPr>
                <w:b/>
                <w:bCs/>
                <w:color w:val="FFFFFF"/>
                <w:sz w:val="18"/>
                <w:szCs w:val="18"/>
              </w:rPr>
              <w:t xml:space="preserve">◆ SEGNAPOSTO INFOGRAFICA — FIG. 8.E · DA INSERIRE A POSTERIORI Titolo previsto: Il contributo dell’Intelligenza Artificiale: quota incrementale isolata per canale, non additiva — Puglia CODICE CANVA-FRIENDLY (scheda di generazione) Tipo di grafico: diagramma a barre orizzontali per i quattro canali (scenario intermedio come riferimento), in cui ciascuna barra rappresenta il risparmio totale del canale e una porzione evidenziata, internamente, rappresenta la quota attribuibile all’Intelligenza Artificiale; nota grafica esplicita che la porzione evidenziata è interna alla barra e non si somma. Lettura: per ciascuno dei quattro canali, la barra mostra il risparmio totale (farmaceutico 4; pronto soccorso e ricoveri 16; mobilità 8; specialistico 6) e, al suo interno, la quota IA isolata (0,4; 1,6; 0,8; 0,6); la rappresentazione interna, e non affiancata, comunica visivamente la natura non additiva della quota. Palette: risparmio del canale in blu </w:t>
            </w:r>
            <w:proofErr w:type="spellStart"/>
            <w:r>
              <w:rPr>
                <w:b/>
                <w:bCs/>
                <w:color w:val="FFFFFF"/>
                <w:sz w:val="18"/>
                <w:szCs w:val="18"/>
              </w:rPr>
              <w:t>navy</w:t>
            </w:r>
            <w:proofErr w:type="spellEnd"/>
            <w:r>
              <w:rPr>
                <w:b/>
                <w:bCs/>
                <w:color w:val="FFFFFF"/>
                <w:sz w:val="18"/>
                <w:szCs w:val="18"/>
              </w:rPr>
              <w:t xml:space="preserve"> #16264B; quota IA isolata, interna alla barra, in oro #C49A48; nota di non additività in blu #2E5AA0; griglia in grigio #D8D8D8.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etichette dei canali </w:t>
            </w:r>
            <w:proofErr w:type="spellStart"/>
            <w:r>
              <w:rPr>
                <w:b/>
                <w:bCs/>
                <w:color w:val="FFFFFF"/>
                <w:sz w:val="18"/>
                <w:szCs w:val="18"/>
              </w:rPr>
              <w:t>Bold</w:t>
            </w:r>
            <w:proofErr w:type="spellEnd"/>
            <w:r>
              <w:rPr>
                <w:b/>
                <w:bCs/>
                <w:color w:val="FFFFFF"/>
                <w:sz w:val="18"/>
                <w:szCs w:val="18"/>
              </w:rPr>
              <w:t xml:space="preserve">, valori Medium, nota di non additività Regular corsivo.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xml:space="preserve">. Valori da rappresentare (scenario intermedio): Farmaceutico — totale 4,0, di cui IA ~0,4. Pronto soccorso e ricoveri — totale 16,0, di cui IA ~1,6. Mobilità — totale 8,0, di cui IA ~0,8. Specialistico — totale 6,0, di cui IA ~0,6. Quota IA complessiva ~3,4, interna all’aggregato di 34. Variante 3D (consigliata): barre a rilievo isometrico in cui la quota IA è resa come strato superficiale dorato sovrapposto al volume </w:t>
            </w:r>
            <w:proofErr w:type="spellStart"/>
            <w:r>
              <w:rPr>
                <w:b/>
                <w:bCs/>
                <w:color w:val="FFFFFF"/>
                <w:sz w:val="18"/>
                <w:szCs w:val="18"/>
              </w:rPr>
              <w:t>navy</w:t>
            </w:r>
            <w:proofErr w:type="spellEnd"/>
            <w:r>
              <w:rPr>
                <w:b/>
                <w:bCs/>
                <w:color w:val="FFFFFF"/>
                <w:sz w:val="18"/>
                <w:szCs w:val="18"/>
              </w:rPr>
              <w:t xml:space="preserve"> del canale, a comunicare l’appartenenza e non l’addizione. Fonte (piè di figura): Elaborazione dello studio; evidenza sulla terapia cognitivo-comportamentale via internet e sui modelli predittivi in cure primarie; graduazione GRADE simmetrica dell’evidenza digitale. La figura deve comunicare, con la massima chiarezza visiva, che la quota attribuibile all’Intelligenza Artificiale è interna al risparmio di ciascun canale e non si somma all’aggregato: l’oro è uno strato del </w:t>
            </w:r>
            <w:proofErr w:type="spellStart"/>
            <w:r>
              <w:rPr>
                <w:b/>
                <w:bCs/>
                <w:color w:val="FFFFFF"/>
                <w:sz w:val="18"/>
                <w:szCs w:val="18"/>
              </w:rPr>
              <w:t>navy</w:t>
            </w:r>
            <w:proofErr w:type="spellEnd"/>
            <w:r>
              <w:rPr>
                <w:b/>
                <w:bCs/>
                <w:color w:val="FFFFFF"/>
                <w:sz w:val="18"/>
                <w:szCs w:val="18"/>
              </w:rPr>
              <w:t>, non una barra accanto ad esso.</w:t>
            </w:r>
          </w:p>
          <w:p w14:paraId="0141B0D6" w14:textId="77777777" w:rsidR="007C4598" w:rsidRDefault="00000000">
            <w:pPr>
              <w:spacing w:before="120" w:after="60"/>
              <w:jc w:val="center"/>
            </w:pPr>
            <w:r>
              <w:rPr>
                <w:noProof/>
              </w:rPr>
              <w:drawing>
                <wp:inline distT="0" distB="0" distL="0" distR="0" wp14:anchorId="5479E6DD" wp14:editId="639A872C">
                  <wp:extent cx="8229600" cy="4629150"/>
                  <wp:effectExtent l="0" t="0" r="0" b="0"/>
                  <wp:docPr id="137" name="Infografica37" descr="Il contributo dell'IA: quota incrementale isolata per canale, non addi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Infografica37"/>
                          <pic:cNvPicPr>
                            <a:picLocks noChangeAspect="1" noChangeArrowheads="1"/>
                          </pic:cNvPicPr>
                        </pic:nvPicPr>
                        <pic:blipFill>
                          <a:blip r:embed="rId63">
                            <a:extLst>
                              <a:ext uri="{96DAC541-7B7A-43D3-8B79-37D633B846F1}">
                                <asvg:svgBlip xmlns:asvg="http://schemas.microsoft.com/office/drawing/2016/SVG/main" r:embed="rId64"/>
                              </a:ext>
                            </a:extLst>
                          </a:blip>
                          <a:stretch>
                            <a:fillRect/>
                          </a:stretch>
                        </pic:blipFill>
                        <pic:spPr bwMode="auto">
                          <a:xfrm>
                            <a:off x="0" y="0"/>
                            <a:ext cx="8229600" cy="4629150"/>
                          </a:xfrm>
                          <a:prstGeom prst="rect">
                            <a:avLst/>
                          </a:prstGeom>
                          <a:noFill/>
                          <a:ln>
                            <a:noFill/>
                          </a:ln>
                        </pic:spPr>
                      </pic:pic>
                    </a:graphicData>
                  </a:graphic>
                </wp:inline>
              </w:drawing>
            </w:r>
          </w:p>
          <w:p w14:paraId="5029B9B7" w14:textId="77777777" w:rsidR="007C4598" w:rsidRDefault="00000000">
            <w:pPr>
              <w:spacing w:before="40" w:after="200"/>
              <w:jc w:val="center"/>
            </w:pPr>
            <w:r>
              <w:rPr>
                <w:i/>
                <w:color w:val="2E5A8F"/>
                <w:sz w:val="16"/>
                <w:szCs w:val="16"/>
              </w:rPr>
              <w:t>Fig. 8.E — Il contributo dell'IA: quota incrementale isolata per canale, non additiva. Elaborazione dello studio · Luigi De Michele · Giugno 2026.</w:t>
            </w:r>
          </w:p>
        </w:tc>
      </w:tr>
    </w:tbl>
    <w:p w14:paraId="36A70ABF" w14:textId="77777777" w:rsidR="007C4598" w:rsidRDefault="007C4598"/>
    <w:p w14:paraId="41541E13" w14:textId="77777777" w:rsidR="007C4598" w:rsidRDefault="00000000">
      <w:pPr>
        <w:pStyle w:val="Titolo1"/>
        <w:pageBreakBefore/>
      </w:pPr>
      <w:r>
        <w:rPr>
          <w:sz w:val="22"/>
          <w:szCs w:val="22"/>
        </w:rPr>
        <w:t>8.6  Il risparmio diretto complessivo per scenario</w:t>
      </w:r>
    </w:p>
    <w:p w14:paraId="53128CD4" w14:textId="77777777" w:rsidR="007C4598" w:rsidRDefault="007C4598"/>
    <w:p w14:paraId="09B17743" w14:textId="77777777" w:rsidR="007C4598" w:rsidRDefault="00000000">
      <w:pPr>
        <w:jc w:val="both"/>
      </w:pPr>
      <w:r>
        <w:rPr>
          <w:i/>
          <w:iCs/>
        </w:rPr>
        <w:t>La voce conclusiva della parte ricompone in un quadro unitario i risultati dei quattro canali, ne restituisce l’aggregato per ciascuno scenario di copertura e lo confronta con i costi diretti del servizio stimati nella settima parte, traendone il saldo che costituisce la sintesi quantitativa della rinegoziazione dei risparmi diretti. Essa procede in quattro passaggi: ricompone l’aggregato dei quattro canali nella tabella di riconciliazione che ne mostra la somma; confronta tale aggregato con i costi diretti e ne deriva il saldo per scenario; interpreta il saldo nella sua corretta proporzione, mostrando perché la sua prossimità al pareggio non indebolisca la proposta ma ne sposti la giustificazione sul terreno delle ricadute sociali; e ne descrive la traiettoria temporale, individuando l’esercizio in cui il flusso dei risparmi raggiunge quello dei costi. Con essa la parte ottava chiude la propria rinegoziazione fiscale e consegna alla nona e alla decima parte il compito di completare il quadro economico con le grandezze sociali.</w:t>
      </w:r>
    </w:p>
    <w:p w14:paraId="7838FB6F" w14:textId="77777777" w:rsidR="007C4598" w:rsidRDefault="007C4598"/>
    <w:p w14:paraId="3D12D712" w14:textId="77777777" w:rsidR="007C4598" w:rsidRDefault="00000000">
      <w:pPr>
        <w:pStyle w:val="Titolo2"/>
        <w:spacing w:before="200" w:after="100"/>
      </w:pPr>
      <w:r>
        <w:rPr>
          <w:sz w:val="22"/>
          <w:szCs w:val="22"/>
        </w:rPr>
        <w:t>8.6.1  La ricomposizione dell’aggregato: la riconciliazione dei quattro canali</w:t>
      </w:r>
    </w:p>
    <w:p w14:paraId="16D1B039" w14:textId="77777777" w:rsidR="007C4598" w:rsidRDefault="007C4598"/>
    <w:p w14:paraId="056236A7" w14:textId="77777777" w:rsidR="007C4598" w:rsidRDefault="00000000">
      <w:pPr>
        <w:jc w:val="both"/>
      </w:pPr>
      <w:r>
        <w:t>La ricomposizione dell’aggregato del risparmio diretto consiste nel sommare i risparmi dei quattro canali stimati nelle voci precedenti, ciascuno entro la propria banda prudenziale e per ciascuno dei tre scenari di copertura. La somma è lecita e non incorre nella regola di non duplicazione, perché i quattro canali agiscono su grandezze distinte — la spesa farmaceutica, il costo dell’emergenza e della degenza, il saldo della mobilità, la spesa specialistica — e nessun euro è contato in più di un canale; la cautela aggiuntiva adottata nel quarto canale, che ne ha limitato la stima alla sola componente ambulatoriale non sovrapposta al pronto soccorso, garantisce l’assenza di sovrapposizioni tra il secondo e il quarto canale. La quota attribuibile all’Intelligenza Artificiale, isolata nella voce precedente, non entra nella somma come addendo autonomo, perché è interna ai canali e già conteggiata in essi. La tabella che segue ricompone l’aggregato, mostrando il contributo di ciascun canale e la loro somma per scenario.</w:t>
      </w:r>
    </w:p>
    <w:p w14:paraId="23D76422"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3E838C4A"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929406C" w14:textId="77777777" w:rsidR="007C4598" w:rsidRDefault="00000000">
            <w:pPr>
              <w:spacing w:after="40"/>
            </w:pPr>
            <w:r>
              <w:rPr>
                <w:b/>
                <w:bCs/>
                <w:color w:val="FFFFFF"/>
                <w:sz w:val="18"/>
                <w:szCs w:val="18"/>
              </w:rPr>
              <w:t>Canale del risparmio diretto (mln €/anno)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E99416E" w14:textId="77777777" w:rsidR="007C4598" w:rsidRDefault="00000000">
            <w:pPr>
              <w:spacing w:after="40"/>
            </w:pPr>
            <w:r>
              <w:rPr>
                <w:b/>
                <w:bCs/>
                <w:color w:val="FFFFFF"/>
                <w:sz w:val="18"/>
                <w:szCs w:val="18"/>
              </w:rPr>
              <w:t>Conservativo (~450)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86FFCC4" w14:textId="77777777" w:rsidR="007C4598" w:rsidRDefault="00000000">
            <w:pPr>
              <w:spacing w:after="40"/>
            </w:pPr>
            <w:r>
              <w:rPr>
                <w:b/>
                <w:bCs/>
                <w:color w:val="FFFFFF"/>
                <w:sz w:val="18"/>
                <w:szCs w:val="18"/>
              </w:rPr>
              <w:t>Intermedio (~700)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B40C2F2" w14:textId="77777777" w:rsidR="007C4598" w:rsidRDefault="00000000">
            <w:pPr>
              <w:spacing w:after="40"/>
            </w:pPr>
            <w:r>
              <w:rPr>
                <w:b/>
                <w:bCs/>
                <w:color w:val="FFFFFF"/>
                <w:sz w:val="18"/>
                <w:szCs w:val="18"/>
              </w:rPr>
              <w:t>Espansivo (~900)</w:t>
            </w:r>
          </w:p>
        </w:tc>
      </w:tr>
      <w:tr w:rsidR="007C4598" w14:paraId="41B131FF"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7A9CC92" w14:textId="77777777" w:rsidR="007C4598" w:rsidRDefault="00000000">
            <w:pPr>
              <w:spacing w:after="40"/>
            </w:pPr>
            <w:r>
              <w:t>8.1 · Canale farmaceutico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819E724" w14:textId="77777777" w:rsidR="007C4598" w:rsidRDefault="00000000">
            <w:pPr>
              <w:spacing w:after="40"/>
            </w:pPr>
            <w:r>
              <w:t>~3</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4C50B5A" w14:textId="77777777" w:rsidR="007C4598" w:rsidRDefault="00000000">
            <w:pPr>
              <w:spacing w:after="40"/>
            </w:pPr>
            <w:r>
              <w:t>~4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65122D0" w14:textId="77777777" w:rsidR="007C4598" w:rsidRDefault="00000000">
            <w:pPr>
              <w:spacing w:after="40"/>
            </w:pPr>
            <w:r>
              <w:t>~6</w:t>
            </w:r>
          </w:p>
        </w:tc>
      </w:tr>
      <w:tr w:rsidR="007C4598" w14:paraId="0D908A0F"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5D7D276" w14:textId="77777777" w:rsidR="007C4598" w:rsidRDefault="00000000">
            <w:pPr>
              <w:spacing w:after="40"/>
            </w:pPr>
            <w:r>
              <w:t>8.2 · Canale pronto soccorso e ricoveri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3B1D602" w14:textId="77777777" w:rsidR="007C4598" w:rsidRDefault="00000000">
            <w:pPr>
              <w:spacing w:after="40"/>
            </w:pPr>
            <w:r>
              <w:t>~9</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86BB5BC" w14:textId="77777777" w:rsidR="007C4598" w:rsidRDefault="00000000">
            <w:pPr>
              <w:spacing w:after="40"/>
            </w:pPr>
            <w:r>
              <w:t>~16</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727D12D" w14:textId="77777777" w:rsidR="007C4598" w:rsidRDefault="00000000">
            <w:pPr>
              <w:spacing w:after="40"/>
            </w:pPr>
            <w:r>
              <w:t>~23</w:t>
            </w:r>
          </w:p>
        </w:tc>
      </w:tr>
      <w:tr w:rsidR="007C4598" w14:paraId="26905F3C"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D0D2BB3" w14:textId="77777777" w:rsidR="007C4598" w:rsidRDefault="00000000">
            <w:pPr>
              <w:spacing w:after="40"/>
            </w:pPr>
            <w:r>
              <w:t>8.3 · Canale mobilità sanitaria passiva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D527273" w14:textId="77777777" w:rsidR="007C4598" w:rsidRDefault="00000000">
            <w:pPr>
              <w:spacing w:after="40"/>
            </w:pPr>
            <w:r>
              <w:t>~5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EFDB2B7" w14:textId="77777777" w:rsidR="007C4598" w:rsidRDefault="00000000">
            <w:pPr>
              <w:spacing w:after="40"/>
            </w:pPr>
            <w:r>
              <w:t>~8</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5BE09F2" w14:textId="77777777" w:rsidR="007C4598" w:rsidRDefault="00000000">
            <w:pPr>
              <w:spacing w:after="40"/>
            </w:pPr>
            <w:r>
              <w:t>~12</w:t>
            </w:r>
          </w:p>
        </w:tc>
      </w:tr>
      <w:tr w:rsidR="007C4598" w14:paraId="6EF4D513"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BA23DDE" w14:textId="77777777" w:rsidR="007C4598" w:rsidRDefault="00000000">
            <w:pPr>
              <w:spacing w:after="40"/>
            </w:pPr>
            <w:r>
              <w:t>8.4 · Canale specialistico e diagnostico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A2C228C" w14:textId="77777777" w:rsidR="007C4598" w:rsidRDefault="00000000">
            <w:pPr>
              <w:spacing w:after="40"/>
            </w:pPr>
            <w:r>
              <w:t>~3</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A3637D7" w14:textId="77777777" w:rsidR="007C4598" w:rsidRDefault="00000000">
            <w:pPr>
              <w:spacing w:after="40"/>
            </w:pPr>
            <w:r>
              <w:t>~6</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D090AEC" w14:textId="77777777" w:rsidR="007C4598" w:rsidRDefault="00000000">
            <w:pPr>
              <w:spacing w:after="40"/>
            </w:pPr>
            <w:r>
              <w:t>~9</w:t>
            </w:r>
          </w:p>
        </w:tc>
      </w:tr>
      <w:tr w:rsidR="007C4598" w14:paraId="22C3A7B6"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19F35D5" w14:textId="77777777" w:rsidR="007C4598" w:rsidRDefault="00000000">
            <w:pPr>
              <w:spacing w:after="40"/>
            </w:pPr>
            <w:r>
              <w:t>Risparmio diretto complessivo per il Servizio sanitario regionale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3E116DB" w14:textId="77777777" w:rsidR="007C4598" w:rsidRDefault="00000000">
            <w:pPr>
              <w:spacing w:after="40"/>
            </w:pPr>
            <w:r>
              <w:t>~20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D36874E" w14:textId="77777777" w:rsidR="007C4598" w:rsidRDefault="00000000">
            <w:pPr>
              <w:spacing w:after="40"/>
            </w:pPr>
            <w:r>
              <w:t>~34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FF19A91" w14:textId="77777777" w:rsidR="007C4598" w:rsidRDefault="00000000">
            <w:pPr>
              <w:spacing w:after="40"/>
            </w:pPr>
            <w:r>
              <w:t>~50</w:t>
            </w:r>
          </w:p>
        </w:tc>
      </w:tr>
    </w:tbl>
    <w:p w14:paraId="4705AE55" w14:textId="77777777" w:rsidR="007C4598" w:rsidRDefault="007C4598"/>
    <w:p w14:paraId="3FFDDC14" w14:textId="77777777" w:rsidR="007C4598" w:rsidRDefault="00000000">
      <w:pPr>
        <w:jc w:val="both"/>
      </w:pPr>
      <w:r>
        <w:rPr>
          <w:i/>
          <w:iCs/>
        </w:rPr>
        <w:t>Tabella 8.10 — Riconciliazione dell’aggregato del risparmio diretto per scenario. Le cifre sono bande prudenziali arrotondate; l’ultima riga è la somma dei quattro canali. La quota attribuibile all’Intelligenza Artificiale, isolata nella tabella 8.9, è interna ai canali e non figura come addendo autonomo. L’aggregato è coerente con la valutazione economica del telaio integrato.</w:t>
      </w:r>
    </w:p>
    <w:p w14:paraId="08F0C602" w14:textId="77777777" w:rsidR="007C4598" w:rsidRDefault="007C4598"/>
    <w:p w14:paraId="17E8ECEE" w14:textId="77777777" w:rsidR="007C4598" w:rsidRDefault="00000000">
      <w:pPr>
        <w:jc w:val="both"/>
      </w:pPr>
      <w:r>
        <w:t xml:space="preserve">L’aggregato del risparmio diretto per il Servizio sanitario regionale pugliese è dunque dell’ordine di venti milioni di euro l’anno nello scenario conservativo, di trentaquattro milioni in quello intermedio e di cinquanta milioni in quello espansivo. La struttura interna dell’aggregato merita di essere osservata, perché ne rivela la composizione e ne fonda l’interpretazione. Il canale del pronto soccorso e dei ricoveri ne costituisce, in tutti gli scenari, la componente prevalente, in ragione dell’elevato costo unitario dei </w:t>
      </w:r>
      <w:proofErr w:type="spellStart"/>
      <w:r>
        <w:t>setting</w:t>
      </w:r>
      <w:proofErr w:type="spellEnd"/>
      <w:r>
        <w:t xml:space="preserve"> su cui agisce; il canale della mobilità passiva e quello specialistico ne costituiscono le componenti intermedie; il canale farmaceutico, pur fondato sui margini di appropriatezza più diffusi, ne costituisce la componente minore, in ragione del basso costo unitario della singola prescrizione. Questa composizione conferma un principio che attraversa l’intera rinegoziazione: il risparmio fiscale diretto si concentra là dove il costo unitario è elevato e la compressione di volume, anche modesta, vale molto, più che là dove i volumi sono ampi ma il costo unitario è contenuto.</w:t>
      </w:r>
    </w:p>
    <w:p w14:paraId="5DD634C2" w14:textId="77777777" w:rsidR="007C4598" w:rsidRDefault="007C4598"/>
    <w:p w14:paraId="7DB2EF8F" w14:textId="77777777" w:rsidR="007C4598" w:rsidRDefault="00000000">
      <w:pPr>
        <w:pStyle w:val="Titolo2"/>
        <w:spacing w:before="200" w:after="100"/>
      </w:pPr>
      <w:r>
        <w:rPr>
          <w:sz w:val="22"/>
          <w:szCs w:val="22"/>
        </w:rPr>
        <w:t>8.6.2  Il confronto con i costi diretti e il saldo per scenario</w:t>
      </w:r>
    </w:p>
    <w:p w14:paraId="549D2F2B" w14:textId="77777777" w:rsidR="007C4598" w:rsidRDefault="007C4598"/>
    <w:p w14:paraId="2D2765F4" w14:textId="77777777" w:rsidR="007C4598" w:rsidRDefault="00000000">
      <w:pPr>
        <w:jc w:val="both"/>
      </w:pPr>
      <w:r>
        <w:t>Ricomposto l’aggregato dei risparmi diretti, la valutazione fiscale si completa nel confronto con i costi diretti del servizio, che la settima parte ha stimato per ciascuno scenario di copertura. Tale confronto, condotto sulle medesime grandezze dirette e a parità di scenario, restituisce il saldo diretto sul bilancio sanitario regionale, ossia la differenza tra ciò che la riforma fa risparmiare e ciò che essa costa, sul solo terreno fiscale e prima di ogni considerazione delle ricadute sociali. La tabella che segue affianca le due grandezze e ne deriva il saldo.</w:t>
      </w:r>
      <w:r>
        <w:rPr>
          <w:color w:val="555555"/>
          <w:sz w:val="16"/>
          <w:szCs w:val="16"/>
          <w:vertAlign w:val="superscript"/>
        </w:rPr>
        <w:t>[37]</w:t>
      </w:r>
    </w:p>
    <w:p w14:paraId="5B7F199B"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40D43137"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6063297" w14:textId="77777777" w:rsidR="007C4598" w:rsidRDefault="00000000">
            <w:pPr>
              <w:spacing w:after="40"/>
            </w:pPr>
            <w:r>
              <w:rPr>
                <w:b/>
                <w:bCs/>
                <w:color w:val="FFFFFF"/>
                <w:sz w:val="18"/>
                <w:szCs w:val="18"/>
              </w:rPr>
              <w:t>Grandezza fiscale diretta (mln €/anno)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6CF982F" w14:textId="77777777" w:rsidR="007C4598" w:rsidRDefault="00000000">
            <w:pPr>
              <w:spacing w:after="40"/>
            </w:pPr>
            <w:r>
              <w:rPr>
                <w:b/>
                <w:bCs/>
                <w:color w:val="FFFFFF"/>
                <w:sz w:val="18"/>
                <w:szCs w:val="18"/>
              </w:rPr>
              <w:t>Conservativo (~450)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50E07F0" w14:textId="77777777" w:rsidR="007C4598" w:rsidRDefault="00000000">
            <w:pPr>
              <w:spacing w:after="40"/>
            </w:pPr>
            <w:r>
              <w:rPr>
                <w:b/>
                <w:bCs/>
                <w:color w:val="FFFFFF"/>
                <w:sz w:val="18"/>
                <w:szCs w:val="18"/>
              </w:rPr>
              <w:t>Intermedio (~700)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65332E5" w14:textId="77777777" w:rsidR="007C4598" w:rsidRDefault="00000000">
            <w:pPr>
              <w:spacing w:after="40"/>
            </w:pPr>
            <w:r>
              <w:rPr>
                <w:b/>
                <w:bCs/>
                <w:color w:val="FFFFFF"/>
                <w:sz w:val="18"/>
                <w:szCs w:val="18"/>
              </w:rPr>
              <w:t>Espansivo (~900)</w:t>
            </w:r>
          </w:p>
        </w:tc>
      </w:tr>
      <w:tr w:rsidR="007C4598" w14:paraId="74DFA021"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770E366" w14:textId="77777777" w:rsidR="007C4598" w:rsidRDefault="00000000">
            <w:pPr>
              <w:spacing w:after="40"/>
            </w:pPr>
            <w:r>
              <w:t>Risparmi diretti — aggregato dei quattro canali (voce 8.6)</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0D0806B" w14:textId="77777777" w:rsidR="007C4598" w:rsidRDefault="00000000">
            <w:pPr>
              <w:spacing w:after="40"/>
            </w:pPr>
            <w:r>
              <w:t>~20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9DB63D5" w14:textId="77777777" w:rsidR="007C4598" w:rsidRDefault="00000000">
            <w:pPr>
              <w:spacing w:after="40"/>
            </w:pPr>
            <w:r>
              <w:t>~34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091CFDA" w14:textId="77777777" w:rsidR="007C4598" w:rsidRDefault="00000000">
            <w:pPr>
              <w:spacing w:after="40"/>
            </w:pPr>
            <w:r>
              <w:t>~50</w:t>
            </w:r>
          </w:p>
        </w:tc>
      </w:tr>
      <w:tr w:rsidR="007C4598" w14:paraId="7BEC8134"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20F0C33" w14:textId="77777777" w:rsidR="007C4598" w:rsidRDefault="00000000">
            <w:pPr>
              <w:spacing w:after="40"/>
            </w:pPr>
            <w:r>
              <w:t>Costi diretti del servizio (settima parte)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653C948" w14:textId="77777777" w:rsidR="007C4598" w:rsidRDefault="00000000">
            <w:pPr>
              <w:spacing w:after="40"/>
            </w:pPr>
            <w:r>
              <w:t>~25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75DB74E" w14:textId="77777777" w:rsidR="007C4598" w:rsidRDefault="00000000">
            <w:pPr>
              <w:spacing w:after="40"/>
            </w:pPr>
            <w:r>
              <w:t>~38</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14E179C" w14:textId="77777777" w:rsidR="007C4598" w:rsidRDefault="00000000">
            <w:pPr>
              <w:spacing w:after="40"/>
            </w:pPr>
            <w:r>
              <w:t>~50</w:t>
            </w:r>
          </w:p>
        </w:tc>
      </w:tr>
      <w:tr w:rsidR="007C4598" w14:paraId="16440FEB"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B25974F" w14:textId="77777777" w:rsidR="007C4598" w:rsidRDefault="00000000">
            <w:pPr>
              <w:spacing w:after="40"/>
            </w:pPr>
            <w:r>
              <w:t>Saldo diretto sul bilancio sanitario regionale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C2A8F70" w14:textId="77777777" w:rsidR="007C4598" w:rsidRDefault="00000000">
            <w:pPr>
              <w:spacing w:after="40"/>
            </w:pPr>
            <w:r>
              <w:t>~ −5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7CD7814" w14:textId="77777777" w:rsidR="007C4598" w:rsidRDefault="00000000">
            <w:pPr>
              <w:spacing w:after="40"/>
            </w:pPr>
            <w:r>
              <w:t>~ −4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084808B" w14:textId="77777777" w:rsidR="007C4598" w:rsidRDefault="00000000">
            <w:pPr>
              <w:spacing w:after="40"/>
            </w:pPr>
            <w:r>
              <w:t>~ 0 (pareggio)</w:t>
            </w:r>
          </w:p>
        </w:tc>
      </w:tr>
    </w:tbl>
    <w:p w14:paraId="4C235F6B" w14:textId="77777777" w:rsidR="007C4598" w:rsidRDefault="007C4598"/>
    <w:p w14:paraId="04107CCB" w14:textId="77777777" w:rsidR="007C4598" w:rsidRDefault="00000000">
      <w:pPr>
        <w:jc w:val="both"/>
      </w:pPr>
      <w:r>
        <w:rPr>
          <w:i/>
          <w:iCs/>
        </w:rPr>
        <w:t>Tabella 8.11 — Il saldo diretto per scenario: confronto tra i risparmi diretti aggregati e i costi diretti del servizio. Il saldo è prossimo al pareggio in tutti gli scenari, da un lieve disavanzo nello scenario conservativo a un sostanziale pareggio in quello espansivo. Tutte le grandezze sono fiscali e dirette; le ricadute sociali, di ordine superiore, sono trattate distintamente nella nona parte e non figurano in questo saldo.</w:t>
      </w:r>
    </w:p>
    <w:p w14:paraId="079020F6" w14:textId="77777777" w:rsidR="007C4598" w:rsidRDefault="007C4598"/>
    <w:p w14:paraId="3F4D2D19" w14:textId="77777777" w:rsidR="007C4598" w:rsidRDefault="00000000">
      <w:pPr>
        <w:jc w:val="both"/>
      </w:pPr>
      <w:r>
        <w:t>Il saldo diretto è prossimo al pareggio in tutti gli scenari, e si muove da un lieve disavanzo dell’ordine di cinque milioni di euro l’anno nello scenario conservativo a un sostanziale pareggio in quello espansivo, dove i risparmi aggregati eguagliano i costi del servizio. È questo il dato più importante e più onesto dell’intera valutazione fiscale diretta, e va enunciato senza attenuazioni: sul solo bilancio sanitario, e considerate le sole grandezze dirette, la riforma non genera un ampio risparmio, ma si autofinanzia in misura prossima alla totalità, tanto più quanto maggiore è la copertura. La progressione del saldo dallo scenario conservativo a quello espansivo non è casuale, ma riflette la struttura non lineare dei risparmi descritta in ciascun canale: al crescere della copertura i risparmi crescono più che proporzionalmente, per effetto della maggiore intercettazione a monte, mentre i costi crescono in modo più lineare, sicché il saldo migliora con la scala del servizio. È una proprietà di rilievo per il decisore, perché indica che lo scenario più ambizioso non è il più oneroso in termini di saldo, ma il più prossimo al pareggio.</w:t>
      </w:r>
    </w:p>
    <w:p w14:paraId="0EC7E69C" w14:textId="77777777" w:rsidR="007C4598" w:rsidRDefault="007C4598"/>
    <w:p w14:paraId="25E6AFF0" w14:textId="77777777" w:rsidR="007C4598" w:rsidRDefault="00000000">
      <w:pPr>
        <w:pStyle w:val="Titolo2"/>
        <w:spacing w:before="200" w:after="100"/>
      </w:pPr>
      <w:r>
        <w:rPr>
          <w:sz w:val="22"/>
          <w:szCs w:val="22"/>
        </w:rPr>
        <w:t>8.6.3  La corretta interpretazione del saldo: perché il pareggio non indebolisce la proposta</w:t>
      </w:r>
    </w:p>
    <w:p w14:paraId="1DF845AF" w14:textId="77777777" w:rsidR="007C4598" w:rsidRDefault="007C4598"/>
    <w:p w14:paraId="58960697" w14:textId="77777777" w:rsidR="007C4598" w:rsidRDefault="00000000">
      <w:pPr>
        <w:jc w:val="both"/>
      </w:pPr>
      <w:r>
        <w:t>La prossimità del saldo diretto al pareggio, anziché a un ampio risparmio, potrebbe apparire, a una lettura superficiale, un argomento contro la riforma. Una lettura corretta mostra il contrario, per due ragioni distinte e convergenti, che la valutazione deve esporre con la medesima franchezza con cui ha esposto le cifre. La prima ragione attiene alla proporzione tra il costo del servizio e le dimensioni del bilancio su cui esso grava. Il costo diretto del servizio, dell’ordine di venticinque, trentotto o cinquanta milioni di euro l’anno secondo lo scenario, costituisce una frazione modesta del finanziamento sanitario regionale, che è dell’ordine di 8,8 miliardi di euro: anche nello scenario espansivo, esso rappresenta una porzione contenuta della spesa sanitaria regionale.</w:t>
      </w:r>
      <w:r>
        <w:rPr>
          <w:color w:val="555555"/>
          <w:sz w:val="16"/>
          <w:szCs w:val="16"/>
          <w:vertAlign w:val="superscript"/>
        </w:rPr>
        <w:t>[38]</w:t>
      </w:r>
      <w:r>
        <w:t xml:space="preserve"> Ne discende che la questione non è la sostenibilità della spesa — un servizio che si autofinanzia in misura prossima alla totalità e che costa una frazione modesta del bilancio non pone un problema di sostenibilità — ma il suo dimensionamento, ossia la scelta dello scenario di copertura, che è una scelta di ambizione e di priorità più che di sostenibilità finanziaria.</w:t>
      </w:r>
    </w:p>
    <w:p w14:paraId="0E87BBA8" w14:textId="77777777" w:rsidR="007C4598" w:rsidRDefault="007C4598"/>
    <w:p w14:paraId="0836C59F" w14:textId="77777777" w:rsidR="007C4598" w:rsidRDefault="00000000">
      <w:pPr>
        <w:jc w:val="both"/>
      </w:pPr>
      <w:r>
        <w:t>La seconda ragione, più sostanziale, attiene alla natura stessa della giustificazione economica della riforma, e costituisce il punto di passaggio dalla parte ottava alle parti che la seguono. La giustificazione economica piena della riforma non risiede, e non è mai stata sostenuta risiedere, nel saldo fiscale diretto. Il risparmio diretto è la grandezza più immediata e più certa, perché cade direttamente sul bilancio sanitario ed è misurabile con relativa precisione; ma è anche la grandezza minore, perché la maggior parte del valore che la riduzione del disagio genera non cade sul bilancio sanitario, bensì si distribuisce sui domini extra-sanitari — il lavoro, la previdenza, l’assistenza, la giustizia, l’istruzione — che la nona parte percorre uno per uno. È in quei domini che risiede il ritorno di ordine superiore, quello che la letteratura internazionale colloca, per i soli benefici economici, in un rapporto compreso tra 2,3 e 3,0 a 1, e, con l’inclusione dei ritorni in salute, tra 3,3 e 5,7 a 1.</w:t>
      </w:r>
      <w:r>
        <w:rPr>
          <w:color w:val="555555"/>
          <w:sz w:val="16"/>
          <w:szCs w:val="16"/>
          <w:vertAlign w:val="superscript"/>
        </w:rPr>
        <w:t>[39]</w:t>
      </w:r>
      <w:r>
        <w:t xml:space="preserve"> Il saldo diretto prossimo al pareggio non è, dunque, il risultato economico della riforma, ma la sua precondizione fiscale: esso dimostra che la riforma si autofinanzia sul terreno sanitario, e libera così le ricadute sociali da ogni onere di copertura del costo, rendendole guadagno netto per la collettività. Una riforma che si paga da sé sul bilancio sanitario e che genera, in più, un ampio ritorno sociale, è economicamente più solida di una riforma che prometta un grande risparmio sanitario che la letteratura non autorizza.</w:t>
      </w:r>
    </w:p>
    <w:p w14:paraId="384810F8" w14:textId="77777777" w:rsidR="007C4598" w:rsidRDefault="007C4598"/>
    <w:p w14:paraId="3FBFDA60" w14:textId="77777777" w:rsidR="007C4598" w:rsidRDefault="00000000">
      <w:pPr>
        <w:pStyle w:val="Titolo2"/>
        <w:spacing w:before="200" w:after="100"/>
      </w:pPr>
      <w:r>
        <w:rPr>
          <w:sz w:val="22"/>
          <w:szCs w:val="22"/>
        </w:rPr>
        <w:t>8.6.4  La traiettoria temporale del saldo</w:t>
      </w:r>
    </w:p>
    <w:p w14:paraId="3E297E60" w14:textId="77777777" w:rsidR="007C4598" w:rsidRDefault="007C4598"/>
    <w:p w14:paraId="58E1F91F" w14:textId="77777777" w:rsidR="007C4598" w:rsidRDefault="00000000">
      <w:pPr>
        <w:jc w:val="both"/>
      </w:pPr>
      <w:r>
        <w:t xml:space="preserve">Il saldo diretto, finora considerato a regime, si forma nel tempo secondo una traiettoria che conviene descrivere, perché ne condiziona la lettura e la sostenibilità nei primi esercizi. I costi del servizio si manifestano prevalentemente fin dal primo anno, perché l’avvio richiede l’assunzione del personale, l’allestimento delle sedi e l’acquisizione della componente tecnologica e formativa; i risparmi, viceversa, si manifestano gradualmente, perché l’intercettazione del disagio, la </w:t>
      </w:r>
      <w:proofErr w:type="spellStart"/>
      <w:r>
        <w:t>deprescrizione</w:t>
      </w:r>
      <w:proofErr w:type="spellEnd"/>
      <w:r>
        <w:t>, la deviazione della domanda dall’urgenza e la ritenzione della mobilità producono i loro effetti man mano che il servizio entra a regime, che la popolazione vi accede e che la presa in carico matura. Ne consegue che il saldo dei primi esercizi è più sfavorevole di quello a regime: nel primo anno i costi sono pieni e i risparmi parziali, e il disavanzo diretto è di conseguenza maggiore di quello stimato a regime.</w:t>
      </w:r>
    </w:p>
    <w:p w14:paraId="701F08B4" w14:textId="77777777" w:rsidR="007C4598" w:rsidRDefault="007C4598"/>
    <w:p w14:paraId="719DD78D" w14:textId="77777777" w:rsidR="007C4598" w:rsidRDefault="00000000">
      <w:pPr>
        <w:jc w:val="both"/>
      </w:pPr>
      <w:r>
        <w:t>Questa asimmetria temporale tra costi anticipati e risparmi differiti definisce la traiettoria del pareggio. Il flusso annuale dei risparmi, crescente con la maturazione del servizio, raggiunge il flusso annuale dei costi non al primo anno, ma dopo un periodo di avvio durante il quale il servizio costruisce la propria capacità di intercettazione: il punto in cui i due flussi annuali si pareggiano si colloca, secondo la modellazione, tra il terzo e il quinto anno dall’avvio, in funzione dello scenario di copertura e della rapidità della messa a regime.</w:t>
      </w:r>
      <w:r>
        <w:rPr>
          <w:color w:val="555555"/>
          <w:sz w:val="16"/>
          <w:szCs w:val="16"/>
          <w:vertAlign w:val="superscript"/>
        </w:rPr>
        <w:t>[40]</w:t>
      </w:r>
      <w:r>
        <w:t xml:space="preserve"> Prima di quel punto, il servizio comporta un disavanzo diretto annuale; in corrispondenza e oltre quel punto, il saldo diretto annuale si stabilizza sui valori prossimi al pareggio stimati a regime. La rappresentazione di questa traiettoria, che la figura seguente delinea e che la undicesima parte modella formalmente, è essenziale alla corretta programmazione finanziaria della riforma, perché chiarisce che il disavanzo dei primi esercizi non è un difetto strutturale, ma il naturale profilo di un investimento i cui costi precedono i ritorni, e che la sostenibilità del servizio va valutata sull’orizzonte pluriennale e non sul singolo primo esercizio.</w:t>
      </w:r>
    </w:p>
    <w:p w14:paraId="4F63274B"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0FE790D6"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9E757D1" w14:textId="77777777" w:rsidR="007C4598" w:rsidRDefault="00000000">
            <w:pPr>
              <w:spacing w:after="40"/>
            </w:pPr>
            <w:r>
              <w:rPr>
                <w:b/>
                <w:bCs/>
                <w:color w:val="FFFFFF"/>
                <w:sz w:val="18"/>
                <w:szCs w:val="18"/>
              </w:rPr>
              <w:t xml:space="preserve">◆ SEGNAPOSTO INFOGRAFICA — FIG. 8.F · DA INSERIRE A POSTERIORI Titolo previsto: Il saldo diretto per scenario: risparmi aggregati, costi e saldo — Puglia CODICE CANVA-FRIENDLY (scheda di generazione) Tipo di grafico: diagramma a barre raggruppate per i tre scenari di copertura; per ciascuno scenario due barre affiancate (risparmi diretti aggregati e costi diretti) e un indicatore del saldo risultante, con linea dello zero ben visibile. Lettura: per ciascuno scenario (Conservativo, Intermedio, Espansivo) la barra dei risparmi (20, 34, 50) è affiancata a quella dei costi (25, 38, 50); la prossimità delle due barre, crescente verso lo scenario espansivo, comunica visivamente il saldo prossimo al pareggio e il suo miglioramento con la scala del servizio. Palette: risparmi diretti in oro #C49A48; costi diretti in blu </w:t>
            </w:r>
            <w:proofErr w:type="spellStart"/>
            <w:r>
              <w:rPr>
                <w:b/>
                <w:bCs/>
                <w:color w:val="FFFFFF"/>
                <w:sz w:val="18"/>
                <w:szCs w:val="18"/>
              </w:rPr>
              <w:t>navy</w:t>
            </w:r>
            <w:proofErr w:type="spellEnd"/>
            <w:r>
              <w:rPr>
                <w:b/>
                <w:bCs/>
                <w:color w:val="FFFFFF"/>
                <w:sz w:val="18"/>
                <w:szCs w:val="18"/>
              </w:rPr>
              <w:t xml:space="preserve"> #16264B; indicatore del saldo in blu #2E5AA0; linea dello zero in grigio #D8D8D8.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etichette degli scenari </w:t>
            </w:r>
            <w:proofErr w:type="spellStart"/>
            <w:r>
              <w:rPr>
                <w:b/>
                <w:bCs/>
                <w:color w:val="FFFFFF"/>
                <w:sz w:val="18"/>
                <w:szCs w:val="18"/>
              </w:rPr>
              <w:t>Bold</w:t>
            </w:r>
            <w:proofErr w:type="spellEnd"/>
            <w:r>
              <w:rPr>
                <w:b/>
                <w:bCs/>
                <w:color w:val="FFFFFF"/>
                <w:sz w:val="18"/>
                <w:szCs w:val="18"/>
              </w:rPr>
              <w:t xml:space="preserve">, valori Medium, nota del saldo Regular corsivo.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Valori da rappresentare: Conservativo — risparmi 20; costi 25; saldo −5. Intermedio — risparmi 34; costi 38; saldo −4. Espansivo — risparmi 50; costi 50; saldo 0 (pareggio). Variante 3D (consigliata): coppie di barre a rilievo isometrico con il saldo reso come scarto in profondità tra le sommità; piano dello zero evidenziato. Fonte (piè di figura): Elaborazione dello studio; settima parte per i costi diretti; tabelle 8.10 e 8.11. La figura deve rendere evidente che il saldo diretto è prossimo al pareggio in tutti gli scenari e che esso migliora con la scala del servizio, fino al pareggio nello scenario espansivo.</w:t>
            </w:r>
          </w:p>
          <w:p w14:paraId="2B20B229" w14:textId="77777777" w:rsidR="007C4598" w:rsidRDefault="00000000">
            <w:pPr>
              <w:spacing w:before="120" w:after="60"/>
              <w:jc w:val="center"/>
            </w:pPr>
            <w:r>
              <w:rPr>
                <w:noProof/>
              </w:rPr>
              <w:drawing>
                <wp:inline distT="0" distB="0" distL="0" distR="0" wp14:anchorId="3A40897D" wp14:editId="58E74678">
                  <wp:extent cx="8229600" cy="4629150"/>
                  <wp:effectExtent l="0" t="0" r="0" b="0"/>
                  <wp:docPr id="138" name="Infografica38" descr="Il saldo diretto per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Infografica38"/>
                          <pic:cNvPicPr>
                            <a:picLocks noChangeAspect="1" noChangeArrowheads="1"/>
                          </pic:cNvPicPr>
                        </pic:nvPicPr>
                        <pic:blipFill>
                          <a:blip r:embed="rId65">
                            <a:extLst>
                              <a:ext uri="{96DAC541-7B7A-43D3-8B79-37D633B846F1}">
                                <asvg:svgBlip xmlns:asvg="http://schemas.microsoft.com/office/drawing/2016/SVG/main" r:embed="rId66"/>
                              </a:ext>
                            </a:extLst>
                          </a:blip>
                          <a:stretch>
                            <a:fillRect/>
                          </a:stretch>
                        </pic:blipFill>
                        <pic:spPr bwMode="auto">
                          <a:xfrm>
                            <a:off x="0" y="0"/>
                            <a:ext cx="8229600" cy="4629150"/>
                          </a:xfrm>
                          <a:prstGeom prst="rect">
                            <a:avLst/>
                          </a:prstGeom>
                          <a:noFill/>
                          <a:ln>
                            <a:noFill/>
                          </a:ln>
                        </pic:spPr>
                      </pic:pic>
                    </a:graphicData>
                  </a:graphic>
                </wp:inline>
              </w:drawing>
            </w:r>
          </w:p>
          <w:p w14:paraId="205FA271" w14:textId="77777777" w:rsidR="007C4598" w:rsidRDefault="00000000">
            <w:pPr>
              <w:spacing w:before="40" w:after="200"/>
              <w:jc w:val="center"/>
            </w:pPr>
            <w:r>
              <w:rPr>
                <w:i/>
                <w:color w:val="2E5A8F"/>
                <w:sz w:val="16"/>
                <w:szCs w:val="16"/>
              </w:rPr>
              <w:t>Fig. 8.F — Il saldo diretto per scenario. Elaborazione dello studio · Luigi De Michele · Giugno 2026.</w:t>
            </w:r>
          </w:p>
        </w:tc>
      </w:tr>
    </w:tbl>
    <w:p w14:paraId="41AC15AB"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25204C90"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1C8163E" w14:textId="77777777" w:rsidR="007C4598" w:rsidRDefault="00000000">
            <w:pPr>
              <w:spacing w:after="40"/>
            </w:pPr>
            <w:r>
              <w:rPr>
                <w:b/>
                <w:bCs/>
                <w:color w:val="FFFFFF"/>
                <w:sz w:val="18"/>
                <w:szCs w:val="18"/>
              </w:rPr>
              <w:t xml:space="preserve">◆ SEGNAPOSTO INFOGRAFICA — FIG. 8.G · DA INSERIRE A POSTERIORI Titolo previsto: La traiettoria temporale del saldo diretto: costi anticipati e risparmi differiti — Puglia CODICE CANVA-FRIENDLY (scheda di generazione) Tipo di grafico: grafico a linee con asse temporale pluriennale; due curve, il flusso annuale dei costi e il flusso annuale dei risparmi, con evidenziazione del punto di intersezione in cui i due flussi si pareggiano e dell’area di disavanzo che lo precede. Lettura: la curva dei costi parte da un valore pieno fin dal primo anno e si mantiene relativamente stabile; la curva dei risparmi parte da un valore parziale e cresce con la maturazione del servizio, intersecando la curva dei costi tra il terzo e il quinto anno; l’area compresa tra le due curve prima dell’intersezione rappresenta il disavanzo di avvio. Palette: curva dei costi in blu </w:t>
            </w:r>
            <w:proofErr w:type="spellStart"/>
            <w:r>
              <w:rPr>
                <w:b/>
                <w:bCs/>
                <w:color w:val="FFFFFF"/>
                <w:sz w:val="18"/>
                <w:szCs w:val="18"/>
              </w:rPr>
              <w:t>navy</w:t>
            </w:r>
            <w:proofErr w:type="spellEnd"/>
            <w:r>
              <w:rPr>
                <w:b/>
                <w:bCs/>
                <w:color w:val="FFFFFF"/>
                <w:sz w:val="18"/>
                <w:szCs w:val="18"/>
              </w:rPr>
              <w:t xml:space="preserve"> #16264B; curva dei risparmi in oro #C49A48; area di disavanzo di avvio in grigio #D8D8D8 a bassa opacità; punto di pareggio evidenziato in blu #2E5AA0.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etichette degli assi </w:t>
            </w:r>
            <w:proofErr w:type="spellStart"/>
            <w:r>
              <w:rPr>
                <w:b/>
                <w:bCs/>
                <w:color w:val="FFFFFF"/>
                <w:sz w:val="18"/>
                <w:szCs w:val="18"/>
              </w:rPr>
              <w:t>Bold</w:t>
            </w:r>
            <w:proofErr w:type="spellEnd"/>
            <w:r>
              <w:rPr>
                <w:b/>
                <w:bCs/>
                <w:color w:val="FFFFFF"/>
                <w:sz w:val="18"/>
                <w:szCs w:val="18"/>
              </w:rPr>
              <w:t xml:space="preserve">, valori Medium, annotazione del punto di pareggio Regular corsivo.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Valori da rappresentare: asse temporale dal primo anno a regime; curva dei costi prossima al valore di scenario fin dall’avvio; curva dei risparmi crescente dal valore parziale iniziale fino al valore di scenario a regime; punto di pareggio dei flussi annuali collocato tra il terzo e il quinto anno (banda, non punto fisso). Variante 3D (consigliata): piano temporale con le due curve in rilievo e l’area di disavanzo come volume sotteso fino al punto di pareggio. Fonte (piè di figura): Elaborazione dello studio; modellazione della undicesima parte; analisi di impatto di bilancio della decima parte. La figura deve rendere evidente che il disavanzo dei primi esercizi è il profilo naturale di un investimento i cui costi precedono i ritorni, e che il pareggio dei flussi annuali si colloca, come banda e non come punto fisso, tra il terzo e il quinto anno.</w:t>
            </w:r>
          </w:p>
          <w:p w14:paraId="740A092F" w14:textId="77777777" w:rsidR="007C4598" w:rsidRDefault="00000000">
            <w:pPr>
              <w:spacing w:before="120" w:after="60"/>
              <w:jc w:val="center"/>
            </w:pPr>
            <w:r>
              <w:rPr>
                <w:noProof/>
              </w:rPr>
              <w:drawing>
                <wp:inline distT="0" distB="0" distL="0" distR="0" wp14:anchorId="3B873D11" wp14:editId="4E3E75FD">
                  <wp:extent cx="8229600" cy="4629150"/>
                  <wp:effectExtent l="0" t="0" r="0" b="0"/>
                  <wp:docPr id="139" name="Infografica39" descr="La traiettoria temporale del saldo di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Infografica39"/>
                          <pic:cNvPicPr>
                            <a:picLocks noChangeAspect="1" noChangeArrowheads="1"/>
                          </pic:cNvPicPr>
                        </pic:nvPicPr>
                        <pic:blipFill>
                          <a:blip r:embed="rId67">
                            <a:extLst>
                              <a:ext uri="{96DAC541-7B7A-43D3-8B79-37D633B846F1}">
                                <asvg:svgBlip xmlns:asvg="http://schemas.microsoft.com/office/drawing/2016/SVG/main" r:embed="rId68"/>
                              </a:ext>
                            </a:extLst>
                          </a:blip>
                          <a:stretch>
                            <a:fillRect/>
                          </a:stretch>
                        </pic:blipFill>
                        <pic:spPr bwMode="auto">
                          <a:xfrm>
                            <a:off x="0" y="0"/>
                            <a:ext cx="8229600" cy="4629150"/>
                          </a:xfrm>
                          <a:prstGeom prst="rect">
                            <a:avLst/>
                          </a:prstGeom>
                          <a:noFill/>
                          <a:ln>
                            <a:noFill/>
                          </a:ln>
                        </pic:spPr>
                      </pic:pic>
                    </a:graphicData>
                  </a:graphic>
                </wp:inline>
              </w:drawing>
            </w:r>
          </w:p>
          <w:p w14:paraId="400F46EA" w14:textId="77777777" w:rsidR="007C4598" w:rsidRDefault="00000000">
            <w:pPr>
              <w:spacing w:before="40" w:after="200"/>
              <w:jc w:val="center"/>
            </w:pPr>
            <w:r>
              <w:rPr>
                <w:i/>
                <w:color w:val="2E5A8F"/>
                <w:sz w:val="16"/>
                <w:szCs w:val="16"/>
              </w:rPr>
              <w:t>Fig. 8.G — La traiettoria temporale del saldo diretto. Elaborazione dello studio · Luigi De Michele · Giugno 2026.</w:t>
            </w:r>
          </w:p>
        </w:tc>
      </w:tr>
    </w:tbl>
    <w:p w14:paraId="6325E3B6" w14:textId="77777777" w:rsidR="007C4598" w:rsidRDefault="007C4598"/>
    <w:p w14:paraId="3F9DAE2F" w14:textId="77777777" w:rsidR="007C4598" w:rsidRDefault="00000000">
      <w:pPr>
        <w:jc w:val="both"/>
      </w:pPr>
      <w:r>
        <w:t>Stabilito l’aggregato dei risparmi diretti, derivato il saldo per scenario, interpretata la sua prossimità al pareggio e descritta la sua traiettoria temporale, la rinegoziazione dei risparmi diretti è compiuta. La parte ottava ha consegnato al decisore la misura onesta della dimensione fiscale diretta della riforma: un risparmio reale ma contenuto, che porta il servizio in prossimità del pareggio sul solo bilancio sanitario e che si traduce in pareggio pieno nello scenario di copertura più ampio. Resta da completare il quadro economico con le grandezze che eccedono il bilancio sanitario e che costituiscono il vero ritorno della riforma: è il compito della nona parte, alla quale la presente consegna le proprie conclusioni dopo averne tratto, nel quadro conclusivo che segue, la sintesi economico-sociale e multidisciplinare integrale.</w:t>
      </w:r>
    </w:p>
    <w:p w14:paraId="1F301E96" w14:textId="77777777" w:rsidR="007C4598" w:rsidRDefault="007C4598"/>
    <w:p w14:paraId="14122E58" w14:textId="77777777" w:rsidR="007C4598" w:rsidRDefault="00000000">
      <w:pPr>
        <w:pStyle w:val="Titolo1"/>
        <w:pageBreakBefore/>
      </w:pPr>
      <w:r>
        <w:rPr>
          <w:sz w:val="22"/>
          <w:szCs w:val="22"/>
        </w:rPr>
        <w:t>Quadro conclusivo economico-sociale e multidisciplinare integrale</w:t>
      </w:r>
    </w:p>
    <w:p w14:paraId="1888B53F" w14:textId="77777777" w:rsidR="007C4598" w:rsidRDefault="007C4598"/>
    <w:p w14:paraId="4F9DEC1B" w14:textId="77777777" w:rsidR="007C4598" w:rsidRDefault="00000000">
      <w:pPr>
        <w:jc w:val="both"/>
      </w:pPr>
      <w:r>
        <w:rPr>
          <w:i/>
          <w:iCs/>
        </w:rPr>
        <w:t>Il quadro conclusivo non ripete le cifre della parte, ma ne colloca il significato nell’orizzonte integrale dell’opera. Esso mostra come il risparmio diretto, grandezza fiscale e sanitaria, si inscriva nel perimetro multidisciplinare che la riforma abbraccia, e come la sua misura contenuta, lungi dal ridimensionare la portata della riforma, ne delimiti correttamente la sola dimensione fiscale diretta, rimettendo alle dimensioni sociali e ai domini extra-sanitari il compito di rivelarne il valore pieno. Il quadro ricostruisce, in forma sintetica, il passaggio dalla grandezza fiscale alla grandezza integrale, il ruolo della cascata delle figure come struttura del risparmio, la funzione della separazione delle grandezze come garanzia di onestà, e il ponte che dal risparmio diretto conduce alla previsione sulla qualità della vita, sui bilanci regionali, sulla burocrazia e sui sistemi sanitari.</w:t>
      </w:r>
    </w:p>
    <w:p w14:paraId="7877A6D1" w14:textId="77777777" w:rsidR="007C4598" w:rsidRDefault="007C4598"/>
    <w:p w14:paraId="2147860E" w14:textId="77777777" w:rsidR="007C4598" w:rsidRDefault="00000000">
      <w:pPr>
        <w:pStyle w:val="Titolo2"/>
        <w:spacing w:before="200" w:after="100"/>
      </w:pPr>
      <w:r>
        <w:rPr>
          <w:sz w:val="22"/>
          <w:szCs w:val="22"/>
        </w:rPr>
        <w:t>Il risparmio diretto nella sua giusta proporzione</w:t>
      </w:r>
    </w:p>
    <w:p w14:paraId="4FEE90BD" w14:textId="77777777" w:rsidR="007C4598" w:rsidRDefault="007C4598"/>
    <w:p w14:paraId="0E3391B5" w14:textId="77777777" w:rsidR="007C4598" w:rsidRDefault="00000000">
      <w:pPr>
        <w:jc w:val="both"/>
      </w:pPr>
      <w:r>
        <w:t>La parte ottava ha stabilito che il risparmio diretto per il Servizio sanitario regionale, aggregati i quattro canali, è dell’ordine di venti, trentaquattro e cinquanta milioni di euro l’anno secondo lo scenario, e che, confrontato con i costi diretti del servizio, esso porta il saldo fiscale in prossimità del pareggio. Questa grandezza va collocata nella sua giusta proporzione, che è duplice. Rispetto al bilancio sanitario regionale, essa è una grandezza modesta nel suo importo assoluto ma certa nella sua natura, perché cade direttamente sul fondo sanitario ed è misurabile con la precisione che i dati consentono; è la componente più immediatamente verificabile dell’intero impianto economico, e la sua funzione è di dimostrare che la riforma non grava in modo netto sul bilancio sanitario, ma vi si ripaga in misura prossima alla totalità. Rispetto al valore complessivo che la riforma genera, essa è invece la componente minore, perché la maggior parte di quel valore non si manifesta come minore spesa sanitaria, ma come maggiore produttività, minore onere previdenziale e assistenziale, minore costo della devianza e dell’abbandono scolastico, e si distribuisce su una pluralità di bilanci pubblici e privati che esulano dal perimetro sanitario.</w:t>
      </w:r>
    </w:p>
    <w:p w14:paraId="6B698792" w14:textId="77777777" w:rsidR="007C4598" w:rsidRDefault="007C4598"/>
    <w:p w14:paraId="4A82DC6E" w14:textId="77777777" w:rsidR="007C4598" w:rsidRDefault="00000000">
      <w:pPr>
        <w:jc w:val="both"/>
      </w:pPr>
      <w:r>
        <w:t>La giusta proporzione del risparmio diretto è, dunque, quella di un fondamento e non di un coronamento. Esso fonda la sostenibilità fiscale della riforma sul terreno sanitario, dimostrando che il servizio si autofinanzia; ma non esaurisce, né potrebbe esaurire, la giustificazione economica della riforma, che riposa sulle grandezze sociali di ordine superiore. Chi cercasse nella parte ottava la prova economica decisiva della riforma cercherebbe nel luogo sbagliato, perché quella prova non risiede nel saldo fiscale diretto, bensì nel saldo sociale integrale che la nona e la decima parte compongono. La parte ottava prova qualcosa di diverso e di preliminare: che la riforma è fiscalmente sostenibile sul terreno sanitario, e che il suo costo, modesto in rapporto al bilancio e prossimo al pareggio in rapporto ai risparmi sanitari, non costituisce un ostacolo alla sua adozione. È una prova necessaria, ma non sufficiente; ed è esattamente questo il suo ruolo nell’economia dell’opera.</w:t>
      </w:r>
    </w:p>
    <w:p w14:paraId="194F537C" w14:textId="77777777" w:rsidR="007C4598" w:rsidRDefault="007C4598"/>
    <w:p w14:paraId="134288A0" w14:textId="77777777" w:rsidR="007C4598" w:rsidRDefault="00000000">
      <w:pPr>
        <w:pStyle w:val="Titolo2"/>
        <w:spacing w:before="200" w:after="100"/>
      </w:pPr>
      <w:r>
        <w:rPr>
          <w:sz w:val="22"/>
          <w:szCs w:val="22"/>
        </w:rPr>
        <w:t>Dalla grandezza fiscale alla grandezza integrale: il rinvio ai domini</w:t>
      </w:r>
    </w:p>
    <w:p w14:paraId="7A802E06" w14:textId="77777777" w:rsidR="007C4598" w:rsidRDefault="007C4598"/>
    <w:p w14:paraId="22729C76" w14:textId="77777777" w:rsidR="007C4598" w:rsidRDefault="00000000">
      <w:pPr>
        <w:jc w:val="both"/>
      </w:pPr>
      <w:r>
        <w:t>Il passaggio dalla grandezza fiscale diretta alla grandezza integrale è il movimento che struttura l’intera opera, e di cui la parte ottava costituisce il primo termine. Ogni canale del risparmio diretto qui stimato genera, accanto alla minore spesa sanitaria che la parte ottava conta, una ricaduta sociale che la nona parte conterà distintamente, e che è, in ciascun caso, di ordine superiore alla ricaduta fiscale. La riduzione della prescrizione farmaceutica inappropriata, che genera un risparmio sanitario di pochi milioni, genera distintamente una minore medicalizzazione del disagio, una maggiore lucidità e capacità lavorativa, una minore dipendenza, il cui valore sociale eccede il risparmio fiscale. La riduzione degli accessi impropri al pronto soccorso e dei ricoveri evitabili, che genera il risparmio sanitario più consistente, genera distintamente una maggiore continuità lavorativa del paziente non ricoverato, un minore carico sui familiari, una migliore qualità della vita. La riduzione della mobilità passiva, che trattiene risorse fiscali sul territorio, genera distintamente un risparmio privato per le famiglie liberate dall’onere dei viaggi e dei soggiorni e una maggiore coesione delle reti di cura territoriali. La riduzione della domanda specialistica indotta, che comprime una spesa sanitaria, genera distintamente una minore ansia iatrogena e un minore tempo sottratto al lavoro per accertamenti inutili.</w:t>
      </w:r>
    </w:p>
    <w:p w14:paraId="21E90D25" w14:textId="77777777" w:rsidR="007C4598" w:rsidRDefault="007C4598"/>
    <w:p w14:paraId="04AA19B7" w14:textId="77777777" w:rsidR="007C4598" w:rsidRDefault="00000000">
      <w:pPr>
        <w:jc w:val="both"/>
      </w:pPr>
      <w:r>
        <w:t xml:space="preserve">Questo rinvio ai domini non è un’aggiunta retorica, ma la struttura logica della rinegoziazione integrale. I domini che la nona parte percorrerà — il lavorativo, il pensionistico, il produttivistico, l’assistenzialistico, il </w:t>
      </w:r>
      <w:proofErr w:type="spellStart"/>
      <w:r>
        <w:t>welfaristico</w:t>
      </w:r>
      <w:proofErr w:type="spellEnd"/>
      <w:r>
        <w:t xml:space="preserve">, il </w:t>
      </w:r>
      <w:proofErr w:type="spellStart"/>
      <w:r>
        <w:t>prevenzionalistico</w:t>
      </w:r>
      <w:proofErr w:type="spellEnd"/>
      <w:r>
        <w:t>, il criminologico, il burocratico, il culturale, il pedagogico e scolastico, l’accademico, l’industriale, il sindacale, l’antropologico, il sociale e il finanziario — non sono ambiti estranei al risparmio diretto, ma le sedi in cui il medesimo miglioramento clinico che genera il risparmio fiscale dispiega i propri effetti di ordine superiore. La parte ottava ha misurato l’ombra fiscale, per così dire, di un fenomeno la cui sostanza si proietta sull’intero corpo sociale; e la misura di quell’ombra, per quanto contenuta, è preziosa proprio perché certa, e perché ancora alla terra ferma del bilancio sanitario una catena di benefici che, nei domini sociali, si fa più ampia ma anche più incerta. La separazione tra il fiscale e il sociale, mantenuta con rigore in tutta la parte, è ciò che consente di percorrere questo passaggio senza confusione: il risparmio diretto resta il fondamento certo, e le ricadute sociali si aggiungono ad esso come ritorno netto, senza mai esservi sommate in un unico saldo che ne confonderebbe la natura.</w:t>
      </w:r>
      <w:r>
        <w:rPr>
          <w:color w:val="555555"/>
          <w:sz w:val="16"/>
          <w:szCs w:val="16"/>
          <w:vertAlign w:val="superscript"/>
        </w:rPr>
        <w:t>[41]</w:t>
      </w:r>
    </w:p>
    <w:p w14:paraId="0CA929B8" w14:textId="77777777" w:rsidR="007C4598" w:rsidRDefault="007C4598"/>
    <w:p w14:paraId="50B24013" w14:textId="77777777" w:rsidR="007C4598" w:rsidRDefault="00000000">
      <w:pPr>
        <w:pStyle w:val="Titolo2"/>
        <w:spacing w:before="200" w:after="100"/>
      </w:pPr>
      <w:r>
        <w:rPr>
          <w:sz w:val="22"/>
          <w:szCs w:val="22"/>
        </w:rPr>
        <w:t>La cascata delle figure come struttura del risparmio</w:t>
      </w:r>
    </w:p>
    <w:p w14:paraId="6150F6A3" w14:textId="77777777" w:rsidR="007C4598" w:rsidRDefault="007C4598"/>
    <w:p w14:paraId="7A12ADF8" w14:textId="77777777" w:rsidR="007C4598" w:rsidRDefault="00000000">
      <w:pPr>
        <w:jc w:val="both"/>
      </w:pPr>
      <w:r>
        <w:t xml:space="preserve">Il risparmio diretto, ricostruito per canali, si lascia rileggere anche secondo la cascata gerarchica delle figure che struttura l’intera opera, e questa rilettura ne illumina la genesi. Ciascun canale del risparmio non è prodotto dal solo Psicologo di Base, ma dalla cooperazione delle figure della cascata, ciascuna delle quali contribuisce secondo la propria posizione e la propria capacità di generare revisione della spesa. Lo Psicologo di Base, all’apice, è l’origine del risparmio, perché è la sua intercettazione del disagio comune che innesca ogni canale; ma il risparmio si realizza attraverso il medico di medicina generale, che riconosce la matrice psichica del sintomo e modifica la prescrizione e l’invio; attraverso lo specialista, che riceve una domanda più appropriata; attraverso il farmacista, che intercetta l’uso cronico inappropriato; attraverso l’infermiere di famiglia e di comunità, che assicura la continuità che previene il </w:t>
      </w:r>
      <w:proofErr w:type="spellStart"/>
      <w:r>
        <w:t>ri</w:t>
      </w:r>
      <w:proofErr w:type="spellEnd"/>
      <w:r>
        <w:t>-ricovero; e attraverso gli attori istituzionali, che governano i flussi e le risorse. La cascata non è soltanto l’ordine espositivo dell’opera, ma la struttura causale del risparmio: ogni euro risparmiato percorre la catena delle figure dall’apice alla base, e la sua realizzazione dipende dalla cooperazione di tutta la catena.</w:t>
      </w:r>
    </w:p>
    <w:p w14:paraId="39A8EC5E" w14:textId="77777777" w:rsidR="007C4598" w:rsidRDefault="007C4598"/>
    <w:p w14:paraId="2080B3EF" w14:textId="77777777" w:rsidR="007C4598" w:rsidRDefault="00000000">
      <w:pPr>
        <w:jc w:val="both"/>
      </w:pPr>
      <w:r>
        <w:t xml:space="preserve">Questa rilettura ha una conseguenza pratica per la programmazione della riforma. Poiché il risparmio si realizza attraverso la cooperazione delle figure, la sua piena valorizzazione richiede che la riforma non si limiti a istituire la figura apicale, ma curi l’integrazione dell’intera cascata: l’efficacia del canale farmaceutico dipende dal raccordo tra lo psicologo e il medico </w:t>
      </w:r>
      <w:proofErr w:type="spellStart"/>
      <w:r>
        <w:t>prescrittore</w:t>
      </w:r>
      <w:proofErr w:type="spellEnd"/>
      <w:r>
        <w:t>; quella del canale del pronto soccorso, dal raccordo con l’emergenza e con la continuità infermieristica; quella del canale della mobilità, dal raccordo con i servizi specialistici e con la rete della salute mentale. Il risparmio diretto stimato nella parte ottava presuppone, dunque, l’integrazione della cascata che la terza parte ha descritto e che la quattordicesima parte tradurrà in percorso attuativo; e la sua piena realizzazione è funzione non solo del dimensionamento del primo livello psicologico, ma della qualità dell’integrazione lungo l’intera catena delle figure.</w:t>
      </w:r>
    </w:p>
    <w:p w14:paraId="04838CE1" w14:textId="77777777" w:rsidR="007C4598" w:rsidRDefault="007C4598"/>
    <w:p w14:paraId="45C037EE" w14:textId="77777777" w:rsidR="007C4598" w:rsidRDefault="00000000">
      <w:pPr>
        <w:pStyle w:val="Titolo2"/>
        <w:spacing w:before="200" w:after="100"/>
      </w:pPr>
      <w:r>
        <w:rPr>
          <w:sz w:val="22"/>
          <w:szCs w:val="22"/>
        </w:rPr>
        <w:t>La separazione delle grandezze come garanzia di onestà</w:t>
      </w:r>
    </w:p>
    <w:p w14:paraId="7A2E7508" w14:textId="77777777" w:rsidR="007C4598" w:rsidRDefault="007C4598"/>
    <w:p w14:paraId="634CB05C" w14:textId="77777777" w:rsidR="007C4598" w:rsidRDefault="00000000">
      <w:pPr>
        <w:jc w:val="both"/>
      </w:pPr>
      <w:r>
        <w:t>Il tratto metodologico che attraversa l’intera parte ottava, e che il quadro conclusivo deve ribadire come suo principio costitutivo, è la separazione rigorosa delle grandezze. Tre separazioni, in particolare, hanno governato ogni stima. La prima è la separazione tra il fiscale e il sociale: il risparmio che cade sul bilancio sanitario non è mai stato sommato al beneficio che si distribuisce sulla collettività, e le due grandezze hanno viaggiato in colonne distinte, destinate a essere ricomposte, ma non confuse, nella sintesi della decima parte. La seconda è la separazione tra i canali: nessun euro è stato attribuito a più di un canale, e la cautela aggiuntiva adottata nel quarto canale ha sacrificato parte del risparmio potenziale alla certezza di non contarlo due volte. La terza è la separazione tra la leva e il canale: il contributo dell’Intelligenza Artificiale è stato isolato all’interno dei canali e non aggiunto ad essi, perché esso accresce l’efficacia dei meccanismi senza generare un risparmio autonomo.</w:t>
      </w:r>
    </w:p>
    <w:p w14:paraId="1016AE63" w14:textId="77777777" w:rsidR="007C4598" w:rsidRDefault="007C4598"/>
    <w:p w14:paraId="512CD432" w14:textId="77777777" w:rsidR="007C4598" w:rsidRDefault="00000000">
      <w:pPr>
        <w:jc w:val="both"/>
      </w:pPr>
      <w:r>
        <w:t>Queste separazioni non sono cautele formali, ma la garanzia sostanziale dell’onestà della valutazione. Una valutazione che sommasse il fiscale e il sociale, o che attribuisse il medesimo risparmio a più canali, o che aggiungesse il contributo digitale ai risparmi che esso potenzia, produrrebbe cifre più grandi e più seducenti, ma false; e la loro falsità emergerebbe alla prima verifica, screditando l’intera proposta. La scelta opposta, qui adottata, di mantenere le grandezze separate anche a costo di mostrare un risparmio diretto contenuto, è la scelta che rende le cifre difendibili davanti a un revisore esterno, a un’autorità di controllo, a un decisore prudente. Il valore della parte ottava non risiede nella grandezza delle cifre che presenta, ma nella loro robustezza; e quella robustezza è il prodotto diretto delle separazioni che la governano. È in questo senso che la modestia del risparmio diretto è, come si è detto più volte, la sua onestà, e l’onestà è, per una valutazione destinata a sostenere una decisione pubblica, la qualità che più di ogni altra ne fonda l’autorevolezza.</w:t>
      </w:r>
    </w:p>
    <w:p w14:paraId="3FD55FE6" w14:textId="77777777" w:rsidR="007C4598" w:rsidRDefault="007C4598"/>
    <w:p w14:paraId="77CCDD4F" w14:textId="77777777" w:rsidR="007C4598" w:rsidRDefault="00000000">
      <w:pPr>
        <w:pStyle w:val="Titolo2"/>
        <w:spacing w:before="200" w:after="100"/>
      </w:pPr>
      <w:r>
        <w:rPr>
          <w:sz w:val="22"/>
          <w:szCs w:val="22"/>
        </w:rPr>
        <w:t>Il ponte verso la previsione</w:t>
      </w:r>
    </w:p>
    <w:p w14:paraId="095308FA" w14:textId="77777777" w:rsidR="007C4598" w:rsidRDefault="007C4598"/>
    <w:p w14:paraId="518C1A3D" w14:textId="77777777" w:rsidR="007C4598" w:rsidRDefault="00000000">
      <w:pPr>
        <w:jc w:val="both"/>
      </w:pPr>
      <w:r>
        <w:t xml:space="preserve">La parte ottava, infine, getta un ponte verso la previsione che le parti successive svolgeranno, e di cui il risparmio diretto costituisce uno degli ancoraggi. La rinegoziazione dei costi e dei benefici diretti non è fine a se stessa, ma è funzionale a predire, con il rigore che lo studio impone, gli effetti della riforma sulle grandezze che il mandato richiede di anticipare: la qualità della vita delle persone, l’andamento dei bilanci regionali, l’efficienza della burocrazia e la tenuta dei sistemi sanitari regionali. Il risparmio diretto qui stimato entra in ciascuna di queste previsioni come componente certa. Esso entra nella previsione sui bilanci regionali come la grandezza fiscale che, sommata alle ricadute sui bilanci previdenziale, assistenziale e giudiziario, ne determina l’impatto complessivo. Entra nella previsione sui sistemi sanitari come la misura della minore pressione sui </w:t>
      </w:r>
      <w:proofErr w:type="spellStart"/>
      <w:r>
        <w:t>setting</w:t>
      </w:r>
      <w:proofErr w:type="spellEnd"/>
      <w:r>
        <w:t xml:space="preserve"> ad alta intensità — il pronto soccorso, il ricovero, la specialistica — che la riforma alleggerisce. Entra, più indirettamente, nella previsione sulla qualità della vita, come la traccia fiscale di una minore medicalizzazione e di una migliore presa in carico del disagio.</w:t>
      </w:r>
      <w:r>
        <w:rPr>
          <w:color w:val="555555"/>
          <w:sz w:val="16"/>
          <w:szCs w:val="16"/>
          <w:vertAlign w:val="superscript"/>
        </w:rPr>
        <w:t>[42]</w:t>
      </w:r>
    </w:p>
    <w:p w14:paraId="06D77194" w14:textId="77777777" w:rsidR="007C4598" w:rsidRDefault="007C4598"/>
    <w:p w14:paraId="122CDEF6" w14:textId="77777777" w:rsidR="007C4598" w:rsidRDefault="00000000">
      <w:pPr>
        <w:jc w:val="both"/>
      </w:pPr>
      <w:r>
        <w:t>La previsione, che la undicesima parte formulerà in forma falsificabile e corredata di soglie, poggia dunque, per la sua componente fiscale diretta, sulle stime della parte ottava, e ne eredita tanto la solidità quanto i limiti. Ne eredita la solidità, perché il risparmio diretto è la più certa delle grandezze in gioco; ne eredita i limiti, perché esso è espresso in bande prudenziali che la previsione dovrà propagare, e perché la sua precisione è quella consentita dai dati di contesto, in attesa della sostituzione con i dati certificati regionali che l’agenda di consolidamento prevede. Il ponte verso la previsione è, in questo senso, anche un ponte verso la verifica: le previsioni che la undicesima parte formulerà saranno verificabili contro i dati che il monitoraggio della quindicesima parte raccoglierà, e il risparmio diretto stimato nella parte ottava sarà tra le prime grandezze su cui la previsione potrà essere messa alla prova. È questa verificabilità, più ancora della misura delle cifre, il lascito della rinegoziazione dei risparmi diretti all’economia complessiva dell’opera.</w:t>
      </w:r>
    </w:p>
    <w:p w14:paraId="5E722C94" w14:textId="77777777" w:rsidR="007C4598" w:rsidRDefault="007C4598"/>
    <w:p w14:paraId="5D24FFDB" w14:textId="77777777" w:rsidR="007C4598" w:rsidRDefault="00000000">
      <w:pPr>
        <w:pStyle w:val="Titolo1"/>
        <w:pageBreakBefore/>
      </w:pPr>
      <w:r>
        <w:rPr>
          <w:sz w:val="22"/>
          <w:szCs w:val="22"/>
        </w:rPr>
        <w:t>Conclusione</w:t>
      </w:r>
    </w:p>
    <w:p w14:paraId="6F786972" w14:textId="77777777" w:rsidR="007C4598" w:rsidRDefault="007C4598"/>
    <w:p w14:paraId="79722209" w14:textId="77777777" w:rsidR="007C4598" w:rsidRDefault="00000000">
      <w:pPr>
        <w:jc w:val="both"/>
      </w:pPr>
      <w:r>
        <w:t>La parte ottava ha rinegoziato i benefici e i risparmi diretti dell’introduzione del Servizio di Psicologia di Base in Puglia, ricostruendoli canale per canale lungo la cascata delle figure, stimandoli entro bande prudenziali per ciascuno dei tre scenari di copertura, isolandone la quota attribuibile alla leva digitale e ricomponendone l’aggregato a confronto con i costi diretti del servizio. L’esito di questa rinegoziazione può essere enunciato in poche proposizioni, ciascuna delle quali riassume un risultato stabilito nel corso della parte.</w:t>
      </w:r>
    </w:p>
    <w:p w14:paraId="2A90BB91" w14:textId="77777777" w:rsidR="007C4598" w:rsidRDefault="007C4598"/>
    <w:p w14:paraId="0D786CBD" w14:textId="77777777" w:rsidR="007C4598" w:rsidRDefault="00000000">
      <w:pPr>
        <w:jc w:val="both"/>
      </w:pPr>
      <w:r>
        <w:t xml:space="preserve">Il risparmio diretto per il Servizio sanitario regionale, aggregati i quattro canali — farmaceutico, del pronto soccorso e dei ricoveri, della mobilità passiva, specialistico e diagnostico — è dell’ordine di venti milioni di euro l’anno nello scenario conservativo, di trentaquattro in quello intermedio e di cinquanta in quello espansivo. La componente prevalente di questo risparmio è quella del pronto soccorso e dei ricoveri, perché agisce sui </w:t>
      </w:r>
      <w:proofErr w:type="spellStart"/>
      <w:r>
        <w:t>setting</w:t>
      </w:r>
      <w:proofErr w:type="spellEnd"/>
      <w:r>
        <w:t xml:space="preserve"> di maggior costo unitario; la componente minore è quella farmaceutica, perché agisce su prestazioni di basso costo unitario per quanto di consumo diffuso. Confrontato con i costi diretti del servizio, dell’ordine di venticinque, trentotto e cinquanta milioni secondo lo scenario, il risparmio diretto porta il saldo fiscale in prossimità del pareggio in tutti gli scenari, da un lieve disavanzo nello scenario conservativo a un pareggio pieno in quello espansivo, con un saldo che migliora al crescere della copertura per effetto della struttura non lineare dei risparmi.</w:t>
      </w:r>
    </w:p>
    <w:p w14:paraId="5FF057F0" w14:textId="77777777" w:rsidR="007C4598" w:rsidRDefault="007C4598"/>
    <w:p w14:paraId="226A84C1" w14:textId="77777777" w:rsidR="007C4598" w:rsidRDefault="00000000">
      <w:pPr>
        <w:jc w:val="both"/>
      </w:pPr>
      <w:r>
        <w:t>Questo saldo prossimo al pareggio, lungi dall’indebolire la proposta, ne fonda la sostenibilità fiscale sul terreno sanitario e ne sposta correttamente la giustificazione economica sul terreno delle ricadute sociali. Il costo del servizio, modesto in rapporto al finanziamento sanitario regionale, non pone un problema di sostenibilità ma di dimensionamento; e la giustificazione economica piena della riforma non risiede nel saldo fiscale diretto, bensì nelle grandezze sociali di ordine superiore che la nona parte quantificherà e che la decima comporrà, nel rispetto della separazione rigorosa tra fiscale e sociale che ha governato l’intera parte. Il risparmio diretto è il fondamento certo, non il coronamento, dell’impianto economico della riforma.</w:t>
      </w:r>
    </w:p>
    <w:p w14:paraId="6B73AF89" w14:textId="77777777" w:rsidR="007C4598" w:rsidRDefault="007C4598"/>
    <w:p w14:paraId="5022094A" w14:textId="77777777" w:rsidR="007C4598" w:rsidRDefault="00000000">
      <w:pPr>
        <w:jc w:val="both"/>
      </w:pPr>
      <w:r>
        <w:t xml:space="preserve">La parte ha mantenuto, in ogni sua stima, i vincoli invarianti dell’opera. Ha espresso ogni risparmio in bande prudenziali e non in valori puntuali, in ossequio al </w:t>
      </w:r>
      <w:proofErr w:type="spellStart"/>
      <w:r>
        <w:t>caveat</w:t>
      </w:r>
      <w:proofErr w:type="spellEnd"/>
      <w:r>
        <w:t xml:space="preserve"> sulla significatività statistica del risparmio diretto. Ha mantenuto distinte le grandezze fiscali da quelle sociali, senza mai sommarle. Ha applicato la regola di non duplicazione tra i canali e tra la leva digitale e i canali. Ha contenuto ogni rapporto entro la fascia documentata dalla letteratura, compresa tra 2,3 e 3,0 a 1 per i soli benefici economici e tra 3,3 e 5,7 a 1 con i ritorni in salute. Ha graduato l’evidenza, clinica e digitale, con il medesimo rigore. E ha dichiarato, per ciascun canale, i confini della stima e l’agenda di verifica documentale, riconoscendo che la precisione delle cifre è quella consentita dai dati di contesto e che la loro sostituzione con i dati certificati regionali è la condizione del passaggio dalla stima alla misura.</w:t>
      </w:r>
    </w:p>
    <w:p w14:paraId="44CB32BA" w14:textId="77777777" w:rsidR="007C4598" w:rsidRDefault="007C4598"/>
    <w:p w14:paraId="4265D10D" w14:textId="77777777" w:rsidR="007C4598" w:rsidRDefault="00000000">
      <w:pPr>
        <w:jc w:val="both"/>
      </w:pPr>
      <w:r>
        <w:t>Con questi risultati e con questa disciplina, la parte ottava consegna alla nona il compito di percorrere il perimetro multidisciplinare integrale delle ricadute indirette, e alla decima quello di comporre, nel saldo consolidato, le grandezze dirette qui stimate e quelle sociali che seguiranno. Il risparmio diretto, misurato con onestà e dichiarato nei suoi limiti, è la prima delle grandezze su cui l’intera valutazione economica si edifica, e la sua certezza, più che la sua entità, è ciò che essa offre alla solidità complessiva dell’opera.</w:t>
      </w:r>
    </w:p>
    <w:p w14:paraId="5711C480" w14:textId="77777777" w:rsidR="007C4598" w:rsidRDefault="007C4598"/>
    <w:p w14:paraId="5FAC481A" w14:textId="77777777" w:rsidR="007C4598" w:rsidRDefault="00000000">
      <w:pPr>
        <w:pStyle w:val="Titolo1"/>
        <w:pageBreakBefore/>
      </w:pPr>
      <w:r>
        <w:rPr>
          <w:sz w:val="22"/>
          <w:szCs w:val="22"/>
        </w:rPr>
        <w:t>Note bibliografiche integrali</w:t>
      </w:r>
    </w:p>
    <w:p w14:paraId="6F56F2F8" w14:textId="77777777" w:rsidR="007C4598" w:rsidRDefault="007C4598"/>
    <w:p w14:paraId="75B41903" w14:textId="77777777" w:rsidR="007C4598" w:rsidRDefault="00000000">
      <w:pPr>
        <w:jc w:val="both"/>
      </w:pPr>
      <w:r>
        <w:rPr>
          <w:i/>
          <w:iCs/>
        </w:rPr>
        <w:t>Le note bibliografiche integrali raccolgono, in un apparato unitario, le fonti principali richiamate nelle note a piè di pagina della parte, riproducendo per ciascuna il riferimento completo e allegandovi un mini-riassunto che ne dichiara il contenuto e l’uso nella presente parte. L’apparato consolida le fonti che ricorrono, talora più volte, nel corpo della parte, e le presenta in un elenco ragionato; le note a piè di pagina che non corrispondono a fonti esterne, ma rinviano ad altre parti dell’opera o ai principi metodologici invarianti, costituiscono l’impalcatura interna del testo e sono richiamate in chiusura dell’apparato, senza duplicarne il contenuto.</w:t>
      </w:r>
    </w:p>
    <w:p w14:paraId="19309123" w14:textId="77777777" w:rsidR="007C4598" w:rsidRDefault="007C4598"/>
    <w:p w14:paraId="773CA7BB" w14:textId="77777777" w:rsidR="007C4598" w:rsidRDefault="00000000">
      <w:pPr>
        <w:jc w:val="both"/>
      </w:pPr>
      <w:r>
        <w:rPr>
          <w:b/>
          <w:bCs/>
        </w:rPr>
        <w:t xml:space="preserve">▪  </w:t>
      </w:r>
      <w:proofErr w:type="spellStart"/>
      <w:r>
        <w:t>Unützer</w:t>
      </w:r>
      <w:proofErr w:type="spellEnd"/>
      <w:r>
        <w:t xml:space="preserve"> J., </w:t>
      </w:r>
      <w:proofErr w:type="spellStart"/>
      <w:r>
        <w:t>Katon</w:t>
      </w:r>
      <w:proofErr w:type="spellEnd"/>
      <w:r>
        <w:t xml:space="preserve"> W., Fan M.Y., </w:t>
      </w:r>
      <w:proofErr w:type="spellStart"/>
      <w:r>
        <w:t>Schoenbaum</w:t>
      </w:r>
      <w:proofErr w:type="spellEnd"/>
      <w:r>
        <w:t xml:space="preserve"> M., </w:t>
      </w:r>
      <w:proofErr w:type="spellStart"/>
      <w:r>
        <w:t>Lin</w:t>
      </w:r>
      <w:proofErr w:type="spellEnd"/>
      <w:r>
        <w:t xml:space="preserve"> E.H.B., Della Penna R.D., </w:t>
      </w:r>
      <w:proofErr w:type="spellStart"/>
      <w:r>
        <w:t>Powers</w:t>
      </w:r>
      <w:proofErr w:type="spellEnd"/>
      <w:r>
        <w:t xml:space="preserve"> D., «Long-</w:t>
      </w:r>
      <w:proofErr w:type="spellStart"/>
      <w:r>
        <w:t>term</w:t>
      </w:r>
      <w:proofErr w:type="spellEnd"/>
      <w:r>
        <w:t xml:space="preserve"> </w:t>
      </w:r>
      <w:proofErr w:type="spellStart"/>
      <w:r>
        <w:t>cost</w:t>
      </w:r>
      <w:proofErr w:type="spellEnd"/>
      <w:r>
        <w:t xml:space="preserve"> </w:t>
      </w:r>
      <w:proofErr w:type="spellStart"/>
      <w:r>
        <w:t>effects</w:t>
      </w:r>
      <w:proofErr w:type="spellEnd"/>
      <w:r>
        <w:t xml:space="preserve"> of collaborative care for late-life </w:t>
      </w:r>
      <w:proofErr w:type="spellStart"/>
      <w:r>
        <w:t>depression</w:t>
      </w:r>
      <w:proofErr w:type="spellEnd"/>
      <w:r>
        <w:t xml:space="preserve">», The American Journal of </w:t>
      </w:r>
      <w:proofErr w:type="spellStart"/>
      <w:r>
        <w:t>Managed</w:t>
      </w:r>
      <w:proofErr w:type="spellEnd"/>
      <w:r>
        <w:t xml:space="preserve"> Care, vol. 14, n. 2, 2008, pp. 95-100.</w:t>
      </w:r>
    </w:p>
    <w:p w14:paraId="6CFB9DBA" w14:textId="77777777" w:rsidR="007C4598" w:rsidRDefault="007C4598"/>
    <w:p w14:paraId="0BDEDEE3" w14:textId="77777777" w:rsidR="007C4598" w:rsidRDefault="00000000">
      <w:pPr>
        <w:jc w:val="both"/>
      </w:pPr>
      <w:r>
        <w:rPr>
          <w:i/>
          <w:iCs/>
        </w:rPr>
        <w:t xml:space="preserve">Mini-riassunto. Studio condotto sull’orizzonte quadriennale del trial IMPACT sull’assistenza collaborativa per la depressione: documenta minori costi sanitari totali nel gruppo trattato, ma con un intervallo di confidenza al novantacinque per cento che comprende lo zero. È la fonte del </w:t>
      </w:r>
      <w:proofErr w:type="spellStart"/>
      <w:r>
        <w:rPr>
          <w:i/>
          <w:iCs/>
        </w:rPr>
        <w:t>caveat</w:t>
      </w:r>
      <w:proofErr w:type="spellEnd"/>
      <w:r>
        <w:rPr>
          <w:i/>
          <w:iCs/>
        </w:rPr>
        <w:t xml:space="preserve"> invariante secondo cui i risparmi sui costi sanitari diretti non raggiungono la significatività statistica, e impone perciò, in tutta la parte, la rappresentazione del risparmio in bande prudenziali anziché in valori puntuali. Richiamato a sostegno del </w:t>
      </w:r>
      <w:proofErr w:type="spellStart"/>
      <w:r>
        <w:rPr>
          <w:i/>
          <w:iCs/>
        </w:rPr>
        <w:t>caveat</w:t>
      </w:r>
      <w:proofErr w:type="spellEnd"/>
      <w:r>
        <w:rPr>
          <w:i/>
          <w:iCs/>
        </w:rPr>
        <w:t xml:space="preserve"> nei canali farmaceutico, del pronto soccorso e dei ricoveri, e specialistico.</w:t>
      </w:r>
    </w:p>
    <w:p w14:paraId="001956C0" w14:textId="77777777" w:rsidR="007C4598" w:rsidRDefault="007C4598"/>
    <w:p w14:paraId="6721C4A3" w14:textId="77777777" w:rsidR="007C4598" w:rsidRDefault="00000000">
      <w:pPr>
        <w:jc w:val="both"/>
      </w:pPr>
      <w:r>
        <w:rPr>
          <w:b/>
          <w:bCs/>
        </w:rPr>
        <w:t xml:space="preserve">▪  </w:t>
      </w:r>
      <w:proofErr w:type="spellStart"/>
      <w:r>
        <w:t>Chisholm</w:t>
      </w:r>
      <w:proofErr w:type="spellEnd"/>
      <w:r>
        <w:t xml:space="preserve"> D., </w:t>
      </w:r>
      <w:proofErr w:type="spellStart"/>
      <w:r>
        <w:t>Sweeny</w:t>
      </w:r>
      <w:proofErr w:type="spellEnd"/>
      <w:r>
        <w:t xml:space="preserve"> K., </w:t>
      </w:r>
      <w:proofErr w:type="spellStart"/>
      <w:r>
        <w:t>Sheehan</w:t>
      </w:r>
      <w:proofErr w:type="spellEnd"/>
      <w:r>
        <w:t xml:space="preserve"> P., </w:t>
      </w:r>
      <w:proofErr w:type="spellStart"/>
      <w:r>
        <w:t>Rasmussen</w:t>
      </w:r>
      <w:proofErr w:type="spellEnd"/>
      <w:r>
        <w:t xml:space="preserve"> B., </w:t>
      </w:r>
      <w:proofErr w:type="spellStart"/>
      <w:r>
        <w:t>Smit</w:t>
      </w:r>
      <w:proofErr w:type="spellEnd"/>
      <w:r>
        <w:t xml:space="preserve"> F., </w:t>
      </w:r>
      <w:proofErr w:type="spellStart"/>
      <w:r>
        <w:t>Cuijpers</w:t>
      </w:r>
      <w:proofErr w:type="spellEnd"/>
      <w:r>
        <w:t xml:space="preserve"> P., </w:t>
      </w:r>
      <w:proofErr w:type="spellStart"/>
      <w:r>
        <w:t>Saxena</w:t>
      </w:r>
      <w:proofErr w:type="spellEnd"/>
      <w:r>
        <w:t xml:space="preserve"> S., «</w:t>
      </w:r>
      <w:proofErr w:type="spellStart"/>
      <w:r>
        <w:t>Scaling</w:t>
      </w:r>
      <w:proofErr w:type="spellEnd"/>
      <w:r>
        <w:t xml:space="preserve">-up treatment of </w:t>
      </w:r>
      <w:proofErr w:type="spellStart"/>
      <w:r>
        <w:t>depression</w:t>
      </w:r>
      <w:proofErr w:type="spellEnd"/>
      <w:r>
        <w:t xml:space="preserve"> and </w:t>
      </w:r>
      <w:proofErr w:type="spellStart"/>
      <w:r>
        <w:t>anxiety</w:t>
      </w:r>
      <w:proofErr w:type="spellEnd"/>
      <w:r>
        <w:t xml:space="preserve">: a global </w:t>
      </w:r>
      <w:proofErr w:type="spellStart"/>
      <w:r>
        <w:t>return</w:t>
      </w:r>
      <w:proofErr w:type="spellEnd"/>
      <w:r>
        <w:t xml:space="preserve"> on </w:t>
      </w:r>
      <w:proofErr w:type="spellStart"/>
      <w:r>
        <w:t>investment</w:t>
      </w:r>
      <w:proofErr w:type="spellEnd"/>
      <w:r>
        <w:t xml:space="preserve"> </w:t>
      </w:r>
      <w:proofErr w:type="spellStart"/>
      <w:r>
        <w:t>analysis</w:t>
      </w:r>
      <w:proofErr w:type="spellEnd"/>
      <w:r>
        <w:t xml:space="preserve">», The Lancet </w:t>
      </w:r>
      <w:proofErr w:type="spellStart"/>
      <w:r>
        <w:t>Psychiatry</w:t>
      </w:r>
      <w:proofErr w:type="spellEnd"/>
      <w:r>
        <w:t>, vol. 3, n. 5, 2016, pp. 415-424.</w:t>
      </w:r>
    </w:p>
    <w:p w14:paraId="15818699" w14:textId="77777777" w:rsidR="007C4598" w:rsidRDefault="007C4598"/>
    <w:p w14:paraId="2515537B" w14:textId="77777777" w:rsidR="007C4598" w:rsidRDefault="00000000">
      <w:pPr>
        <w:jc w:val="both"/>
      </w:pPr>
      <w:r>
        <w:rPr>
          <w:i/>
          <w:iCs/>
        </w:rPr>
        <w:t>Mini-riassunto. Analisi globale del ritorno sull’investimento nel trattamento della depressione e dell’ansia: fissa gli intervalli del ritorno economico in un valore compreso tra 2,3 e 3,0 a 1 per i soli benefici economici e tra 3,3 e 5,7 a 1 con l’inclusione dei ritorni in salute. Costituisce l’ancora invariante dei rapporti beneficio-costo utilizzati nello studio; ogni valore esterno a tale fascia è escluso. Richiamato a delimitare i rapporti citati nella parte e a fondare il rinvio alle ricadute sociali.</w:t>
      </w:r>
    </w:p>
    <w:p w14:paraId="3E305C7E" w14:textId="77777777" w:rsidR="007C4598" w:rsidRDefault="007C4598"/>
    <w:p w14:paraId="60591A33" w14:textId="77777777" w:rsidR="007C4598" w:rsidRDefault="00000000">
      <w:pPr>
        <w:jc w:val="both"/>
      </w:pPr>
      <w:r>
        <w:rPr>
          <w:b/>
          <w:bCs/>
        </w:rPr>
        <w:t xml:space="preserve">▪  </w:t>
      </w:r>
      <w:r>
        <w:t xml:space="preserve">Agenzia Italiana del Farmaco (AIFA), L’uso dei farmaci in Italia. Rapporto Nazionale </w:t>
      </w:r>
      <w:proofErr w:type="spellStart"/>
      <w:r>
        <w:t>OsMed</w:t>
      </w:r>
      <w:proofErr w:type="spellEnd"/>
      <w:r>
        <w:t xml:space="preserve"> (Osservatorio Nazionale sull’Impiego dei Medicinali), Roma, edizioni annuali.</w:t>
      </w:r>
    </w:p>
    <w:p w14:paraId="554EFADB" w14:textId="77777777" w:rsidR="007C4598" w:rsidRDefault="007C4598"/>
    <w:p w14:paraId="51FA85B7" w14:textId="77777777" w:rsidR="007C4598" w:rsidRDefault="00000000">
      <w:pPr>
        <w:jc w:val="both"/>
      </w:pPr>
      <w:r>
        <w:rPr>
          <w:i/>
          <w:iCs/>
        </w:rPr>
        <w:t>Mini-riassunto. Fonte nazionale sui consumi e sulla spesa farmaceutica, articolata per regione e per categoria terapeutica: documenta per la Puglia un consumo complessivo tra i più elevati d’Italia e una spesa pubblica di rilievo, accanto a una intercettazione del disagio inferiore alla prevalenza attesa. Costituisce, in attesa dei dati certificati regionali, la base della ricostruzione del contesto del canale farmaceutico e del paradosso tra elevato consumo complessivo e ridotta intercettazione del disagio.</w:t>
      </w:r>
    </w:p>
    <w:p w14:paraId="12E89560" w14:textId="77777777" w:rsidR="007C4598" w:rsidRDefault="007C4598"/>
    <w:p w14:paraId="7FB739D2" w14:textId="77777777" w:rsidR="007C4598" w:rsidRDefault="00000000">
      <w:pPr>
        <w:jc w:val="both"/>
      </w:pPr>
      <w:r>
        <w:rPr>
          <w:b/>
          <w:bCs/>
        </w:rPr>
        <w:t xml:space="preserve">▪  </w:t>
      </w:r>
      <w:r>
        <w:t xml:space="preserve">National </w:t>
      </w:r>
      <w:proofErr w:type="spellStart"/>
      <w:r>
        <w:t>Institute</w:t>
      </w:r>
      <w:proofErr w:type="spellEnd"/>
      <w:r>
        <w:t xml:space="preserve"> for </w:t>
      </w:r>
      <w:proofErr w:type="spellStart"/>
      <w:r>
        <w:t>Health</w:t>
      </w:r>
      <w:proofErr w:type="spellEnd"/>
      <w:r>
        <w:t xml:space="preserve"> and Care </w:t>
      </w:r>
      <w:proofErr w:type="spellStart"/>
      <w:r>
        <w:t>Excellence</w:t>
      </w:r>
      <w:proofErr w:type="spellEnd"/>
      <w:r>
        <w:t xml:space="preserve"> (NICE), </w:t>
      </w:r>
      <w:proofErr w:type="spellStart"/>
      <w:r>
        <w:t>Depression</w:t>
      </w:r>
      <w:proofErr w:type="spellEnd"/>
      <w:r>
        <w:t xml:space="preserve"> in </w:t>
      </w:r>
      <w:proofErr w:type="spellStart"/>
      <w:r>
        <w:t>adults</w:t>
      </w:r>
      <w:proofErr w:type="spellEnd"/>
      <w:r>
        <w:t xml:space="preserve">: treatment and management, NICE </w:t>
      </w:r>
      <w:proofErr w:type="spellStart"/>
      <w:r>
        <w:t>guideline</w:t>
      </w:r>
      <w:proofErr w:type="spellEnd"/>
      <w:r>
        <w:t xml:space="preserve"> NG222, Londra, 2022.</w:t>
      </w:r>
    </w:p>
    <w:p w14:paraId="3332251A" w14:textId="77777777" w:rsidR="007C4598" w:rsidRDefault="007C4598"/>
    <w:p w14:paraId="25C61B02" w14:textId="77777777" w:rsidR="007C4598" w:rsidRDefault="00000000">
      <w:pPr>
        <w:jc w:val="both"/>
      </w:pPr>
      <w:r>
        <w:rPr>
          <w:i/>
          <w:iCs/>
        </w:rPr>
        <w:t>Mini-riassunto. Linea guida che raccomanda, per la depressione lieve e sotto-soglia, gli interventi psicologici a bassa intensità e l’osservazione vigile prima del ricorso al trattamento farmacologico, e che disciplina la durata appropriata delle terapie antidepressive. Sostiene l’anello prescrittivo del canale farmaceutico, in particolare la componente relativa all’appropriatezza della durata e alla riduzione delle prescrizioni avviate per difetto di indicazione in presenza di un’alternativa psicologica accessibile.</w:t>
      </w:r>
    </w:p>
    <w:p w14:paraId="3C06D6EC" w14:textId="77777777" w:rsidR="007C4598" w:rsidRDefault="007C4598"/>
    <w:p w14:paraId="6D6FE23D" w14:textId="77777777" w:rsidR="007C4598" w:rsidRDefault="00000000">
      <w:pPr>
        <w:jc w:val="both"/>
      </w:pPr>
      <w:r>
        <w:rPr>
          <w:b/>
          <w:bCs/>
        </w:rPr>
        <w:t xml:space="preserve">▪  </w:t>
      </w:r>
      <w:proofErr w:type="spellStart"/>
      <w:r>
        <w:t>Pottie</w:t>
      </w:r>
      <w:proofErr w:type="spellEnd"/>
      <w:r>
        <w:t xml:space="preserve"> K., Thompson W., Davies S. et al., «</w:t>
      </w:r>
      <w:proofErr w:type="spellStart"/>
      <w:r>
        <w:t>Deprescribing</w:t>
      </w:r>
      <w:proofErr w:type="spellEnd"/>
      <w:r>
        <w:t xml:space="preserve"> benzodiazepine </w:t>
      </w:r>
      <w:proofErr w:type="spellStart"/>
      <w:r>
        <w:t>receptor</w:t>
      </w:r>
      <w:proofErr w:type="spellEnd"/>
      <w:r>
        <w:t xml:space="preserve"> </w:t>
      </w:r>
      <w:proofErr w:type="spellStart"/>
      <w:r>
        <w:t>agonists</w:t>
      </w:r>
      <w:proofErr w:type="spellEnd"/>
      <w:r>
        <w:t xml:space="preserve">: </w:t>
      </w:r>
      <w:proofErr w:type="spellStart"/>
      <w:r>
        <w:t>evidence-based</w:t>
      </w:r>
      <w:proofErr w:type="spellEnd"/>
      <w:r>
        <w:t xml:space="preserve"> </w:t>
      </w:r>
      <w:proofErr w:type="spellStart"/>
      <w:r>
        <w:t>clinical</w:t>
      </w:r>
      <w:proofErr w:type="spellEnd"/>
      <w:r>
        <w:t xml:space="preserve"> </w:t>
      </w:r>
      <w:proofErr w:type="spellStart"/>
      <w:r>
        <w:t>practice</w:t>
      </w:r>
      <w:proofErr w:type="spellEnd"/>
      <w:r>
        <w:t xml:space="preserve"> </w:t>
      </w:r>
      <w:proofErr w:type="spellStart"/>
      <w:r>
        <w:t>guideline</w:t>
      </w:r>
      <w:proofErr w:type="spellEnd"/>
      <w:r>
        <w:t xml:space="preserve">», Canadian Family </w:t>
      </w:r>
      <w:proofErr w:type="spellStart"/>
      <w:r>
        <w:t>Physician</w:t>
      </w:r>
      <w:proofErr w:type="spellEnd"/>
      <w:r>
        <w:t>, vol. 64, n. 5, 2018, pp. 339-351.</w:t>
      </w:r>
    </w:p>
    <w:p w14:paraId="78473B70" w14:textId="77777777" w:rsidR="007C4598" w:rsidRDefault="007C4598"/>
    <w:p w14:paraId="5FC02C80" w14:textId="77777777" w:rsidR="007C4598" w:rsidRDefault="00000000">
      <w:pPr>
        <w:jc w:val="both"/>
      </w:pPr>
      <w:r>
        <w:rPr>
          <w:i/>
          <w:iCs/>
        </w:rPr>
        <w:t xml:space="preserve">Mini-riassunto. Linea guida basata sull’evidenza per la </w:t>
      </w:r>
      <w:proofErr w:type="spellStart"/>
      <w:r>
        <w:rPr>
          <w:i/>
          <w:iCs/>
        </w:rPr>
        <w:t>deprescrizione</w:t>
      </w:r>
      <w:proofErr w:type="spellEnd"/>
      <w:r>
        <w:rPr>
          <w:i/>
          <w:iCs/>
        </w:rPr>
        <w:t xml:space="preserve"> degli agonisti del recettore delle benzodiazepine, con particolare riguardo alla popolazione anziana: documenta che la riduzione graduale, sostenuta dal </w:t>
      </w:r>
      <w:proofErr w:type="spellStart"/>
      <w:r>
        <w:rPr>
          <w:i/>
          <w:iCs/>
        </w:rPr>
        <w:t>prescrittore</w:t>
      </w:r>
      <w:proofErr w:type="spellEnd"/>
      <w:r>
        <w:rPr>
          <w:i/>
          <w:iCs/>
        </w:rPr>
        <w:t xml:space="preserve"> e da un’alternativa accessibile, consente di interrompere o di non avviare una quota significativa dei trattamenti cronici inappropriati. Sostiene il primo e principale meccanismo del canale farmaceutico, relativo alla riduzione dell’uso cronico inappropriato di ansiolitici e ipnotici.</w:t>
      </w:r>
    </w:p>
    <w:p w14:paraId="6A780B3B" w14:textId="77777777" w:rsidR="007C4598" w:rsidRDefault="007C4598"/>
    <w:p w14:paraId="1A53C362" w14:textId="77777777" w:rsidR="007C4598" w:rsidRDefault="00000000">
      <w:pPr>
        <w:jc w:val="both"/>
      </w:pPr>
      <w:r>
        <w:rPr>
          <w:b/>
          <w:bCs/>
        </w:rPr>
        <w:t xml:space="preserve">▪  </w:t>
      </w:r>
      <w:proofErr w:type="spellStart"/>
      <w:r>
        <w:t>Katon</w:t>
      </w:r>
      <w:proofErr w:type="spellEnd"/>
      <w:r>
        <w:t xml:space="preserve"> W., </w:t>
      </w:r>
      <w:proofErr w:type="spellStart"/>
      <w:r>
        <w:t>Unützer</w:t>
      </w:r>
      <w:proofErr w:type="spellEnd"/>
      <w:r>
        <w:t xml:space="preserve"> J., Wells K., Jones L., «Collaborative </w:t>
      </w:r>
      <w:proofErr w:type="spellStart"/>
      <w:r>
        <w:t>depression</w:t>
      </w:r>
      <w:proofErr w:type="spellEnd"/>
      <w:r>
        <w:t xml:space="preserve"> care: </w:t>
      </w:r>
      <w:proofErr w:type="spellStart"/>
      <w:r>
        <w:t>history</w:t>
      </w:r>
      <w:proofErr w:type="spellEnd"/>
      <w:r>
        <w:t xml:space="preserve">, </w:t>
      </w:r>
      <w:proofErr w:type="spellStart"/>
      <w:r>
        <w:t>evolution</w:t>
      </w:r>
      <w:proofErr w:type="spellEnd"/>
      <w:r>
        <w:t xml:space="preserve"> and ways to </w:t>
      </w:r>
      <w:proofErr w:type="spellStart"/>
      <w:r>
        <w:t>enhance</w:t>
      </w:r>
      <w:proofErr w:type="spellEnd"/>
      <w:r>
        <w:t xml:space="preserve"> </w:t>
      </w:r>
      <w:proofErr w:type="spellStart"/>
      <w:r>
        <w:t>dissemination</w:t>
      </w:r>
      <w:proofErr w:type="spellEnd"/>
      <w:r>
        <w:t xml:space="preserve"> and </w:t>
      </w:r>
      <w:proofErr w:type="spellStart"/>
      <w:r>
        <w:t>sustainability</w:t>
      </w:r>
      <w:proofErr w:type="spellEnd"/>
      <w:r>
        <w:t xml:space="preserve">», General Hospital </w:t>
      </w:r>
      <w:proofErr w:type="spellStart"/>
      <w:r>
        <w:t>Psychiatry</w:t>
      </w:r>
      <w:proofErr w:type="spellEnd"/>
      <w:r>
        <w:t>, vol. 32, n. 5, 2010, pp. 456-464.</w:t>
      </w:r>
    </w:p>
    <w:p w14:paraId="1A7B3E20" w14:textId="77777777" w:rsidR="007C4598" w:rsidRDefault="007C4598"/>
    <w:p w14:paraId="050B1BF5" w14:textId="77777777" w:rsidR="007C4598" w:rsidRDefault="00000000">
      <w:pPr>
        <w:jc w:val="both"/>
      </w:pPr>
      <w:r>
        <w:rPr>
          <w:i/>
          <w:iCs/>
        </w:rPr>
        <w:t xml:space="preserve">Mini-riassunto. Rassegna della storia e dell’evoluzione dei modelli di assistenza collaborativa per la depressione: documenta, accanto al miglioramento degli esiti clinici, la riduzione dell’utilizzo dei servizi ad alta intensità e il rafforzamento della continuità della presa in carico dopo la dimissione, con effetti sui </w:t>
      </w:r>
      <w:proofErr w:type="spellStart"/>
      <w:r>
        <w:rPr>
          <w:i/>
          <w:iCs/>
        </w:rPr>
        <w:t>ri</w:t>
      </w:r>
      <w:proofErr w:type="spellEnd"/>
      <w:r>
        <w:rPr>
          <w:i/>
          <w:iCs/>
        </w:rPr>
        <w:t>-ricoveri. Sostiene il terzo meccanismo del canale del pronto soccorso e dei ricoveri, relativo alla riduzione delle degenze e dei ritorni in reparto attraverso la continuità territoriale.</w:t>
      </w:r>
    </w:p>
    <w:p w14:paraId="163C40AD" w14:textId="77777777" w:rsidR="007C4598" w:rsidRDefault="007C4598"/>
    <w:p w14:paraId="2089E8F1" w14:textId="77777777" w:rsidR="007C4598" w:rsidRDefault="00000000">
      <w:pPr>
        <w:jc w:val="both"/>
      </w:pPr>
      <w:r>
        <w:rPr>
          <w:b/>
          <w:bCs/>
        </w:rPr>
        <w:t xml:space="preserve">▪  </w:t>
      </w:r>
      <w:proofErr w:type="spellStart"/>
      <w:r>
        <w:t>Organisation</w:t>
      </w:r>
      <w:proofErr w:type="spellEnd"/>
      <w:r>
        <w:t xml:space="preserve"> for </w:t>
      </w:r>
      <w:proofErr w:type="spellStart"/>
      <w:r>
        <w:t>Economic</w:t>
      </w:r>
      <w:proofErr w:type="spellEnd"/>
      <w:r>
        <w:t xml:space="preserve"> Co-</w:t>
      </w:r>
      <w:proofErr w:type="spellStart"/>
      <w:r>
        <w:t>operation</w:t>
      </w:r>
      <w:proofErr w:type="spellEnd"/>
      <w:r>
        <w:t xml:space="preserve"> and Development (OECD), </w:t>
      </w:r>
      <w:proofErr w:type="spellStart"/>
      <w:r>
        <w:t>Health</w:t>
      </w:r>
      <w:proofErr w:type="spellEnd"/>
      <w:r>
        <w:t xml:space="preserve"> </w:t>
      </w:r>
      <w:proofErr w:type="spellStart"/>
      <w:r>
        <w:t>at</w:t>
      </w:r>
      <w:proofErr w:type="spellEnd"/>
      <w:r>
        <w:t xml:space="preserve"> a </w:t>
      </w:r>
      <w:proofErr w:type="spellStart"/>
      <w:r>
        <w:t>Glance</w:t>
      </w:r>
      <w:proofErr w:type="spellEnd"/>
      <w:r>
        <w:t xml:space="preserve"> (indicatori sui ricoveri evitabili per condizioni sensibili alle cure ambulatoriali); Agency for Healthcare </w:t>
      </w:r>
      <w:proofErr w:type="spellStart"/>
      <w:r>
        <w:t>Research</w:t>
      </w:r>
      <w:proofErr w:type="spellEnd"/>
      <w:r>
        <w:t xml:space="preserve"> and </w:t>
      </w:r>
      <w:proofErr w:type="spellStart"/>
      <w:r>
        <w:t>Quality</w:t>
      </w:r>
      <w:proofErr w:type="spellEnd"/>
      <w:r>
        <w:t xml:space="preserve"> (AHRQ), </w:t>
      </w:r>
      <w:proofErr w:type="spellStart"/>
      <w:r>
        <w:t>Prevention</w:t>
      </w:r>
      <w:proofErr w:type="spellEnd"/>
      <w:r>
        <w:t xml:space="preserve"> </w:t>
      </w:r>
      <w:proofErr w:type="spellStart"/>
      <w:r>
        <w:t>Quality</w:t>
      </w:r>
      <w:proofErr w:type="spellEnd"/>
      <w:r>
        <w:t xml:space="preserve"> </w:t>
      </w:r>
      <w:proofErr w:type="spellStart"/>
      <w:r>
        <w:t>Indicators</w:t>
      </w:r>
      <w:proofErr w:type="spellEnd"/>
      <w:r>
        <w:t xml:space="preserve"> (PQI), Rockville (MD).</w:t>
      </w:r>
    </w:p>
    <w:p w14:paraId="65BA32F3" w14:textId="77777777" w:rsidR="007C4598" w:rsidRDefault="007C4598"/>
    <w:p w14:paraId="33418678" w14:textId="77777777" w:rsidR="007C4598" w:rsidRDefault="00000000">
      <w:pPr>
        <w:jc w:val="both"/>
      </w:pPr>
      <w:r>
        <w:rPr>
          <w:i/>
          <w:iCs/>
        </w:rPr>
        <w:t>Mini-riassunto. Set di indicatori internazionali che misurano la qualità e la capillarità delle cure primarie attraverso il tasso dei ricoveri prevenibili da una gestione territoriale tempestiva ed efficace. Costituisce il riferimento metodologico per la componente dei ricoveri medici evitabili del secondo canale, limitatamente alla quota in cui il disagio psichico aggrava il decorso della patologia organica e ne precipita la degenza.</w:t>
      </w:r>
    </w:p>
    <w:p w14:paraId="73D07C89" w14:textId="77777777" w:rsidR="007C4598" w:rsidRDefault="007C4598"/>
    <w:p w14:paraId="204696E5" w14:textId="77777777" w:rsidR="007C4598" w:rsidRDefault="00000000">
      <w:pPr>
        <w:jc w:val="both"/>
      </w:pPr>
      <w:r>
        <w:rPr>
          <w:b/>
          <w:bCs/>
        </w:rPr>
        <w:t xml:space="preserve">▪  </w:t>
      </w:r>
      <w:r>
        <w:t>Fonti sulla compensazione della mobilità sanitaria interregionale (matrici di scambio del Nuovo Sistema Informativo Sanitario); Corte dei conti, Relazioni sulla gestione finanziaria del Servizio sanitario della Regione Puglia.</w:t>
      </w:r>
    </w:p>
    <w:p w14:paraId="4F17A416" w14:textId="77777777" w:rsidR="007C4598" w:rsidRDefault="007C4598"/>
    <w:p w14:paraId="58FEB21D" w14:textId="77777777" w:rsidR="007C4598" w:rsidRDefault="00000000">
      <w:pPr>
        <w:jc w:val="both"/>
      </w:pPr>
      <w:r>
        <w:rPr>
          <w:i/>
          <w:iCs/>
        </w:rPr>
        <w:t>Mini-riassunto. Fonti istituzionali sui flussi e sul saldo della mobilità sanitaria interregionale, che documentano per la Puglia un saldo passivo dell’ordine di duecentocinquanta milioni di euro l’anno, risultante da un flusso passivo in uscita di poco inferiore ai quattrocento milioni e da un flusso attivo in entrata dell’ordine di centoventi milioni. Costituiscono, in attesa dei dati certificati disaggregati per disciplina, la base della ricostruzione del terzo canale e della stima della sua componente a matrice psichica.</w:t>
      </w:r>
    </w:p>
    <w:p w14:paraId="3E03DF5F" w14:textId="77777777" w:rsidR="007C4598" w:rsidRDefault="007C4598"/>
    <w:p w14:paraId="359D1B60" w14:textId="77777777" w:rsidR="007C4598" w:rsidRDefault="00000000">
      <w:pPr>
        <w:jc w:val="both"/>
      </w:pPr>
      <w:r>
        <w:rPr>
          <w:b/>
          <w:bCs/>
        </w:rPr>
        <w:t xml:space="preserve">▪  </w:t>
      </w:r>
      <w:proofErr w:type="spellStart"/>
      <w:r>
        <w:t>Andrews</w:t>
      </w:r>
      <w:proofErr w:type="spellEnd"/>
      <w:r>
        <w:t xml:space="preserve"> G., </w:t>
      </w:r>
      <w:proofErr w:type="spellStart"/>
      <w:r>
        <w:t>Basu</w:t>
      </w:r>
      <w:proofErr w:type="spellEnd"/>
      <w:r>
        <w:t xml:space="preserve"> A., </w:t>
      </w:r>
      <w:proofErr w:type="spellStart"/>
      <w:r>
        <w:t>Cuijpers</w:t>
      </w:r>
      <w:proofErr w:type="spellEnd"/>
      <w:r>
        <w:t xml:space="preserve"> P., </w:t>
      </w:r>
      <w:proofErr w:type="spellStart"/>
      <w:r>
        <w:t>Craske</w:t>
      </w:r>
      <w:proofErr w:type="spellEnd"/>
      <w:r>
        <w:t xml:space="preserve"> M.G., </w:t>
      </w:r>
      <w:proofErr w:type="spellStart"/>
      <w:r>
        <w:t>McEvoy</w:t>
      </w:r>
      <w:proofErr w:type="spellEnd"/>
      <w:r>
        <w:t xml:space="preserve"> P., English C.L., </w:t>
      </w:r>
      <w:proofErr w:type="spellStart"/>
      <w:r>
        <w:t>Newby</w:t>
      </w:r>
      <w:proofErr w:type="spellEnd"/>
      <w:r>
        <w:t xml:space="preserve"> J.M., «Computer </w:t>
      </w:r>
      <w:proofErr w:type="spellStart"/>
      <w:r>
        <w:t>therapy</w:t>
      </w:r>
      <w:proofErr w:type="spellEnd"/>
      <w:r>
        <w:t xml:space="preserve"> for the </w:t>
      </w:r>
      <w:proofErr w:type="spellStart"/>
      <w:r>
        <w:t>anxiety</w:t>
      </w:r>
      <w:proofErr w:type="spellEnd"/>
      <w:r>
        <w:t xml:space="preserve"> and </w:t>
      </w:r>
      <w:proofErr w:type="spellStart"/>
      <w:r>
        <w:t>depression</w:t>
      </w:r>
      <w:proofErr w:type="spellEnd"/>
      <w:r>
        <w:t xml:space="preserve"> </w:t>
      </w:r>
      <w:proofErr w:type="spellStart"/>
      <w:r>
        <w:t>disorders</w:t>
      </w:r>
      <w:proofErr w:type="spellEnd"/>
      <w:r>
        <w:t xml:space="preserve"> </w:t>
      </w:r>
      <w:proofErr w:type="spellStart"/>
      <w:r>
        <w:t>is</w:t>
      </w:r>
      <w:proofErr w:type="spellEnd"/>
      <w:r>
        <w:t xml:space="preserve"> </w:t>
      </w:r>
      <w:proofErr w:type="spellStart"/>
      <w:r>
        <w:t>effective</w:t>
      </w:r>
      <w:proofErr w:type="spellEnd"/>
      <w:r>
        <w:t xml:space="preserve">, </w:t>
      </w:r>
      <w:proofErr w:type="spellStart"/>
      <w:r>
        <w:t>acceptable</w:t>
      </w:r>
      <w:proofErr w:type="spellEnd"/>
      <w:r>
        <w:t xml:space="preserve"> and </w:t>
      </w:r>
      <w:proofErr w:type="spellStart"/>
      <w:r>
        <w:t>practical</w:t>
      </w:r>
      <w:proofErr w:type="spellEnd"/>
      <w:r>
        <w:t xml:space="preserve"> </w:t>
      </w:r>
      <w:proofErr w:type="spellStart"/>
      <w:r>
        <w:t>health</w:t>
      </w:r>
      <w:proofErr w:type="spellEnd"/>
      <w:r>
        <w:t xml:space="preserve"> care: an </w:t>
      </w:r>
      <w:proofErr w:type="spellStart"/>
      <w:r>
        <w:t>updated</w:t>
      </w:r>
      <w:proofErr w:type="spellEnd"/>
      <w:r>
        <w:t xml:space="preserve"> meta-</w:t>
      </w:r>
      <w:proofErr w:type="spellStart"/>
      <w:r>
        <w:t>analysis</w:t>
      </w:r>
      <w:proofErr w:type="spellEnd"/>
      <w:r>
        <w:t xml:space="preserve">», Journal of </w:t>
      </w:r>
      <w:proofErr w:type="spellStart"/>
      <w:r>
        <w:t>Anxiety</w:t>
      </w:r>
      <w:proofErr w:type="spellEnd"/>
      <w:r>
        <w:t xml:space="preserve"> </w:t>
      </w:r>
      <w:proofErr w:type="spellStart"/>
      <w:r>
        <w:t>Disorders</w:t>
      </w:r>
      <w:proofErr w:type="spellEnd"/>
      <w:r>
        <w:t>, vol. 55, 2018, pp. 70-78.</w:t>
      </w:r>
    </w:p>
    <w:p w14:paraId="672FFFE0" w14:textId="77777777" w:rsidR="007C4598" w:rsidRDefault="007C4598"/>
    <w:p w14:paraId="37781196" w14:textId="77777777" w:rsidR="007C4598" w:rsidRDefault="00000000">
      <w:pPr>
        <w:jc w:val="both"/>
      </w:pPr>
      <w:r>
        <w:rPr>
          <w:i/>
          <w:iCs/>
        </w:rPr>
        <w:t>Mini-riassunto. Meta-analisi aggiornata sull’efficacia della terapia cognitivo-comportamentale computerizzata e via internet per i disturbi d’ansia e depressivi: documenta effetti comparabili a quelli del trattamento erogato di persona in popolazioni selezionate. Fornisce l’evidenza clinica, di qualità da moderata a buona, a sostegno degli strumenti digitali trasversali considerati nella voce sul contributo dell’Intelligenza Artificiale; l’evidenza sull’effetto incrementale specifico di tali strumenti sul risparmio diretto è invece più limitata e di qualità bassa.</w:t>
      </w:r>
    </w:p>
    <w:p w14:paraId="14477FD6" w14:textId="77777777" w:rsidR="007C4598" w:rsidRDefault="007C4598"/>
    <w:p w14:paraId="15FFEE24" w14:textId="77777777" w:rsidR="007C4598" w:rsidRDefault="00000000">
      <w:pPr>
        <w:jc w:val="both"/>
      </w:pPr>
      <w:r>
        <w:rPr>
          <w:b/>
          <w:bCs/>
        </w:rPr>
        <w:t xml:space="preserve">▪  </w:t>
      </w:r>
      <w:r>
        <w:t>Letteratura sui sintomi somatici funzionali (</w:t>
      </w:r>
      <w:proofErr w:type="spellStart"/>
      <w:r>
        <w:t>medically</w:t>
      </w:r>
      <w:proofErr w:type="spellEnd"/>
      <w:r>
        <w:t xml:space="preserve"> </w:t>
      </w:r>
      <w:proofErr w:type="spellStart"/>
      <w:r>
        <w:t>unexplained</w:t>
      </w:r>
      <w:proofErr w:type="spellEnd"/>
      <w:r>
        <w:t xml:space="preserve"> </w:t>
      </w:r>
      <w:proofErr w:type="spellStart"/>
      <w:r>
        <w:t>symptoms</w:t>
      </w:r>
      <w:proofErr w:type="spellEnd"/>
      <w:r>
        <w:t>) e sul loro impatto sull’utilizzo dei servizi sanitari (rassegne e studi sull’</w:t>
      </w:r>
      <w:proofErr w:type="spellStart"/>
      <w:r>
        <w:t>iper</w:t>
      </w:r>
      <w:proofErr w:type="spellEnd"/>
      <w:r>
        <w:t>-utilizzo diagnostico e specialistico).</w:t>
      </w:r>
    </w:p>
    <w:p w14:paraId="165F93CD" w14:textId="77777777" w:rsidR="007C4598" w:rsidRDefault="007C4598"/>
    <w:p w14:paraId="6BB5E634" w14:textId="77777777" w:rsidR="007C4598" w:rsidRDefault="00000000">
      <w:pPr>
        <w:jc w:val="both"/>
      </w:pPr>
      <w:r>
        <w:rPr>
          <w:i/>
          <w:iCs/>
        </w:rPr>
        <w:t>Mini-riassunto. Corpo di studi che documenta come i sintomi fisici privi di causa organica accertata, di matrice psichica non riconosciuta, generino un consumo elevato e ripetuto di prestazioni diagnostiche e specialistiche, secondo il meccanismo della rincorsa diagnostica del sintomo. Costituisce il fondamento del terzo meccanismo del canale farmaceutico, relativo alla prescrizione sintomatica, e dell’intero quarto canale, relativo alla domanda specialistica e diagnostica indotta dal disagio non riconosciuto.</w:t>
      </w:r>
    </w:p>
    <w:p w14:paraId="3C4D44B7" w14:textId="77777777" w:rsidR="007C4598" w:rsidRDefault="007C4598"/>
    <w:p w14:paraId="7B51E2A4" w14:textId="77777777" w:rsidR="007C4598" w:rsidRDefault="00000000">
      <w:pPr>
        <w:pStyle w:val="Titolo2"/>
        <w:spacing w:before="200" w:after="100"/>
      </w:pPr>
      <w:r>
        <w:rPr>
          <w:sz w:val="22"/>
          <w:szCs w:val="22"/>
        </w:rPr>
        <w:t>Nota sui rinvii interni e sui principi metodologici</w:t>
      </w:r>
    </w:p>
    <w:p w14:paraId="0F709655" w14:textId="77777777" w:rsidR="007C4598" w:rsidRDefault="007C4598"/>
    <w:p w14:paraId="6D43EBCE" w14:textId="77777777" w:rsidR="007C4598" w:rsidRDefault="00000000">
      <w:pPr>
        <w:jc w:val="both"/>
      </w:pPr>
      <w:r>
        <w:t xml:space="preserve">Le note a piè di pagina della parte non richiamate nell’elenco precedente non corrispondono a fonti bibliografiche esterne, ma assolvono due funzioni interne all’opera, e per questo non sono qui riprodotte come voci bibliografiche. La prima funzione è il rinvio ad altre parti dello studio, ai quali la parte ottava si raccorda: la prima parte, per il telaio metodologico, il posizionamento dell’Intelligenza Artificiale e i vincoli invarianti; la seconda, per il contesto epidemiologico, demografico, sanitario e finanziario regionale; la quarta, per il modello organizzativo, la leva digitale e la </w:t>
      </w:r>
      <w:proofErr w:type="spellStart"/>
      <w:r>
        <w:t>governance</w:t>
      </w:r>
      <w:proofErr w:type="spellEnd"/>
      <w:r>
        <w:t xml:space="preserve"> prudenziale; la sesta, per la graduazione dell’evidenza clinica e digitale; la settima, per i costi diretti del servizio; la nona, per le ricadute economico-sociali indirette; la decima, per il saldo consolidato; la undicesima, per la modellazione e la previsione; la tredicesima, per i profili etico-giuridici e la protezione dei dati; la quindicesima, per il monitoraggio e la verifica ex-post. La seconda funzione è il richiamo dei principi metodologici invarianti che governano ogni stima: gli intervalli di </w:t>
      </w:r>
      <w:proofErr w:type="spellStart"/>
      <w:r>
        <w:t>Chisholm</w:t>
      </w:r>
      <w:proofErr w:type="spellEnd"/>
      <w:r>
        <w:t xml:space="preserve">, il </w:t>
      </w:r>
      <w:proofErr w:type="spellStart"/>
      <w:r>
        <w:t>caveat</w:t>
      </w:r>
      <w:proofErr w:type="spellEnd"/>
      <w:r>
        <w:t xml:space="preserve"> dell’IMPACT trial, la regola di non duplicazione tra grandezze fiscali e sociali e tra canali, la graduazione simmetrica dell’evidenza secondo i criteri GRADE, e il ricorso sistematico alle bande prudenziali. Questi rinvii e questi richiami costituiscono l’impalcatura interna che tiene insieme la parte con il resto dell’opera e con i suoi principi, e la loro presenza nelle note a piè di pagina, accanto alle fonti esterne qui consolidate, realizza il doppio livello dell’apparato di note che l’intera opera adotta: la nota a piè di pagina nel corpo del testo, per il riferimento puntuale, e la nota bibliografica integrale con mini-riassunto in questa sede, per la fonte esterna e il suo uso.</w:t>
      </w:r>
    </w:p>
    <w:p w14:paraId="61BA2F20" w14:textId="77777777" w:rsidR="007C4598" w:rsidRDefault="007C4598"/>
    <w:p w14:paraId="3EAED10A" w14:textId="77777777" w:rsidR="007C4598" w:rsidRDefault="00000000">
      <w:pPr>
        <w:jc w:val="both"/>
      </w:pPr>
      <w:r>
        <w:t>Benefici e risparmi diretti</w:t>
      </w:r>
      <w:r>
        <w:tab/>
        <w:t>L. De Michele · giugno 2026</w:t>
      </w:r>
    </w:p>
    <w:p w14:paraId="5396547C" w14:textId="77777777" w:rsidR="007C4598" w:rsidRDefault="007C4598"/>
    <w:p w14:paraId="4933E972" w14:textId="77777777" w:rsidR="007C4598" w:rsidRDefault="00000000">
      <w:pPr>
        <w:jc w:val="both"/>
      </w:pPr>
      <w:r>
        <w:rPr>
          <w:color w:val="555555"/>
          <w:sz w:val="16"/>
          <w:szCs w:val="16"/>
          <w:vertAlign w:val="superscript"/>
        </w:rPr>
        <w:t>[1]</w:t>
      </w:r>
      <w:r>
        <w:t xml:space="preserve">: </w:t>
      </w:r>
      <w:proofErr w:type="spellStart"/>
      <w:r>
        <w:t>Unützer</w:t>
      </w:r>
      <w:proofErr w:type="spellEnd"/>
      <w:r>
        <w:t xml:space="preserve"> J., </w:t>
      </w:r>
      <w:proofErr w:type="spellStart"/>
      <w:r>
        <w:t>Katon</w:t>
      </w:r>
      <w:proofErr w:type="spellEnd"/>
      <w:r>
        <w:t xml:space="preserve"> W., Fan M.Y. et al., «Long-</w:t>
      </w:r>
      <w:proofErr w:type="spellStart"/>
      <w:r>
        <w:t>term</w:t>
      </w:r>
      <w:proofErr w:type="spellEnd"/>
      <w:r>
        <w:t xml:space="preserve"> </w:t>
      </w:r>
      <w:proofErr w:type="spellStart"/>
      <w:r>
        <w:t>cost</w:t>
      </w:r>
      <w:proofErr w:type="spellEnd"/>
      <w:r>
        <w:t xml:space="preserve"> </w:t>
      </w:r>
      <w:proofErr w:type="spellStart"/>
      <w:r>
        <w:t>effects</w:t>
      </w:r>
      <w:proofErr w:type="spellEnd"/>
      <w:r>
        <w:t xml:space="preserve"> of collaborative care for late-life </w:t>
      </w:r>
      <w:proofErr w:type="spellStart"/>
      <w:r>
        <w:t>depression</w:t>
      </w:r>
      <w:proofErr w:type="spellEnd"/>
      <w:r>
        <w:t xml:space="preserve">», The American Journal of </w:t>
      </w:r>
      <w:proofErr w:type="spellStart"/>
      <w:r>
        <w:t>Managed</w:t>
      </w:r>
      <w:proofErr w:type="spellEnd"/>
      <w:r>
        <w:t xml:space="preserve"> Care, vol. 14, n. 2, 2008, pp. 95-100. Lo studio, condotto sull’orizzonte quadriennale del trial IMPACT, documenta minori costi sanitari totali nel gruppo trattato, ma la differenza non raggiunge la significatività statistica: l’intervallo di confidenza al 95% comprende lo zero. È il </w:t>
      </w:r>
      <w:proofErr w:type="spellStart"/>
      <w:r>
        <w:t>caveat</w:t>
      </w:r>
      <w:proofErr w:type="spellEnd"/>
      <w:r>
        <w:t xml:space="preserve"> invariante che impone, per i risparmi diretti, le bande prudenziali in luogo dei valori puntuali.</w:t>
      </w:r>
    </w:p>
    <w:p w14:paraId="678F906E" w14:textId="77777777" w:rsidR="007C4598" w:rsidRDefault="00000000">
      <w:pPr>
        <w:jc w:val="both"/>
      </w:pPr>
      <w:r>
        <w:rPr>
          <w:color w:val="555555"/>
          <w:sz w:val="16"/>
          <w:szCs w:val="16"/>
          <w:vertAlign w:val="superscript"/>
        </w:rPr>
        <w:t>[2]</w:t>
      </w:r>
      <w:r>
        <w:t>: La corrispondenza tra i quattro canali del risparmio diretto e le voci della presente parte riprende e articola, con maggiore granularità, la struttura per canali della valutazione economica del telaio integrato (Parte E, sezione E.4), nella quale i risparmi diretti per il Servizio sanitario regionale erano ricostruiti per canale e aggregati negli ordini di grandezza di 20, 34 e 50 milioni di euro l’anno secondo lo scenario.</w:t>
      </w:r>
    </w:p>
    <w:p w14:paraId="09A4B9E2" w14:textId="77777777" w:rsidR="007C4598" w:rsidRDefault="00000000">
      <w:pPr>
        <w:jc w:val="both"/>
      </w:pPr>
      <w:r>
        <w:rPr>
          <w:color w:val="555555"/>
          <w:sz w:val="16"/>
          <w:szCs w:val="16"/>
          <w:vertAlign w:val="superscript"/>
        </w:rPr>
        <w:t>[3]</w:t>
      </w:r>
      <w:r>
        <w:t xml:space="preserve">: </w:t>
      </w:r>
      <w:proofErr w:type="spellStart"/>
      <w:r>
        <w:t>Chisholm</w:t>
      </w:r>
      <w:proofErr w:type="spellEnd"/>
      <w:r>
        <w:t xml:space="preserve"> D., </w:t>
      </w:r>
      <w:proofErr w:type="spellStart"/>
      <w:r>
        <w:t>Sweeny</w:t>
      </w:r>
      <w:proofErr w:type="spellEnd"/>
      <w:r>
        <w:t xml:space="preserve"> K., </w:t>
      </w:r>
      <w:proofErr w:type="spellStart"/>
      <w:r>
        <w:t>Sheehan</w:t>
      </w:r>
      <w:proofErr w:type="spellEnd"/>
      <w:r>
        <w:t xml:space="preserve"> P. et al., «</w:t>
      </w:r>
      <w:proofErr w:type="spellStart"/>
      <w:r>
        <w:t>Scaling</w:t>
      </w:r>
      <w:proofErr w:type="spellEnd"/>
      <w:r>
        <w:t xml:space="preserve">-up treatment of </w:t>
      </w:r>
      <w:proofErr w:type="spellStart"/>
      <w:r>
        <w:t>depression</w:t>
      </w:r>
      <w:proofErr w:type="spellEnd"/>
      <w:r>
        <w:t xml:space="preserve"> and </w:t>
      </w:r>
      <w:proofErr w:type="spellStart"/>
      <w:r>
        <w:t>anxiety</w:t>
      </w:r>
      <w:proofErr w:type="spellEnd"/>
      <w:r>
        <w:t xml:space="preserve">: a global </w:t>
      </w:r>
      <w:proofErr w:type="spellStart"/>
      <w:r>
        <w:t>return</w:t>
      </w:r>
      <w:proofErr w:type="spellEnd"/>
      <w:r>
        <w:t xml:space="preserve"> on </w:t>
      </w:r>
      <w:proofErr w:type="spellStart"/>
      <w:r>
        <w:t>investment</w:t>
      </w:r>
      <w:proofErr w:type="spellEnd"/>
      <w:r>
        <w:t xml:space="preserve"> </w:t>
      </w:r>
      <w:proofErr w:type="spellStart"/>
      <w:r>
        <w:t>analysis</w:t>
      </w:r>
      <w:proofErr w:type="spellEnd"/>
      <w:r>
        <w:t xml:space="preserve">», The Lancet </w:t>
      </w:r>
      <w:proofErr w:type="spellStart"/>
      <w:r>
        <w:t>Psychiatry</w:t>
      </w:r>
      <w:proofErr w:type="spellEnd"/>
      <w:r>
        <w:t>, vol. 3, n. 5, 2016, pp. 415-424. Lo studio fissa gli intervalli del ritorno sull’investimento in salute mentale: da 2,3 a 3,0 a 1 per i soli benefici economici e da 3,3 a 5,7 a 1 con l’inclusione dei ritorni in salute. Sono gli unici intervalli utilizzati nello studio; ogni valore esterno a tale fascia è escluso.</w:t>
      </w:r>
    </w:p>
    <w:p w14:paraId="0F7BD87D" w14:textId="77777777" w:rsidR="007C4598" w:rsidRDefault="00000000">
      <w:pPr>
        <w:jc w:val="both"/>
      </w:pPr>
      <w:r>
        <w:rPr>
          <w:color w:val="555555"/>
          <w:sz w:val="16"/>
          <w:szCs w:val="16"/>
          <w:vertAlign w:val="superscript"/>
        </w:rPr>
        <w:t>[4]</w:t>
      </w:r>
      <w:r>
        <w:t xml:space="preserve">: I dati di consumo e di spesa farmaceutica regionale sono ricostruiti, in questa fase, sulle fonti pubbliche nazionali e regionali — in particolare i rapporti dell’Agenzia Italiana del Farmaco sull’uso dei farmaci in Italia (Osservatorio Nazionale sull’Impiego dei Medicinali, </w:t>
      </w:r>
      <w:proofErr w:type="spellStart"/>
      <w:r>
        <w:t>OsMed</w:t>
      </w:r>
      <w:proofErr w:type="spellEnd"/>
      <w:r>
        <w:t>) — e saranno sostituiti dai dati certificati regionali non appena acquisiti. Il valore di circa 1.081,9 dosi giornaliere definite ogni mille abitanti e la spesa dell’ordine del 2,3 per cento del prodotto regionale collocano la Puglia tra le regioni a più elevato consumo complessivo. Il dato è coerente con la ricostruzione del contesto svolta nella seconda parte (sezione 2.3).</w:t>
      </w:r>
    </w:p>
    <w:p w14:paraId="1D2CEE88" w14:textId="77777777" w:rsidR="007C4598" w:rsidRDefault="00000000">
      <w:pPr>
        <w:jc w:val="both"/>
      </w:pPr>
      <w:r>
        <w:rPr>
          <w:color w:val="555555"/>
          <w:sz w:val="16"/>
          <w:szCs w:val="16"/>
          <w:vertAlign w:val="superscript"/>
        </w:rPr>
        <w:t>[5]</w:t>
      </w:r>
      <w:r>
        <w:t>: La ridotta intercettazione del disagio psichico, misurata dal basso consumo di antidepressivi rispetto alla prevalenza stimata dei disturbi depressivi e ansiosi, è il segnale, per difetto, di una sotto-cura del disagio comune; essa coesiste con l’elevato consumo complessivo, configurando il paradosso farmaceutico descritto nel testo. Cfr. la ricostruzione epidemiologica e di contesto della seconda parte (sezioni 2.1 e 2.3).</w:t>
      </w:r>
    </w:p>
    <w:p w14:paraId="5FC796F2" w14:textId="77777777" w:rsidR="007C4598" w:rsidRDefault="00000000">
      <w:pPr>
        <w:jc w:val="both"/>
      </w:pPr>
      <w:r>
        <w:rPr>
          <w:color w:val="555555"/>
          <w:sz w:val="16"/>
          <w:szCs w:val="16"/>
          <w:vertAlign w:val="superscript"/>
        </w:rPr>
        <w:t>[6]</w:t>
      </w:r>
      <w:r>
        <w:t xml:space="preserve">: L’uso cronico inappropriato delle benzodiazepine e dei farmaci affini, protratto oltre i termini raccomandati, è documentato dalla letteratura sull’appropriatezza prescrittiva, in particolare nella popolazione anziana, per il rischio di dipendenza, di compromissione cognitiva e di cadute. Le linee guida ne raccomandano l’impiego per periodi brevi e la riduzione graduale nei trattamenti cronici. Cfr., per il quadro internazionale, le raccomandazioni sulla </w:t>
      </w:r>
      <w:proofErr w:type="spellStart"/>
      <w:r>
        <w:t>deprescrizione</w:t>
      </w:r>
      <w:proofErr w:type="spellEnd"/>
      <w:r>
        <w:t xml:space="preserve"> delle benzodiazepine negli anziani (linee guida di </w:t>
      </w:r>
      <w:proofErr w:type="spellStart"/>
      <w:r>
        <w:t>deprescrizione</w:t>
      </w:r>
      <w:proofErr w:type="spellEnd"/>
      <w:r>
        <w:t>, 2018) e gli indicatori di appropriatezza prescrittiva impiegati a livello nazionale.</w:t>
      </w:r>
    </w:p>
    <w:p w14:paraId="06F69CF5" w14:textId="77777777" w:rsidR="007C4598" w:rsidRDefault="00000000">
      <w:pPr>
        <w:jc w:val="both"/>
      </w:pPr>
      <w:r>
        <w:rPr>
          <w:color w:val="555555"/>
          <w:sz w:val="16"/>
          <w:szCs w:val="16"/>
          <w:vertAlign w:val="superscript"/>
        </w:rPr>
        <w:t>[7]</w:t>
      </w:r>
      <w:r>
        <w:t xml:space="preserve">: La letteratura sulla </w:t>
      </w:r>
      <w:proofErr w:type="spellStart"/>
      <w:r>
        <w:t>deprescrizione</w:t>
      </w:r>
      <w:proofErr w:type="spellEnd"/>
      <w:r>
        <w:t xml:space="preserve"> mostra che la disponibilità di un’alternativa non farmacologica accessibile, unita al supporto del </w:t>
      </w:r>
      <w:proofErr w:type="spellStart"/>
      <w:r>
        <w:t>prescrittore</w:t>
      </w:r>
      <w:proofErr w:type="spellEnd"/>
      <w:r>
        <w:t xml:space="preserve"> nella riduzione graduale, consente di interrompere o di non avviare una quota significativa dei trattamenti cronici con benzodiazepine. L’effetto opera tanto sullo stock dei trattamenti in corso quanto sul flusso dei nuovi avvii, secondo i due tempi descritti nel testo.</w:t>
      </w:r>
    </w:p>
    <w:p w14:paraId="3DF00AB7" w14:textId="77777777" w:rsidR="007C4598" w:rsidRDefault="00000000">
      <w:pPr>
        <w:jc w:val="both"/>
      </w:pPr>
      <w:r>
        <w:rPr>
          <w:color w:val="555555"/>
          <w:sz w:val="16"/>
          <w:szCs w:val="16"/>
          <w:vertAlign w:val="superscript"/>
        </w:rPr>
        <w:t>[8]</w:t>
      </w:r>
      <w:r>
        <w:t xml:space="preserve">: National </w:t>
      </w:r>
      <w:proofErr w:type="spellStart"/>
      <w:r>
        <w:t>Institute</w:t>
      </w:r>
      <w:proofErr w:type="spellEnd"/>
      <w:r>
        <w:t xml:space="preserve"> for </w:t>
      </w:r>
      <w:proofErr w:type="spellStart"/>
      <w:r>
        <w:t>Health</w:t>
      </w:r>
      <w:proofErr w:type="spellEnd"/>
      <w:r>
        <w:t xml:space="preserve"> and Care </w:t>
      </w:r>
      <w:proofErr w:type="spellStart"/>
      <w:r>
        <w:t>Excellence</w:t>
      </w:r>
      <w:proofErr w:type="spellEnd"/>
      <w:r>
        <w:t xml:space="preserve"> (NICE), </w:t>
      </w:r>
      <w:proofErr w:type="spellStart"/>
      <w:r>
        <w:t>Depression</w:t>
      </w:r>
      <w:proofErr w:type="spellEnd"/>
      <w:r>
        <w:t xml:space="preserve"> in </w:t>
      </w:r>
      <w:proofErr w:type="spellStart"/>
      <w:r>
        <w:t>adults</w:t>
      </w:r>
      <w:proofErr w:type="spellEnd"/>
      <w:r>
        <w:t>: treatment and management (NG222), 2022. Le linee guida raccomandano, per la depressione lieve e sotto-soglia, gli interventi psicologici a bassa intensità e l’osservazione vigile prima del ricorso al trattamento farmacologico, e disciplinano la durata appropriata delle terapie antidepressive. La disponibilità dell’alternativa psicologica riduce le prescrizioni avviate per difetto di indicazione e migliora la gestione della durata.</w:t>
      </w:r>
    </w:p>
    <w:p w14:paraId="3CD7F2A9" w14:textId="77777777" w:rsidR="007C4598" w:rsidRDefault="00000000">
      <w:pPr>
        <w:jc w:val="both"/>
      </w:pPr>
      <w:r>
        <w:rPr>
          <w:color w:val="555555"/>
          <w:sz w:val="16"/>
          <w:szCs w:val="16"/>
          <w:vertAlign w:val="superscript"/>
        </w:rPr>
        <w:t>[9]</w:t>
      </w:r>
      <w:r>
        <w:t>: I disturbi somatici funzionali — sintomi fisici privi di causa organica accertata, in misura rilevante riconducibili al disagio psichico — generano un consumo elevato di prestazioni e di farmaci sintomatici. Il riconoscimento della loro origine, attraverso l’intercettazione psicologica, riduce la prescrizione sintomatica ripetuta. È il margine della sostituzione diagnostica richiamato nel testo. Cfr. la letteratura sull’</w:t>
      </w:r>
      <w:proofErr w:type="spellStart"/>
      <w:r>
        <w:t>iper</w:t>
      </w:r>
      <w:proofErr w:type="spellEnd"/>
      <w:r>
        <w:t>-utilizzo associato ai sintomi somatici funzionali, richiamata anche nella sesta parte.</w:t>
      </w:r>
    </w:p>
    <w:p w14:paraId="4385119D" w14:textId="77777777" w:rsidR="007C4598" w:rsidRDefault="00000000">
      <w:pPr>
        <w:jc w:val="both"/>
      </w:pPr>
      <w:r>
        <w:rPr>
          <w:color w:val="555555"/>
          <w:sz w:val="16"/>
          <w:szCs w:val="16"/>
          <w:vertAlign w:val="superscript"/>
        </w:rPr>
        <w:t>[10]</w:t>
      </w:r>
      <w:r>
        <w:t xml:space="preserve">: Sul </w:t>
      </w:r>
      <w:proofErr w:type="spellStart"/>
      <w:r>
        <w:t>caveat</w:t>
      </w:r>
      <w:proofErr w:type="spellEnd"/>
      <w:r>
        <w:t xml:space="preserve"> economico relativo ai costi sanitari diretti, e segnatamente farmaceutici, si veda nuovamente </w:t>
      </w:r>
      <w:proofErr w:type="spellStart"/>
      <w:r>
        <w:t>Unützer</w:t>
      </w:r>
      <w:proofErr w:type="spellEnd"/>
      <w:r>
        <w:t xml:space="preserve"> J. et al., 2008, cit. La tendenza al risparmio documentata dalla letteratura sull’assistenza collaborativa non raggiunge, sui costi diretti, la significatività statistica; ciò vale in particolare per il quarto anello della catena causale descritta nel testo, quello della traduzione del minore consumo in minore spesa a carico del bilancio.</w:t>
      </w:r>
    </w:p>
    <w:p w14:paraId="6301942B" w14:textId="77777777" w:rsidR="007C4598" w:rsidRDefault="00000000">
      <w:pPr>
        <w:jc w:val="both"/>
      </w:pPr>
      <w:r>
        <w:rPr>
          <w:color w:val="555555"/>
          <w:sz w:val="16"/>
          <w:szCs w:val="16"/>
          <w:vertAlign w:val="superscript"/>
        </w:rPr>
        <w:t>[11]</w:t>
      </w:r>
      <w:r>
        <w:t>: La graduazione qui adottata applica i criteri GRADE in forma simmetrica all’evidenza clinica e a quella economica: evidenza da moderata ad alta per l’anello clinico, da moderata a bassa per l’anello prescrittivo, bassa per l’anello economico, in coerenza con la rappresentazione della graduazione svolta nella sesta parte. La banda del risparmio riflette la qualità dell’anello più debole.</w:t>
      </w:r>
    </w:p>
    <w:p w14:paraId="4E9E112F" w14:textId="77777777" w:rsidR="007C4598" w:rsidRDefault="00000000">
      <w:pPr>
        <w:jc w:val="both"/>
      </w:pPr>
      <w:r>
        <w:rPr>
          <w:color w:val="555555"/>
          <w:sz w:val="16"/>
          <w:szCs w:val="16"/>
          <w:vertAlign w:val="superscript"/>
        </w:rPr>
        <w:t>[12]</w:t>
      </w:r>
      <w:r>
        <w:t>: La separazione tra il risparmio fiscale diretto, qui contato, e i benefici sociali della minore medicalizzazione del disagio, contati nella nona parte, è imposta dalla regola di non duplicazione enunciata nella prima parte e applicata senza eccezioni nell’intero studio. I medesimi farmaci non prescritti generano un risparmio fiscale e, distintamente, un beneficio sociale; le due grandezze non sono mai sommate.</w:t>
      </w:r>
    </w:p>
    <w:p w14:paraId="21061091" w14:textId="77777777" w:rsidR="007C4598" w:rsidRDefault="00000000">
      <w:pPr>
        <w:jc w:val="both"/>
      </w:pPr>
      <w:r>
        <w:rPr>
          <w:color w:val="555555"/>
          <w:sz w:val="16"/>
          <w:szCs w:val="16"/>
          <w:vertAlign w:val="superscript"/>
        </w:rPr>
        <w:t>[13]</w:t>
      </w:r>
      <w:r>
        <w:t>: I dati sugli accessi al sistema dell’emergenza-urgenza pugliese sono ricostruiti, in questa fase, sulle fonti pubbliche regionali e nazionali sul flusso del pronto soccorso, e saranno sostituiti dai dati certificati regionali non appena acquisiti. Il volume dell’ordine di poco più di un milione e centomila accessi annui e la distribuzione tra i presìdi sede di pronto soccorso e di dipartimento di emergenza sono coerenti con la ricostruzione del sistema dell’emergenza svolta nella seconda parte (sezione 2.3).</w:t>
      </w:r>
    </w:p>
    <w:p w14:paraId="00B65203" w14:textId="77777777" w:rsidR="007C4598" w:rsidRDefault="00000000">
      <w:pPr>
        <w:jc w:val="both"/>
      </w:pPr>
      <w:r>
        <w:rPr>
          <w:color w:val="555555"/>
          <w:sz w:val="16"/>
          <w:szCs w:val="16"/>
          <w:vertAlign w:val="superscript"/>
        </w:rPr>
        <w:t>[14]</w:t>
      </w:r>
      <w:r>
        <w:t xml:space="preserve">: La classificazione degli accessi per priorità segue il sistema di triage in codici di gravità decrescente. La quota attribuita ai codici a bassa e bassissima priorità — riconducibili a condizioni non urgenti, trattabili in un </w:t>
      </w:r>
      <w:proofErr w:type="spellStart"/>
      <w:r>
        <w:t>setting</w:t>
      </w:r>
      <w:proofErr w:type="spellEnd"/>
      <w:r>
        <w:t xml:space="preserve"> territoriale — costituisce la misura convenzionale dell’</w:t>
      </w:r>
      <w:proofErr w:type="spellStart"/>
      <w:r>
        <w:t>inappropriatezza</w:t>
      </w:r>
      <w:proofErr w:type="spellEnd"/>
      <w:r>
        <w:t xml:space="preserve"> del ricorso all’urgenza. La proporzione dell’ordine dell’ottanta per cento colloca la Puglia tra le regioni a più elevata </w:t>
      </w:r>
      <w:proofErr w:type="spellStart"/>
      <w:r>
        <w:t>inappropriatezza</w:t>
      </w:r>
      <w:proofErr w:type="spellEnd"/>
      <w:r>
        <w:t>; essa misura lo spazio complessivo del ricorso improprio, del quale soltanto una frazione è a matrice psichica e dunque intercettabile dal primo livello psicologico.</w:t>
      </w:r>
    </w:p>
    <w:p w14:paraId="6D74ED91" w14:textId="77777777" w:rsidR="007C4598" w:rsidRDefault="00000000">
      <w:pPr>
        <w:jc w:val="both"/>
      </w:pPr>
      <w:r>
        <w:rPr>
          <w:color w:val="555555"/>
          <w:sz w:val="16"/>
          <w:szCs w:val="16"/>
          <w:vertAlign w:val="superscript"/>
        </w:rPr>
        <w:t>[15]</w:t>
      </w:r>
      <w:r>
        <w:t>: I ricoveri per condizioni sensibili alle cure ambulatoriali (</w:t>
      </w:r>
      <w:proofErr w:type="spellStart"/>
      <w:r>
        <w:t>ambulatory</w:t>
      </w:r>
      <w:proofErr w:type="spellEnd"/>
      <w:r>
        <w:t xml:space="preserve"> care sensitive </w:t>
      </w:r>
      <w:proofErr w:type="spellStart"/>
      <w:r>
        <w:t>conditions</w:t>
      </w:r>
      <w:proofErr w:type="spellEnd"/>
      <w:r>
        <w:t>) sono quei ricoveri che una gestione territoriale tempestiva ed efficace è in grado di prevenire; il loro tasso è impiegato a livello internazionale come indicatore della qualità e della capillarità delle cure primarie. Cfr. gli indicatori di qualità delle cure primarie elaborati in ambito OCSE e gli indicatori di prevenzione (</w:t>
      </w:r>
      <w:proofErr w:type="spellStart"/>
      <w:r>
        <w:t>Prevention</w:t>
      </w:r>
      <w:proofErr w:type="spellEnd"/>
      <w:r>
        <w:t xml:space="preserve"> </w:t>
      </w:r>
      <w:proofErr w:type="spellStart"/>
      <w:r>
        <w:t>Quality</w:t>
      </w:r>
      <w:proofErr w:type="spellEnd"/>
      <w:r>
        <w:t xml:space="preserve"> </w:t>
      </w:r>
      <w:proofErr w:type="spellStart"/>
      <w:r>
        <w:t>Indicators</w:t>
      </w:r>
      <w:proofErr w:type="spellEnd"/>
      <w:r>
        <w:t xml:space="preserve">) dell’Agency for Healthcare </w:t>
      </w:r>
      <w:proofErr w:type="spellStart"/>
      <w:r>
        <w:t>Research</w:t>
      </w:r>
      <w:proofErr w:type="spellEnd"/>
      <w:r>
        <w:t xml:space="preserve"> and </w:t>
      </w:r>
      <w:proofErr w:type="spellStart"/>
      <w:r>
        <w:t>Quality</w:t>
      </w:r>
      <w:proofErr w:type="spellEnd"/>
      <w:r>
        <w:t xml:space="preserve"> statunitense. Nel presente canale rileva la sola componente in cui il disagio psichico aggrava il decorso della patologia organica.</w:t>
      </w:r>
    </w:p>
    <w:p w14:paraId="39CAC186" w14:textId="77777777" w:rsidR="007C4598" w:rsidRDefault="00000000">
      <w:pPr>
        <w:jc w:val="both"/>
      </w:pPr>
      <w:r>
        <w:rPr>
          <w:color w:val="555555"/>
          <w:sz w:val="16"/>
          <w:szCs w:val="16"/>
          <w:vertAlign w:val="superscript"/>
        </w:rPr>
        <w:t>[16]</w:t>
      </w:r>
      <w:r>
        <w:t xml:space="preserve">: </w:t>
      </w:r>
      <w:proofErr w:type="spellStart"/>
      <w:r>
        <w:t>Katon</w:t>
      </w:r>
      <w:proofErr w:type="spellEnd"/>
      <w:r>
        <w:t xml:space="preserve"> W., </w:t>
      </w:r>
      <w:proofErr w:type="spellStart"/>
      <w:r>
        <w:t>Unützer</w:t>
      </w:r>
      <w:proofErr w:type="spellEnd"/>
      <w:r>
        <w:t xml:space="preserve"> J., Wells K., Jones L., «Collaborative </w:t>
      </w:r>
      <w:proofErr w:type="spellStart"/>
      <w:r>
        <w:t>depression</w:t>
      </w:r>
      <w:proofErr w:type="spellEnd"/>
      <w:r>
        <w:t xml:space="preserve"> care: </w:t>
      </w:r>
      <w:proofErr w:type="spellStart"/>
      <w:r>
        <w:t>history</w:t>
      </w:r>
      <w:proofErr w:type="spellEnd"/>
      <w:r>
        <w:t xml:space="preserve">, </w:t>
      </w:r>
      <w:proofErr w:type="spellStart"/>
      <w:r>
        <w:t>evolution</w:t>
      </w:r>
      <w:proofErr w:type="spellEnd"/>
      <w:r>
        <w:t xml:space="preserve"> and ways to </w:t>
      </w:r>
      <w:proofErr w:type="spellStart"/>
      <w:r>
        <w:t>enhance</w:t>
      </w:r>
      <w:proofErr w:type="spellEnd"/>
      <w:r>
        <w:t xml:space="preserve"> </w:t>
      </w:r>
      <w:proofErr w:type="spellStart"/>
      <w:r>
        <w:t>dissemination</w:t>
      </w:r>
      <w:proofErr w:type="spellEnd"/>
      <w:r>
        <w:t xml:space="preserve"> and </w:t>
      </w:r>
      <w:proofErr w:type="spellStart"/>
      <w:r>
        <w:t>sustainability</w:t>
      </w:r>
      <w:proofErr w:type="spellEnd"/>
      <w:r>
        <w:t xml:space="preserve">», General Hospital </w:t>
      </w:r>
      <w:proofErr w:type="spellStart"/>
      <w:r>
        <w:t>Psychiatry</w:t>
      </w:r>
      <w:proofErr w:type="spellEnd"/>
      <w:r>
        <w:t xml:space="preserve">, vol. 32, n. 5, 2010, pp. 456-464. La letteratura sull’assistenza collaborativa documenta, accanto al miglioramento degli esiti clinici, una riduzione dell’utilizzo dei servizi ad alta intensità e una migliore continuità della presa in carico post-dimissione, con effetti sui </w:t>
      </w:r>
      <w:proofErr w:type="spellStart"/>
      <w:r>
        <w:t>ri</w:t>
      </w:r>
      <w:proofErr w:type="spellEnd"/>
      <w:r>
        <w:t>-ricoveri. La trasferibilità di tali effetti al contesto pugliese è discussa nella sesta parte.</w:t>
      </w:r>
    </w:p>
    <w:p w14:paraId="326EFBA3" w14:textId="77777777" w:rsidR="007C4598" w:rsidRDefault="00000000">
      <w:pPr>
        <w:jc w:val="both"/>
      </w:pPr>
      <w:r>
        <w:rPr>
          <w:color w:val="555555"/>
          <w:sz w:val="16"/>
          <w:szCs w:val="16"/>
          <w:vertAlign w:val="superscript"/>
        </w:rPr>
        <w:t>[17]</w:t>
      </w:r>
      <w:r>
        <w:t xml:space="preserve">: Sul </w:t>
      </w:r>
      <w:proofErr w:type="spellStart"/>
      <w:r>
        <w:t>caveat</w:t>
      </w:r>
      <w:proofErr w:type="spellEnd"/>
      <w:r>
        <w:t xml:space="preserve"> economico relativo ai costi sanitari diretti si veda nuovamente </w:t>
      </w:r>
      <w:proofErr w:type="spellStart"/>
      <w:r>
        <w:t>Unützer</w:t>
      </w:r>
      <w:proofErr w:type="spellEnd"/>
      <w:r>
        <w:t xml:space="preserve"> J., </w:t>
      </w:r>
      <w:proofErr w:type="spellStart"/>
      <w:r>
        <w:t>Katon</w:t>
      </w:r>
      <w:proofErr w:type="spellEnd"/>
      <w:r>
        <w:t xml:space="preserve"> W., Fan M.Y. et al., «Long-</w:t>
      </w:r>
      <w:proofErr w:type="spellStart"/>
      <w:r>
        <w:t>term</w:t>
      </w:r>
      <w:proofErr w:type="spellEnd"/>
      <w:r>
        <w:t xml:space="preserve"> </w:t>
      </w:r>
      <w:proofErr w:type="spellStart"/>
      <w:r>
        <w:t>cost</w:t>
      </w:r>
      <w:proofErr w:type="spellEnd"/>
      <w:r>
        <w:t xml:space="preserve"> </w:t>
      </w:r>
      <w:proofErr w:type="spellStart"/>
      <w:r>
        <w:t>effects</w:t>
      </w:r>
      <w:proofErr w:type="spellEnd"/>
      <w:r>
        <w:t xml:space="preserve"> of collaborative care for late-life </w:t>
      </w:r>
      <w:proofErr w:type="spellStart"/>
      <w:r>
        <w:t>depression</w:t>
      </w:r>
      <w:proofErr w:type="spellEnd"/>
      <w:r>
        <w:t xml:space="preserve">», The American Journal of </w:t>
      </w:r>
      <w:proofErr w:type="spellStart"/>
      <w:r>
        <w:t>Managed</w:t>
      </w:r>
      <w:proofErr w:type="spellEnd"/>
      <w:r>
        <w:t xml:space="preserve"> Care, vol. 14, n. 2, 2008, pp. 95-100. La tendenza al risparmio documentata sui costi totali, comprensivi della componente ospedaliera, non raggiunge la significatività statistica; ciò impone, anche per il canale del pronto soccorso e dei ricoveri, la rappresentazione del risparmio in bande prudenziali.</w:t>
      </w:r>
    </w:p>
    <w:p w14:paraId="66B85A67" w14:textId="77777777" w:rsidR="007C4598" w:rsidRDefault="00000000">
      <w:pPr>
        <w:jc w:val="both"/>
      </w:pPr>
      <w:r>
        <w:rPr>
          <w:color w:val="555555"/>
          <w:sz w:val="16"/>
          <w:szCs w:val="16"/>
          <w:vertAlign w:val="superscript"/>
        </w:rPr>
        <w:t>[18]</w:t>
      </w:r>
      <w:r>
        <w:t>: La graduazione qui adottata applica i criteri GRADE in forma simmetrica all’evidenza clinica e a quella economica, in coerenza con la rappresentazione svolta nella sesta parte: evidenza da moderata ad alta per l’anello clinico-organizzativo, da moderata a bassa per l’anello comportamentale, bassa per l’anello economico. La banda del risparmio del canale riflette la qualità dell’anello più debole.</w:t>
      </w:r>
    </w:p>
    <w:p w14:paraId="4971187B" w14:textId="77777777" w:rsidR="007C4598" w:rsidRDefault="00000000">
      <w:pPr>
        <w:jc w:val="both"/>
      </w:pPr>
      <w:r>
        <w:rPr>
          <w:color w:val="555555"/>
          <w:sz w:val="16"/>
          <w:szCs w:val="16"/>
          <w:vertAlign w:val="superscript"/>
        </w:rPr>
        <w:t>[19]</w:t>
      </w:r>
      <w:r>
        <w:t>: La separazione tra il risparmio fiscale diretto, qui contato, e i benefici sociali della minore acuzie — maggiore continuità lavorativa, minore carico sui familiari, migliore qualità della vita — contati nella nona parte, è imposta dalla regola di non duplicazione enunciata nella prima parte. Il medesimo ricovero evitato genera, distintamente, un risparmio fiscale e un beneficio sociale; le due grandezze non sono mai sommate.</w:t>
      </w:r>
    </w:p>
    <w:p w14:paraId="12C4F237" w14:textId="77777777" w:rsidR="007C4598" w:rsidRDefault="00000000">
      <w:pPr>
        <w:jc w:val="both"/>
      </w:pPr>
      <w:r>
        <w:rPr>
          <w:color w:val="555555"/>
          <w:sz w:val="16"/>
          <w:szCs w:val="16"/>
          <w:vertAlign w:val="superscript"/>
        </w:rPr>
        <w:t>[20]</w:t>
      </w:r>
      <w:r>
        <w:t>: I dati sul saldo della mobilità sanitaria interregionale sono ricostruiti, in questa fase, sulle fonti pubbliche nazionali e regionali sui flussi di compensazione della mobilità, e saranno sostituiti dai dati certificati non appena acquisiti. Il saldo negativo dell’ordine di duecentocinquanta milioni di euro, risultante da un flusso passivo in uscita di poco inferiore ai quattrocento milioni e da un flusso attivo in entrata dell’ordine di centoventi milioni, è coerente con la ricostruzione del quadro finanziario e della mobilità svolta nella seconda parte (sezioni 2.3 e 2.4).</w:t>
      </w:r>
    </w:p>
    <w:p w14:paraId="288CDF0E" w14:textId="77777777" w:rsidR="007C4598" w:rsidRDefault="00000000">
      <w:pPr>
        <w:jc w:val="both"/>
      </w:pPr>
      <w:r>
        <w:rPr>
          <w:color w:val="555555"/>
          <w:sz w:val="16"/>
          <w:szCs w:val="16"/>
          <w:vertAlign w:val="superscript"/>
        </w:rPr>
        <w:t>[21]</w:t>
      </w:r>
      <w:r>
        <w:t xml:space="preserve">: La connessione tra il primo livello psicologico e la mobilità passiva è di natura indiretta e opera attraverso la riduzione della domanda a monte e l’accrescimento della capacità di ritenzione del sistema regionale, non attraverso l’erogazione diretta delle prestazioni </w:t>
      </w:r>
      <w:proofErr w:type="spellStart"/>
      <w:r>
        <w:t>iperspecialistiche</w:t>
      </w:r>
      <w:proofErr w:type="spellEnd"/>
      <w:r>
        <w:t xml:space="preserve"> per cui parte della mobilità è generata. Questa precisazione delimita il canale alla sola quota di deflusso a matrice psichica effettivamente comprimibile, e ne esclude la mobilità per prestazioni genuinamente indisponibili in regione.</w:t>
      </w:r>
    </w:p>
    <w:p w14:paraId="3F55E2F8" w14:textId="77777777" w:rsidR="007C4598" w:rsidRDefault="00000000">
      <w:pPr>
        <w:jc w:val="both"/>
      </w:pPr>
      <w:r>
        <w:rPr>
          <w:color w:val="555555"/>
          <w:sz w:val="16"/>
          <w:szCs w:val="16"/>
          <w:vertAlign w:val="superscript"/>
        </w:rPr>
        <w:t>[22]</w:t>
      </w:r>
      <w:r>
        <w:t xml:space="preserve">: La quota del deflusso effettivamente recuperabile è inferiore alla quota a matrice psichica del saldo passivo, perché la decisione di curarsi fuori regione dipende anche da fattori — reputazione dei centri, reti familiari extra-regionali, natura </w:t>
      </w:r>
      <w:proofErr w:type="spellStart"/>
      <w:r>
        <w:t>iperspecialistica</w:t>
      </w:r>
      <w:proofErr w:type="spellEnd"/>
      <w:r>
        <w:t xml:space="preserve"> della prestazione — che il rafforzamento dell’offerta territoriale non modifica. La stima del canale adotta, per questa ragione, una banda prudenziale ampia e una riduzione prudenziale più marcata che negli altri canali.</w:t>
      </w:r>
    </w:p>
    <w:p w14:paraId="5CF1177D" w14:textId="77777777" w:rsidR="007C4598" w:rsidRDefault="00000000">
      <w:pPr>
        <w:jc w:val="both"/>
      </w:pPr>
      <w:r>
        <w:rPr>
          <w:color w:val="555555"/>
          <w:sz w:val="16"/>
          <w:szCs w:val="16"/>
          <w:vertAlign w:val="superscript"/>
        </w:rPr>
        <w:t>[23]</w:t>
      </w:r>
      <w:r>
        <w:t xml:space="preserve">: L’anello comportamentale del canale della mobilità — la traduzione della maggiore offerta in effettivo minore deflusso — è il più incerto della catena causale, perché la propensione alla mobilità è influenzata da determinanti culturali e </w:t>
      </w:r>
      <w:proofErr w:type="spellStart"/>
      <w:r>
        <w:t>reputazionali</w:t>
      </w:r>
      <w:proofErr w:type="spellEnd"/>
      <w:r>
        <w:t xml:space="preserve"> oltre che di offerta. L’anello economico è invece, in questo canale, contabilmente diretto: la prestazione trattenuta si traduce immediatamente in minore rimborso interregionale. La graduazione complessiva, determinata dall’anello comportamentale, è media.</w:t>
      </w:r>
    </w:p>
    <w:p w14:paraId="281EF69F" w14:textId="77777777" w:rsidR="007C4598" w:rsidRDefault="00000000">
      <w:pPr>
        <w:jc w:val="both"/>
      </w:pPr>
      <w:r>
        <w:rPr>
          <w:color w:val="555555"/>
          <w:sz w:val="16"/>
          <w:szCs w:val="16"/>
          <w:vertAlign w:val="superscript"/>
        </w:rPr>
        <w:t>[24]</w:t>
      </w:r>
      <w:r>
        <w:t>: I costi sostenuti dalle famiglie per i viaggi, i soggiorni e l’assistenza connessi alla mobilità extra-regionale costituiscono un onere sociale e privato, distinto dal saldo fiscale della mobilità qui contato, e sono trattati nella nona parte tra gli oneri assistenziali evitati (sezione 9.4). La minore mobilità genera, distintamente, un risparmio fiscale per la Regione e un risparmio privato per le famiglie; le due grandezze non sono sommate.</w:t>
      </w:r>
    </w:p>
    <w:p w14:paraId="46E7EDEE" w14:textId="77777777" w:rsidR="007C4598" w:rsidRDefault="00000000">
      <w:pPr>
        <w:jc w:val="both"/>
      </w:pPr>
      <w:r>
        <w:rPr>
          <w:color w:val="555555"/>
          <w:sz w:val="16"/>
          <w:szCs w:val="16"/>
          <w:vertAlign w:val="superscript"/>
        </w:rPr>
        <w:t>[25]</w:t>
      </w:r>
      <w:r>
        <w:t>: La letteratura sui disturbi somatici funzionali e sul fenomeno dell’</w:t>
      </w:r>
      <w:proofErr w:type="spellStart"/>
      <w:r>
        <w:t>iper</w:t>
      </w:r>
      <w:proofErr w:type="spellEnd"/>
      <w:r>
        <w:t xml:space="preserve">-utilizzo diagnostico descrive il percorso per cui il sintomo fisico privo di causa organica accertata, la cui matrice psichica non sia riconosciuta, genera una domanda crescente di accertamenti per esclusione. Cfr. la letteratura sui </w:t>
      </w:r>
      <w:proofErr w:type="spellStart"/>
      <w:r>
        <w:t>medically</w:t>
      </w:r>
      <w:proofErr w:type="spellEnd"/>
      <w:r>
        <w:t xml:space="preserve"> </w:t>
      </w:r>
      <w:proofErr w:type="spellStart"/>
      <w:r>
        <w:t>unexplained</w:t>
      </w:r>
      <w:proofErr w:type="spellEnd"/>
      <w:r>
        <w:t xml:space="preserve"> </w:t>
      </w:r>
      <w:proofErr w:type="spellStart"/>
      <w:r>
        <w:t>symptoms</w:t>
      </w:r>
      <w:proofErr w:type="spellEnd"/>
      <w:r>
        <w:t xml:space="preserve"> e sul loro impatto sull’utilizzo dei servizi, richiamata anche nella sesta parte. I dati regionali sulla domanda specialistica e sulle liste d’attesa saranno acquisiti nella fase di consolidamento.</w:t>
      </w:r>
    </w:p>
    <w:p w14:paraId="4A9F97D4" w14:textId="77777777" w:rsidR="007C4598" w:rsidRDefault="00000000">
      <w:pPr>
        <w:jc w:val="both"/>
      </w:pPr>
      <w:r>
        <w:rPr>
          <w:color w:val="555555"/>
          <w:sz w:val="16"/>
          <w:szCs w:val="16"/>
          <w:vertAlign w:val="superscript"/>
        </w:rPr>
        <w:t>[26]</w:t>
      </w:r>
      <w:r>
        <w:t>: Il punto di generazione della domanda indotta coincide con il rapporto tra il paziente e il medico di medicina generale, che in assenza di un’alternativa territoriale avvia il percorso diagnostico per prudenza clinica. La disponibilità del primo livello psicologico nella medesima sede sostituisce all’avvio della spirale diagnostica l’invio alla presa in carico appropriata. Sul ruolo di filtro (</w:t>
      </w:r>
      <w:proofErr w:type="spellStart"/>
      <w:r>
        <w:t>gatekeeping</w:t>
      </w:r>
      <w:proofErr w:type="spellEnd"/>
      <w:r>
        <w:t>) della medicina generale e sui suoi limiti in assenza di un’alternativa per i disturbi a matrice psichica, cfr. la letteratura sull’integrazione delle cure primarie.</w:t>
      </w:r>
    </w:p>
    <w:p w14:paraId="67908E15" w14:textId="77777777" w:rsidR="007C4598" w:rsidRDefault="00000000">
      <w:pPr>
        <w:jc w:val="both"/>
      </w:pPr>
      <w:r>
        <w:rPr>
          <w:color w:val="555555"/>
          <w:sz w:val="16"/>
          <w:szCs w:val="16"/>
          <w:vertAlign w:val="superscript"/>
        </w:rPr>
        <w:t>[27]</w:t>
      </w:r>
      <w:r>
        <w:t>: La regola di non duplicazione impone, per il quarto canale, una cautela specifica: la domanda diagnostica impropria si manifesta tanto nel circuito ambulatoriale quanto in quello dell’urgenza, e la componente generata in pronto soccorso è già contata nel secondo canale. La stima del quarto canale conta pertanto la sola componente ambulatoriale non sovrapposta, sacrificando parte del risparmio potenziale alla certezza di non contarlo due volte. Cfr. la regola di non duplicazione enunciata nella prima parte.</w:t>
      </w:r>
    </w:p>
    <w:p w14:paraId="2FA7B550" w14:textId="77777777" w:rsidR="007C4598" w:rsidRDefault="00000000">
      <w:pPr>
        <w:jc w:val="both"/>
      </w:pPr>
      <w:r>
        <w:rPr>
          <w:color w:val="555555"/>
          <w:sz w:val="16"/>
          <w:szCs w:val="16"/>
          <w:vertAlign w:val="superscript"/>
        </w:rPr>
        <w:t>[28]</w:t>
      </w:r>
      <w:r>
        <w:t xml:space="preserve">: Sul </w:t>
      </w:r>
      <w:proofErr w:type="spellStart"/>
      <w:r>
        <w:t>caveat</w:t>
      </w:r>
      <w:proofErr w:type="spellEnd"/>
      <w:r>
        <w:t xml:space="preserve"> economico relativo ai costi sanitari diretti si veda nuovamente </w:t>
      </w:r>
      <w:proofErr w:type="spellStart"/>
      <w:r>
        <w:t>Unützer</w:t>
      </w:r>
      <w:proofErr w:type="spellEnd"/>
      <w:r>
        <w:t xml:space="preserve"> J., </w:t>
      </w:r>
      <w:proofErr w:type="spellStart"/>
      <w:r>
        <w:t>Katon</w:t>
      </w:r>
      <w:proofErr w:type="spellEnd"/>
      <w:r>
        <w:t xml:space="preserve"> W., Fan M.Y. et al., «Long-</w:t>
      </w:r>
      <w:proofErr w:type="spellStart"/>
      <w:r>
        <w:t>term</w:t>
      </w:r>
      <w:proofErr w:type="spellEnd"/>
      <w:r>
        <w:t xml:space="preserve"> </w:t>
      </w:r>
      <w:proofErr w:type="spellStart"/>
      <w:r>
        <w:t>cost</w:t>
      </w:r>
      <w:proofErr w:type="spellEnd"/>
      <w:r>
        <w:t xml:space="preserve"> </w:t>
      </w:r>
      <w:proofErr w:type="spellStart"/>
      <w:r>
        <w:t>effects</w:t>
      </w:r>
      <w:proofErr w:type="spellEnd"/>
      <w:r>
        <w:t xml:space="preserve"> of collaborative care for late-life </w:t>
      </w:r>
      <w:proofErr w:type="spellStart"/>
      <w:r>
        <w:t>depression</w:t>
      </w:r>
      <w:proofErr w:type="spellEnd"/>
      <w:r>
        <w:t xml:space="preserve">», The American Journal of </w:t>
      </w:r>
      <w:proofErr w:type="spellStart"/>
      <w:r>
        <w:t>Managed</w:t>
      </w:r>
      <w:proofErr w:type="spellEnd"/>
      <w:r>
        <w:t xml:space="preserve"> Care, vol. 14, n. 2, 2008, pp. 95-100. Il </w:t>
      </w:r>
      <w:proofErr w:type="spellStart"/>
      <w:r>
        <w:t>caveat</w:t>
      </w:r>
      <w:proofErr w:type="spellEnd"/>
      <w:r>
        <w:t xml:space="preserve"> si applica anche al canale specialistico: la tendenza al risparmio sui costi diretti non raggiunge la significatività statistica, e impone le bande prudenziali.</w:t>
      </w:r>
    </w:p>
    <w:p w14:paraId="4FE3974D" w14:textId="77777777" w:rsidR="007C4598" w:rsidRDefault="00000000">
      <w:pPr>
        <w:jc w:val="both"/>
      </w:pPr>
      <w:r>
        <w:rPr>
          <w:color w:val="555555"/>
          <w:sz w:val="16"/>
          <w:szCs w:val="16"/>
          <w:vertAlign w:val="superscript"/>
        </w:rPr>
        <w:t>[29]</w:t>
      </w:r>
      <w:r>
        <w:t>: La separazione tra il risparmio fiscale diretto, qui contato, e i benefici sociali della minore medicalizzazione del disagio — minore tempo sottratto al lavoro per accertamenti inutili, minore ansia iatrogena, migliore qualità della vita — contati nella nona parte, è imposta dalla regola di non duplicazione. Le due grandezze, generate dalla medesima minore domanda specialistica, non sono mai sommate.</w:t>
      </w:r>
    </w:p>
    <w:p w14:paraId="69304B9F" w14:textId="77777777" w:rsidR="007C4598" w:rsidRDefault="00000000">
      <w:pPr>
        <w:jc w:val="both"/>
      </w:pPr>
      <w:r>
        <w:rPr>
          <w:color w:val="555555"/>
          <w:sz w:val="16"/>
          <w:szCs w:val="16"/>
          <w:vertAlign w:val="superscript"/>
        </w:rPr>
        <w:t>[30]</w:t>
      </w:r>
      <w:r>
        <w:t>: Il posizionamento dell’Intelligenza Artificiale come leva abilitante subordinata, e non come oggetto centrale dell’analisi né come canale autonomo di risparmio, è stabilito nella prima parte (sezione 1.8) e ribadito nella quarta (sezioni 4.4 e 4.6). La regola di non duplicazione, enunciata nella prima parte, vieta di sommare il contributo della leva digitale ai risparmi dei canali entro cui esso già si esprime. La presente voce isola tale contributo per renderlo trasparente, non per aggiungerlo.</w:t>
      </w:r>
    </w:p>
    <w:p w14:paraId="7CD20D1E" w14:textId="77777777" w:rsidR="007C4598" w:rsidRDefault="00000000">
      <w:pPr>
        <w:jc w:val="both"/>
      </w:pPr>
      <w:r>
        <w:rPr>
          <w:color w:val="555555"/>
          <w:sz w:val="16"/>
          <w:szCs w:val="16"/>
          <w:vertAlign w:val="superscript"/>
        </w:rPr>
        <w:t>[31]</w:t>
      </w:r>
      <w:r>
        <w:t xml:space="preserve">: </w:t>
      </w:r>
      <w:proofErr w:type="spellStart"/>
      <w:r>
        <w:t>Andrews</w:t>
      </w:r>
      <w:proofErr w:type="spellEnd"/>
      <w:r>
        <w:t xml:space="preserve"> G., </w:t>
      </w:r>
      <w:proofErr w:type="spellStart"/>
      <w:r>
        <w:t>Basu</w:t>
      </w:r>
      <w:proofErr w:type="spellEnd"/>
      <w:r>
        <w:t xml:space="preserve"> A., </w:t>
      </w:r>
      <w:proofErr w:type="spellStart"/>
      <w:r>
        <w:t>Cuijpers</w:t>
      </w:r>
      <w:proofErr w:type="spellEnd"/>
      <w:r>
        <w:t xml:space="preserve"> P. et al., «Computer </w:t>
      </w:r>
      <w:proofErr w:type="spellStart"/>
      <w:r>
        <w:t>therapy</w:t>
      </w:r>
      <w:proofErr w:type="spellEnd"/>
      <w:r>
        <w:t xml:space="preserve"> for the </w:t>
      </w:r>
      <w:proofErr w:type="spellStart"/>
      <w:r>
        <w:t>anxiety</w:t>
      </w:r>
      <w:proofErr w:type="spellEnd"/>
      <w:r>
        <w:t xml:space="preserve"> and </w:t>
      </w:r>
      <w:proofErr w:type="spellStart"/>
      <w:r>
        <w:t>depression</w:t>
      </w:r>
      <w:proofErr w:type="spellEnd"/>
      <w:r>
        <w:t xml:space="preserve"> </w:t>
      </w:r>
      <w:proofErr w:type="spellStart"/>
      <w:r>
        <w:t>disorders</w:t>
      </w:r>
      <w:proofErr w:type="spellEnd"/>
      <w:r>
        <w:t xml:space="preserve"> </w:t>
      </w:r>
      <w:proofErr w:type="spellStart"/>
      <w:r>
        <w:t>is</w:t>
      </w:r>
      <w:proofErr w:type="spellEnd"/>
      <w:r>
        <w:t xml:space="preserve"> </w:t>
      </w:r>
      <w:proofErr w:type="spellStart"/>
      <w:r>
        <w:t>effective</w:t>
      </w:r>
      <w:proofErr w:type="spellEnd"/>
      <w:r>
        <w:t xml:space="preserve">, </w:t>
      </w:r>
      <w:proofErr w:type="spellStart"/>
      <w:r>
        <w:t>acceptable</w:t>
      </w:r>
      <w:proofErr w:type="spellEnd"/>
      <w:r>
        <w:t xml:space="preserve"> and </w:t>
      </w:r>
      <w:proofErr w:type="spellStart"/>
      <w:r>
        <w:t>practical</w:t>
      </w:r>
      <w:proofErr w:type="spellEnd"/>
      <w:r>
        <w:t xml:space="preserve"> </w:t>
      </w:r>
      <w:proofErr w:type="spellStart"/>
      <w:r>
        <w:t>health</w:t>
      </w:r>
      <w:proofErr w:type="spellEnd"/>
      <w:r>
        <w:t xml:space="preserve"> care: an </w:t>
      </w:r>
      <w:proofErr w:type="spellStart"/>
      <w:r>
        <w:t>updated</w:t>
      </w:r>
      <w:proofErr w:type="spellEnd"/>
      <w:r>
        <w:t xml:space="preserve"> meta-</w:t>
      </w:r>
      <w:proofErr w:type="spellStart"/>
      <w:r>
        <w:t>analysis</w:t>
      </w:r>
      <w:proofErr w:type="spellEnd"/>
      <w:r>
        <w:t xml:space="preserve">», Journal of </w:t>
      </w:r>
      <w:proofErr w:type="spellStart"/>
      <w:r>
        <w:t>Anxiety</w:t>
      </w:r>
      <w:proofErr w:type="spellEnd"/>
      <w:r>
        <w:t xml:space="preserve"> </w:t>
      </w:r>
      <w:proofErr w:type="spellStart"/>
      <w:r>
        <w:t>Disorders</w:t>
      </w:r>
      <w:proofErr w:type="spellEnd"/>
      <w:r>
        <w:t>, vol. 55, 2018, pp. 70-78. La meta-analisi documenta l’efficacia della terapia cognitivo-comportamentale computerizzata e via internet per i disturbi d’ansia e depressivi, con effetti comparabili a quelli del trattamento erogato di persona in popolazioni selezionate. L’evidenza clinica su questi strumenti è di qualità da moderata a buona; quella sull’effetto incrementale sul risparmio diretto è più limitata.</w:t>
      </w:r>
    </w:p>
    <w:p w14:paraId="214E297E" w14:textId="77777777" w:rsidR="007C4598" w:rsidRDefault="00000000">
      <w:pPr>
        <w:jc w:val="both"/>
      </w:pPr>
      <w:r>
        <w:rPr>
          <w:color w:val="555555"/>
          <w:sz w:val="16"/>
          <w:szCs w:val="16"/>
          <w:vertAlign w:val="superscript"/>
        </w:rPr>
        <w:t>[32]</w:t>
      </w:r>
      <w:r>
        <w:t>: Gli strumenti digitali trasversali — terapie digitali e terapia cognitivo-comportamentale erogata via internet — ampliano la capacità di presa in carico del primo livello psicologico e potenziano l’intercettazione su cui tutti i canali si fondano. Il loro inquadramento, anche come dispositivi terapeutici digitali su prescrizione, e la relativa cornice di rischio sono trattati nella quarta parte (sezioni 4.4 e 4.5).</w:t>
      </w:r>
    </w:p>
    <w:p w14:paraId="4E9A8856" w14:textId="77777777" w:rsidR="007C4598" w:rsidRDefault="00000000">
      <w:pPr>
        <w:jc w:val="both"/>
      </w:pPr>
      <w:r>
        <w:rPr>
          <w:color w:val="555555"/>
          <w:sz w:val="16"/>
          <w:szCs w:val="16"/>
          <w:vertAlign w:val="superscript"/>
        </w:rPr>
        <w:t>[33]</w:t>
      </w:r>
      <w:r>
        <w:t>: L’evidenza sui modelli predittivi e di stratificazione del rischio applicati alle cure primarie è prevalentemente di natura osservazionale e di validazione, e non ancora derivata da valutazioni d’impatto robuste; la sua qualità, secondo i criteri GRADE applicati simmetricamente, è bassa. La graduazione dell’evidenza digitale è svolta nella sesta parte (sezione 6.3).</w:t>
      </w:r>
    </w:p>
    <w:p w14:paraId="196D229C" w14:textId="77777777" w:rsidR="007C4598" w:rsidRDefault="00000000">
      <w:pPr>
        <w:jc w:val="both"/>
      </w:pPr>
      <w:r>
        <w:rPr>
          <w:color w:val="555555"/>
          <w:sz w:val="16"/>
          <w:szCs w:val="16"/>
          <w:vertAlign w:val="superscript"/>
        </w:rPr>
        <w:t>[34]</w:t>
      </w:r>
      <w:r>
        <w:t>: L’evidenza che isola l’effetto incrementale specifico degli strumenti digitali sul risparmio sanitario diretto, distinto dall’effetto clinico dell’intervento che essi supportano, è ancora limitata. Per questa ragione la quota attribuita all’Intelligenza Artificiale è stimata con prudenza accentuata e graduata come bassa, in coerenza con il principio di simmetria che vieta di applicare all’evidenza digitale un rigore minore di quello applicato all’evidenza clinica.</w:t>
      </w:r>
    </w:p>
    <w:p w14:paraId="0AD58C92" w14:textId="77777777" w:rsidR="007C4598" w:rsidRDefault="00000000">
      <w:pPr>
        <w:jc w:val="both"/>
      </w:pPr>
      <w:r>
        <w:rPr>
          <w:color w:val="555555"/>
          <w:sz w:val="16"/>
          <w:szCs w:val="16"/>
          <w:vertAlign w:val="superscript"/>
        </w:rPr>
        <w:t>[35]</w:t>
      </w:r>
      <w:r>
        <w:t xml:space="preserve">: La cornice di </w:t>
      </w:r>
      <w:proofErr w:type="spellStart"/>
      <w:r>
        <w:t>governance</w:t>
      </w:r>
      <w:proofErr w:type="spellEnd"/>
      <w:r>
        <w:t xml:space="preserve"> prudenziale dell’Intelligenza Artificiale — supervisione umana, protezione dei dati, equità di accesso, responsabilità professionale — è definita nella quarta parte (sezione 4.6) e nella tredicesima (sezione 13.3). Il rispetto di tale cornice è condizione non solo etica e giuridica ma anche economica della realizzabilità della quota di risparmio attribuita alla leva digitale, poiché un impiego non conforme genererebbe costi di rimedio e di contenzioso erosivi del risparmio.</w:t>
      </w:r>
    </w:p>
    <w:p w14:paraId="3D7E84F9" w14:textId="77777777" w:rsidR="007C4598" w:rsidRDefault="00000000">
      <w:pPr>
        <w:jc w:val="both"/>
      </w:pPr>
      <w:r>
        <w:rPr>
          <w:color w:val="555555"/>
          <w:sz w:val="16"/>
          <w:szCs w:val="16"/>
          <w:vertAlign w:val="superscript"/>
        </w:rPr>
        <w:t>[36]</w:t>
      </w:r>
      <w:r>
        <w:t>: Il costo incrementale della leva digitale e dell’Intelligenza Artificiale è stimato nella settima parte (sezione 7.3), non nella presente, che tratta i soli risparmi. Il saldo tra il costo della componente tecnologica e la quota di risparmio che essa genera è ricomposto nella voce conclusiva (8.6) e nella decima parte, ed è uno degli elementi della valutazione del valore della leva digitale. La quota di risparmio isolata in questa voce non va sommata all’aggregato dei quattro canali.</w:t>
      </w:r>
    </w:p>
    <w:p w14:paraId="39C00652" w14:textId="77777777" w:rsidR="007C4598" w:rsidRDefault="00000000">
      <w:pPr>
        <w:jc w:val="both"/>
      </w:pPr>
      <w:r>
        <w:rPr>
          <w:color w:val="555555"/>
          <w:sz w:val="16"/>
          <w:szCs w:val="16"/>
          <w:vertAlign w:val="superscript"/>
        </w:rPr>
        <w:t>[37]</w:t>
      </w:r>
      <w:r>
        <w:t>: I costi diretti del servizio per ciascuno scenario di copertura — dell’ordine di venticinque, trentotto e cinquanta milioni di euro l’anno — sono stimati nella settima parte (Costi diretti), che ne ricostruisce le componenti relative al personale lungo la cascata delle figure, alla struttura e all’organizzazione, alla leva digitale e alla formazione nelle quattro modalità. Il confronto qui condotto utilizza tali stime a parità di scenario e di grandezze dirette.</w:t>
      </w:r>
    </w:p>
    <w:p w14:paraId="16BF44AB" w14:textId="77777777" w:rsidR="007C4598" w:rsidRDefault="00000000">
      <w:pPr>
        <w:jc w:val="both"/>
      </w:pPr>
      <w:r>
        <w:rPr>
          <w:color w:val="555555"/>
          <w:sz w:val="16"/>
          <w:szCs w:val="16"/>
          <w:vertAlign w:val="superscript"/>
        </w:rPr>
        <w:t>[38]</w:t>
      </w:r>
      <w:r>
        <w:t>: Il finanziamento del Servizio sanitario della Regione Puglia è dell’ordine di 8,8 miliardi di euro (dato di riferimento 2025), a fronte di un disavanzo dell’ordine di alcune centinaia di milioni; il costo diretto del servizio, anche nello scenario espansivo, ne rappresenta una frazione contenuta. Il quadro finanziario regionale e i vincoli di bilancio sono ricostruiti nella seconda parte (sezione 2.4).</w:t>
      </w:r>
    </w:p>
    <w:p w14:paraId="42BA1589" w14:textId="77777777" w:rsidR="007C4598" w:rsidRDefault="00000000">
      <w:pPr>
        <w:jc w:val="both"/>
      </w:pPr>
      <w:r>
        <w:rPr>
          <w:color w:val="555555"/>
          <w:sz w:val="16"/>
          <w:szCs w:val="16"/>
          <w:vertAlign w:val="superscript"/>
        </w:rPr>
        <w:t>[39]</w:t>
      </w:r>
      <w:r>
        <w:t xml:space="preserve">: Sul rinvio alle ricadute sociali di ordine superiore e sugli intervalli del ritorno economico si veda </w:t>
      </w:r>
      <w:proofErr w:type="spellStart"/>
      <w:r>
        <w:t>Chisholm</w:t>
      </w:r>
      <w:proofErr w:type="spellEnd"/>
      <w:r>
        <w:t xml:space="preserve"> D., </w:t>
      </w:r>
      <w:proofErr w:type="spellStart"/>
      <w:r>
        <w:t>Sweeny</w:t>
      </w:r>
      <w:proofErr w:type="spellEnd"/>
      <w:r>
        <w:t xml:space="preserve"> K., </w:t>
      </w:r>
      <w:proofErr w:type="spellStart"/>
      <w:r>
        <w:t>Sheehan</w:t>
      </w:r>
      <w:proofErr w:type="spellEnd"/>
      <w:r>
        <w:t xml:space="preserve"> P. et al., «</w:t>
      </w:r>
      <w:proofErr w:type="spellStart"/>
      <w:r>
        <w:t>Scaling</w:t>
      </w:r>
      <w:proofErr w:type="spellEnd"/>
      <w:r>
        <w:t xml:space="preserve">-up treatment of </w:t>
      </w:r>
      <w:proofErr w:type="spellStart"/>
      <w:r>
        <w:t>depression</w:t>
      </w:r>
      <w:proofErr w:type="spellEnd"/>
      <w:r>
        <w:t xml:space="preserve"> and </w:t>
      </w:r>
      <w:proofErr w:type="spellStart"/>
      <w:r>
        <w:t>anxiety</w:t>
      </w:r>
      <w:proofErr w:type="spellEnd"/>
      <w:r>
        <w:t xml:space="preserve">: a global </w:t>
      </w:r>
      <w:proofErr w:type="spellStart"/>
      <w:r>
        <w:t>return</w:t>
      </w:r>
      <w:proofErr w:type="spellEnd"/>
      <w:r>
        <w:t xml:space="preserve"> on </w:t>
      </w:r>
      <w:proofErr w:type="spellStart"/>
      <w:r>
        <w:t>investment</w:t>
      </w:r>
      <w:proofErr w:type="spellEnd"/>
      <w:r>
        <w:t xml:space="preserve"> </w:t>
      </w:r>
      <w:proofErr w:type="spellStart"/>
      <w:r>
        <w:t>analysis</w:t>
      </w:r>
      <w:proofErr w:type="spellEnd"/>
      <w:r>
        <w:t xml:space="preserve">», The Lancet </w:t>
      </w:r>
      <w:proofErr w:type="spellStart"/>
      <w:r>
        <w:t>Psychiatry</w:t>
      </w:r>
      <w:proofErr w:type="spellEnd"/>
      <w:r>
        <w:t>, vol. 3, n. 5, 2016, pp. 415-424. Le ricadute sociali sono quantificate distintamente nella nona parte e composte con le grandezze dirette nella decima, senza che le due categorie siano mai sommate in un unico saldo.</w:t>
      </w:r>
    </w:p>
    <w:p w14:paraId="77D8F232" w14:textId="77777777" w:rsidR="007C4598" w:rsidRDefault="00000000">
      <w:pPr>
        <w:jc w:val="both"/>
      </w:pPr>
      <w:r>
        <w:rPr>
          <w:color w:val="555555"/>
          <w:sz w:val="16"/>
          <w:szCs w:val="16"/>
          <w:vertAlign w:val="superscript"/>
        </w:rPr>
        <w:t>[40]</w:t>
      </w:r>
      <w:r>
        <w:t>: Il punto di pareggio dei flussi annuali — collocato, come banda e non come valore fisso, tra il terzo e il quinto anno dall’avvio secondo lo scenario e la rapidità della messa a regime — è determinato dalla modellazione della undicesima parte e dall’analisi di impatto di bilancio della decima. Esso riflette l’asimmetria tra costi prevalentemente anticipati e risparmi progressivamente differiti, e non un difetto strutturale del servizio.</w:t>
      </w:r>
    </w:p>
    <w:p w14:paraId="58D068AA" w14:textId="77777777" w:rsidR="007C4598" w:rsidRDefault="00000000">
      <w:pPr>
        <w:jc w:val="both"/>
      </w:pPr>
      <w:r>
        <w:rPr>
          <w:color w:val="555555"/>
          <w:sz w:val="16"/>
          <w:szCs w:val="16"/>
          <w:vertAlign w:val="superscript"/>
        </w:rPr>
        <w:t>[41]</w:t>
      </w:r>
      <w:r>
        <w:t>: La separazione tra le grandezze fiscali dirette, contate nella presente parte, e le ricadute sociali indirette, contate nella nona, è imposta dalla regola di non duplicazione enunciata nella prima parte e applicata senza eccezioni. Il medesimo miglioramento clinico genera, distintamente, un risparmio fiscale e un beneficio sociale di ordine superiore; le due grandezze sono ricomposte nella sintesi della decima parte, ma non vi sono mai sommate in un unico saldo.</w:t>
      </w:r>
    </w:p>
    <w:p w14:paraId="4E4C2F61" w14:textId="77777777" w:rsidR="007C4598" w:rsidRDefault="00000000">
      <w:pPr>
        <w:jc w:val="both"/>
      </w:pPr>
      <w:r>
        <w:rPr>
          <w:color w:val="555555"/>
          <w:sz w:val="16"/>
          <w:szCs w:val="16"/>
          <w:vertAlign w:val="superscript"/>
        </w:rPr>
        <w:t>[42]</w:t>
      </w:r>
      <w:r>
        <w:t>: Le previsioni falsificabili sulla qualità della vita delle persone, sui bilanci regionali, sulla burocrazia e l’efficienza amministrativa e sui sistemi sanitari regionali sono formulate nella undicesima parte (sezioni 11.3-11.6), corredate di bande e di soglie che ne modificano la raccomandazione, e verificate contro i dati del monitoraggio nella quindicesima. Il risparmio diretto stimato nella presente parte entra in tali previsioni come componente fiscale certa.</w:t>
      </w:r>
    </w:p>
    <w:p w14:paraId="5BC26C1C" w14:textId="77777777" w:rsidR="007C4598" w:rsidRDefault="00000000">
      <w:r>
        <w:br w:type="page"/>
      </w:r>
    </w:p>
    <w:p w14:paraId="4CBA6023" w14:textId="77777777" w:rsidR="007C4598" w:rsidRDefault="00000000">
      <w:pPr>
        <w:spacing w:before="1200" w:after="200"/>
        <w:jc w:val="center"/>
      </w:pPr>
      <w:r>
        <w:rPr>
          <w:b/>
          <w:bCs/>
          <w:color w:val="C49A48"/>
          <w:sz w:val="64"/>
          <w:szCs w:val="64"/>
        </w:rPr>
        <w:t>PARTE IX</w:t>
      </w:r>
    </w:p>
    <w:p w14:paraId="2507031F" w14:textId="77777777" w:rsidR="007C4598" w:rsidRDefault="00000000">
      <w:pPr>
        <w:spacing w:after="600"/>
        <w:jc w:val="center"/>
      </w:pPr>
      <w:r>
        <w:rPr>
          <w:b/>
          <w:bCs/>
          <w:color w:val="16264B"/>
          <w:sz w:val="32"/>
          <w:szCs w:val="32"/>
        </w:rPr>
        <w:t>Costi e benefici indiretti: il perimetro multidisciplinare integrale</w:t>
      </w:r>
    </w:p>
    <w:p w14:paraId="190F7F07" w14:textId="77777777" w:rsidR="007C4598" w:rsidRDefault="007C4598">
      <w:pPr>
        <w:pBdr>
          <w:bottom w:val="single" w:sz="6" w:space="1" w:color="C49A48"/>
        </w:pBdr>
        <w:spacing w:after="200"/>
      </w:pPr>
    </w:p>
    <w:p w14:paraId="0288DCF4" w14:textId="77777777" w:rsidR="007C4598" w:rsidRDefault="00000000">
      <w:pPr>
        <w:jc w:val="both"/>
      </w:pPr>
      <w:r>
        <w:t>Studio Integrale Puglia · Parte IX — Costi e benefici indiretti</w:t>
      </w:r>
    </w:p>
    <w:p w14:paraId="579132F6" w14:textId="77777777" w:rsidR="007C4598" w:rsidRDefault="007C4598"/>
    <w:p w14:paraId="785CFBA8" w14:textId="77777777" w:rsidR="007C4598" w:rsidRDefault="00000000">
      <w:pPr>
        <w:jc w:val="both"/>
      </w:pPr>
      <w:r>
        <w:rPr>
          <w:b/>
          <w:bCs/>
        </w:rPr>
        <w:t>PROGETTO « PSICOLOGO DI BASE » · REGIONE PUGLIA</w:t>
      </w:r>
    </w:p>
    <w:p w14:paraId="222F4947" w14:textId="77777777" w:rsidR="007C4598" w:rsidRDefault="007C4598"/>
    <w:p w14:paraId="0B1AFC31" w14:textId="77777777" w:rsidR="007C4598" w:rsidRDefault="00000000">
      <w:pPr>
        <w:jc w:val="both"/>
      </w:pPr>
      <w:r>
        <w:rPr>
          <w:b/>
          <w:bCs/>
        </w:rPr>
        <w:t>Studio Integrale, Finale e Definitivo</w:t>
      </w:r>
    </w:p>
    <w:p w14:paraId="25499DA6" w14:textId="77777777" w:rsidR="007C4598" w:rsidRDefault="007C4598"/>
    <w:p w14:paraId="1431A57A" w14:textId="77777777" w:rsidR="007C4598" w:rsidRDefault="00000000">
      <w:pPr>
        <w:jc w:val="both"/>
      </w:pPr>
      <w:r>
        <w:rPr>
          <w:b/>
          <w:bCs/>
        </w:rPr>
        <w:t>Parte IX</w:t>
      </w:r>
    </w:p>
    <w:p w14:paraId="4FA5E753" w14:textId="77777777" w:rsidR="007C4598" w:rsidRDefault="007C4598"/>
    <w:p w14:paraId="2AA84939" w14:textId="77777777" w:rsidR="007C4598" w:rsidRDefault="00000000">
      <w:pPr>
        <w:jc w:val="both"/>
      </w:pPr>
      <w:r>
        <w:rPr>
          <w:b/>
          <w:bCs/>
        </w:rPr>
        <w:t>Costi e benefici indiretti</w:t>
      </w:r>
    </w:p>
    <w:p w14:paraId="150DE308" w14:textId="77777777" w:rsidR="007C4598" w:rsidRDefault="007C4598"/>
    <w:p w14:paraId="50CB5CC8" w14:textId="77777777" w:rsidR="007C4598" w:rsidRDefault="00000000">
      <w:pPr>
        <w:jc w:val="both"/>
      </w:pPr>
      <w:r>
        <w:rPr>
          <w:b/>
          <w:bCs/>
        </w:rPr>
        <w:t>il perimetro multidisciplinare integrale</w:t>
      </w:r>
    </w:p>
    <w:p w14:paraId="24B34B4F" w14:textId="77777777" w:rsidR="007C4598" w:rsidRDefault="007C4598"/>
    <w:p w14:paraId="0D5CE9B2" w14:textId="77777777" w:rsidR="007C4598" w:rsidRDefault="00000000">
      <w:pPr>
        <w:jc w:val="both"/>
      </w:pPr>
      <w:r>
        <w:rPr>
          <w:i/>
          <w:iCs/>
        </w:rPr>
        <w:t>La rinegoziazione delle ricadute economico-sociali indirette della riforma lungo i sedici domini del perimetro integrale, dal lavorativo al finanziario, e la loro aggregazione prudenziale nel rispetto della regola di non duplicazione</w:t>
      </w:r>
    </w:p>
    <w:p w14:paraId="407E1CE4" w14:textId="77777777" w:rsidR="007C4598" w:rsidRDefault="007C4598"/>
    <w:p w14:paraId="41273EC1" w14:textId="77777777" w:rsidR="007C4598" w:rsidRDefault="00000000">
      <w:pPr>
        <w:jc w:val="both"/>
      </w:pPr>
      <w:r>
        <w:t xml:space="preserve">Telaio HTA · </w:t>
      </w:r>
      <w:proofErr w:type="spellStart"/>
      <w:r>
        <w:t>Five</w:t>
      </w:r>
      <w:proofErr w:type="spellEnd"/>
      <w:r>
        <w:t xml:space="preserve"> Case Model · CHEERS 2022 · criteri OCSE-DAC</w:t>
      </w:r>
    </w:p>
    <w:p w14:paraId="199F497B" w14:textId="77777777" w:rsidR="007C4598" w:rsidRDefault="007C4598"/>
    <w:p w14:paraId="0ED2C595" w14:textId="77777777" w:rsidR="007C4598" w:rsidRDefault="00000000">
      <w:pPr>
        <w:jc w:val="both"/>
      </w:pPr>
      <w:r>
        <w:t>Cascata gerarchica piramidale dallo Psicologo di Base · perimetro multidisciplinare integrale</w:t>
      </w:r>
    </w:p>
    <w:p w14:paraId="46F2AD0F" w14:textId="77777777" w:rsidR="007C4598" w:rsidRDefault="007C4598"/>
    <w:p w14:paraId="66E600AC" w14:textId="77777777" w:rsidR="007C4598" w:rsidRDefault="00000000">
      <w:pPr>
        <w:jc w:val="both"/>
      </w:pPr>
      <w:r>
        <w:rPr>
          <w:b/>
          <w:bCs/>
        </w:rPr>
        <w:t>Autore intellettuale della riforma: Luigi De Michele</w:t>
      </w:r>
    </w:p>
    <w:p w14:paraId="20B4B9BA" w14:textId="77777777" w:rsidR="007C4598" w:rsidRDefault="007C4598"/>
    <w:p w14:paraId="5045D5FB" w14:textId="77777777" w:rsidR="007C4598" w:rsidRDefault="00000000">
      <w:pPr>
        <w:jc w:val="both"/>
      </w:pPr>
      <w:r>
        <w:t>Codice fiscale DMCLGU82E11Z112C · PEC luigidemichele@legalmail.it</w:t>
      </w:r>
    </w:p>
    <w:p w14:paraId="222EEDFB" w14:textId="77777777" w:rsidR="007C4598" w:rsidRDefault="007C4598"/>
    <w:p w14:paraId="7D6C69F5" w14:textId="77777777" w:rsidR="007C4598" w:rsidRDefault="00000000">
      <w:pPr>
        <w:jc w:val="both"/>
      </w:pPr>
      <w:r>
        <w:t>Giugno 2026</w:t>
      </w:r>
    </w:p>
    <w:p w14:paraId="4329C98D"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9026"/>
      </w:tblGrid>
      <w:tr w:rsidR="007C4598" w14:paraId="0B5394B7"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525EF21" w14:textId="77777777" w:rsidR="007C4598" w:rsidRDefault="00000000">
            <w:pPr>
              <w:spacing w:after="40"/>
            </w:pPr>
            <w:r>
              <w:rPr>
                <w:b/>
                <w:bCs/>
                <w:color w:val="FFFFFF"/>
                <w:sz w:val="18"/>
                <w:szCs w:val="18"/>
              </w:rPr>
              <w:t>Avvertenza sui vincoli metodologici invarianti La presente parte rinegozia le ricadute economico-sociali indirette della riforma, grandezze distinte da quelle fiscali dirette stimate nella parte ottava. Le due categorie non sono mai sommate in un unico saldo: i benefici indiretti di questa parte e i risparmi diretti della parte ottava restano in colonne separate fino alla sintesi della decima parte, che li ricompone senza confonderli. Il ritorno economico degli investimenti in salute mentale è espresso nei soli intervalli corretti, compresi tra 2,3 e 3,0 a 1 per i soli benefici economici e tra 3,3 e 5,7 a 1 con l’inclusione dei ritorni in salute; nessun valore esterno a tale fascia è utilizzato, e tali intervalli operano come ancora di validazione dell’aggregato dei benefici indiretti. La regola di non duplicazione governa in modo stringente questa parte: poiché i domini si sovrappongono, nessun beneficio è attribuito a più di un dominio, e l’aggregazione della voce conclusiva applica le decurtazioni necessarie a evitare ogni doppio conteggio tra domini contigui. I due metodi di stima delle perdite di produttività — l’approccio del capitale umano e il metodo del costo per attrito — producono grandezze diverse e non sono mai combinati; ove impiegati, sono dichiarati distintamente e se ne preserva la non sommabilità. Ogni stima adotta bande prudenziali e previsioni falsificabili, e ogni evidenza è graduata secondo la sua qualità con i criteri GRADE, applicati con il medesimo rigore alle affermazioni economiche e a quelle cliniche.</w:t>
            </w:r>
          </w:p>
        </w:tc>
      </w:tr>
    </w:tbl>
    <w:p w14:paraId="207CEE26" w14:textId="77777777" w:rsidR="007C4598" w:rsidRDefault="007C4598"/>
    <w:p w14:paraId="73C8EE16" w14:textId="77777777" w:rsidR="007C4598" w:rsidRDefault="00000000">
      <w:pPr>
        <w:pStyle w:val="Titolo1"/>
        <w:pageBreakBefore/>
      </w:pPr>
      <w:r>
        <w:rPr>
          <w:sz w:val="22"/>
          <w:szCs w:val="22"/>
        </w:rPr>
        <w:t>Premessa</w:t>
      </w:r>
    </w:p>
    <w:p w14:paraId="7E62AA5D" w14:textId="77777777" w:rsidR="007C4598" w:rsidRDefault="007C4598"/>
    <w:p w14:paraId="2A2EB30A" w14:textId="77777777" w:rsidR="007C4598" w:rsidRDefault="00000000">
      <w:pPr>
        <w:jc w:val="both"/>
      </w:pPr>
      <w:r>
        <w:rPr>
          <w:i/>
          <w:iCs/>
        </w:rPr>
        <w:t>La presente parte rinegozia i costi e i benefici indiretti dell’introduzione del Servizio di Psicologia di Base in Puglia, e ne percorre il perimetro multidisciplinare integrale dominio per dominio. Per costi e benefici indiretti si intendono le ricadute economico-sociali che la riforma genera al di fuori del bilancio sanitario regionale: il valore che la riduzione del disagio comune restituisce al lavoro, alla previdenza, alla produzione, all’assistenza, al welfare, alla prevenzione, alla giustizia, all’amministrazione, alla cultura, alla scuola, alla ricerca, all’industria, alla rappresentanza dei lavoratori, alla comunità, al capitale sociale e ai bilanci regionali nel loro complesso. Sono grandezze di ordine superiore a quelle fiscali dirette stimate nella parte ottava, ma di natura diversa, perché non cadono sul fondo sanitario regionale, bensì si distribuiscono su una pluralità di soggetti pubblici e privati e di bilanci distinti. È in questa parte che la riforma rivela la propria portata multidisciplinare integrale, e che la rinegoziazione dei costi e dei benefici si estende, come il mandato richiede, a tutte le figure e a tutti gli ambiti direttamente e indirettamente connessi allo Psicologo di Base.</w:t>
      </w:r>
    </w:p>
    <w:p w14:paraId="5C9746D8" w14:textId="77777777" w:rsidR="007C4598" w:rsidRDefault="007C4598"/>
    <w:p w14:paraId="3285BFDC" w14:textId="77777777" w:rsidR="007C4598" w:rsidRDefault="00000000">
      <w:pPr>
        <w:jc w:val="both"/>
      </w:pPr>
      <w:r>
        <w:t>Il principio che governa questa parte è duplice, e ne condiziona ogni stima. Il primo principio è la separazione tra le grandezze indirette e quelle dirette: i benefici sociali qui quantificati non sono mai sommati ai risparmi fiscali della parte ottava, e le due categorie viaggiano in colonne distinte, destinate a essere ricomposte, ma non confuse, nella sintesi della decima parte. Il risparmio diretto è il fondamento fiscale certo, che la parte ottava ha mostrato prossimo al pareggio sul bilancio sanitario; il beneficio indiretto è il ritorno sociale di ordine superiore, che questa parte quantifica e che costituisce la giustificazione economica piena della riforma. Tenere distinte le due grandezze non è un tecnicismo, ma la condizione dell’onestà dell’intera valutazione, perché la loro somma indiscriminata produrrebbe cifre più grandi ma false, screditabili alla prima verifica.</w:t>
      </w:r>
    </w:p>
    <w:p w14:paraId="501E2A45" w14:textId="77777777" w:rsidR="007C4598" w:rsidRDefault="007C4598"/>
    <w:p w14:paraId="3048809E" w14:textId="77777777" w:rsidR="007C4598" w:rsidRDefault="00000000">
      <w:pPr>
        <w:jc w:val="both"/>
      </w:pPr>
      <w:r>
        <w:t>Il secondo principio è la regola di non duplicazione, che in questa parte assume la sua forma più impegnativa. I domini del perimetro integrale non sono comparti stagni, ma ambiti che si sovrappongono ampiamente: il valore della maggiore produttività del lavoratore che non si assenta, il valore della mancata uscita anticipata dal mercato del lavoro, il valore della minore spesa previdenziale e assistenziale, il valore del minore output perduto sono altrettante prospettive su un medesimo fenomeno — il ritorno al lavoro e alla vita produttiva di chi il disagio aveva allontanato — e contarle tutte e per intero significherebbe contare più volte il medesimo euro. La sfida metodologica di questa parte è, perciò, quella di percorrere ogni dominio cogliendone la specificità senza duplicare il valore già attribuito ai domini contigui; e la voce conclusiva, lungi dall’essere una semplice somma, è il luogo in cui le decurtazioni necessarie a evitare il doppio conteggio sono applicate e dichiarate. Per questa ragione, l’aggregato finale dei benefici indiretti è inferiore alla somma aritmetica dei valori dei singoli domini, ed è questa differenza, deliberatamente sottratta, la misura del rigore della rinegoziazione.</w:t>
      </w:r>
    </w:p>
    <w:p w14:paraId="687B0849" w14:textId="77777777" w:rsidR="007C4598" w:rsidRDefault="007C4598"/>
    <w:p w14:paraId="52F9BF05" w14:textId="77777777" w:rsidR="007C4598" w:rsidRDefault="00000000">
      <w:pPr>
        <w:pStyle w:val="Titolo1"/>
        <w:pageBreakBefore/>
      </w:pPr>
      <w:r>
        <w:rPr>
          <w:sz w:val="22"/>
          <w:szCs w:val="22"/>
        </w:rPr>
        <w:t>Introduzione</w:t>
      </w:r>
    </w:p>
    <w:p w14:paraId="52220F3D" w14:textId="77777777" w:rsidR="007C4598" w:rsidRDefault="007C4598"/>
    <w:p w14:paraId="7FAF6AA0" w14:textId="77777777" w:rsidR="007C4598" w:rsidRDefault="00000000">
      <w:pPr>
        <w:jc w:val="both"/>
      </w:pPr>
      <w:r>
        <w:rPr>
          <w:i/>
          <w:iCs/>
        </w:rPr>
        <w:t xml:space="preserve">L’introduzione fissa l’oggetto, il metodo e i confini della rinegoziazione dei benefici indiretti. Essa definisce la nozione di beneficio indiretto e la distingue da quella di risparmio diretto; espone la mappa dei sedici domini del perimetro integrale e il loro ordinamento; chiarisce il metodo di stima per dominio e i due approcci alla valutazione delle perdite di produttività, che non sono mai combinati; enuncia la regola di non duplicazione tra domini contigui e il principio dell’aggregazione prudenziale; richiama l’ancora di </w:t>
      </w:r>
      <w:proofErr w:type="spellStart"/>
      <w:r>
        <w:rPr>
          <w:i/>
          <w:iCs/>
        </w:rPr>
        <w:t>Chisholm</w:t>
      </w:r>
      <w:proofErr w:type="spellEnd"/>
      <w:r>
        <w:rPr>
          <w:i/>
          <w:iCs/>
        </w:rPr>
        <w:t xml:space="preserve"> come fascia di validazione dell’aggregato; e anticipa l’ordine di grandezza dei benefici indiretti complessivi, affinché il lettore conosca fin dall’inizio la misura e il senso del ritorno sociale che la voce conclusiva ricomporrà.</w:t>
      </w:r>
    </w:p>
    <w:p w14:paraId="079A89AB" w14:textId="77777777" w:rsidR="007C4598" w:rsidRDefault="007C4598"/>
    <w:p w14:paraId="4EA01D3E" w14:textId="77777777" w:rsidR="007C4598" w:rsidRDefault="00000000">
      <w:pPr>
        <w:pStyle w:val="Titolo2"/>
        <w:spacing w:before="200" w:after="100"/>
      </w:pPr>
      <w:r>
        <w:rPr>
          <w:sz w:val="22"/>
          <w:szCs w:val="22"/>
        </w:rPr>
        <w:t>La nozione di beneficio indiretto e la sua distinzione dal risparmio diretto</w:t>
      </w:r>
    </w:p>
    <w:p w14:paraId="6F8EAF3C" w14:textId="77777777" w:rsidR="007C4598" w:rsidRDefault="007C4598"/>
    <w:p w14:paraId="4FE57739" w14:textId="77777777" w:rsidR="007C4598" w:rsidRDefault="00000000">
      <w:pPr>
        <w:jc w:val="both"/>
      </w:pPr>
      <w:r>
        <w:t>Il beneficio indiretto è il valore economico-sociale che la riduzione del disagio comune genera al di fuori del bilancio sanitario regionale. Esso si distingue dal risparmio diretto per tre caratteristiche congiunte. La prima riguarda il soggetto che ne beneficia: mentre il risparmio diretto cade sul detentore del budget sanitario regionale, il beneficio indiretto si distribuisce su una pluralità di soggetti — le imprese, i lavoratori, l’istituto previdenziale nazionale, il sistema giudiziario, le famiglie, le scuole, la collettività nel suo insieme — e su bilanci distinti da quello sanitario regionale. La seconda riguarda la natura della catena causale: mentre il risparmio diretto discende immediatamente dalla minore spesa sanitaria, il beneficio indiretto discende da catene più lunghe, che attraversano il lavoro, la previdenza, l’assistenza e la giustizia, e che richiedono pertanto una maggiore cautela nella stima. La terza riguarda l’ordine di grandezza: il beneficio indiretto è, nel complesso, superiore al risparmio diretto, perché la maggior parte del valore che la salute mentale restituisce alla società non si manifesta come minore spesa sanitaria, ma come maggiore produttività e minore onere sociale.</w:t>
      </w:r>
    </w:p>
    <w:p w14:paraId="311BAB3C" w14:textId="77777777" w:rsidR="007C4598" w:rsidRDefault="007C4598"/>
    <w:p w14:paraId="0D84FB5C" w14:textId="77777777" w:rsidR="007C4598" w:rsidRDefault="00000000">
      <w:pPr>
        <w:jc w:val="both"/>
      </w:pPr>
      <w:r>
        <w:t>Questa distinzione fonda l’architettura economica dell’intera opera, e ne segna il punto di passaggio. La parte ottava ha misurato la grandezza fiscale diretta, certa ma contenuta, e ha mostrato che la riforma si autofinanzia in misura prossima alla totalità sul bilancio sanitario. La presente parte misura la grandezza sociale indiretta, più ampia ma anche più incerta, e mostra dove risieda il vero ritorno della riforma. La decima parte ricomporrà le due grandezze nel saldo consolidato, mantenendole distinte. È essenziale, per la correttezza di questo passaggio, che il beneficio indiretto non sia mai confuso con il risparmio diretto né a esso sommato in un unico rapporto: il medesimo miglioramento clinico genera, distintamente, un risparmio fiscale e un beneficio sociale, e le due grandezze, per quanto originate dalla medesima causa, appartengono a categorie diverse e a bilanci diversi.</w:t>
      </w:r>
      <w:r>
        <w:rPr>
          <w:color w:val="555555"/>
          <w:sz w:val="16"/>
          <w:szCs w:val="16"/>
          <w:vertAlign w:val="superscript"/>
        </w:rPr>
        <w:t>[1]</w:t>
      </w:r>
    </w:p>
    <w:p w14:paraId="41ABB4BD" w14:textId="77777777" w:rsidR="007C4598" w:rsidRDefault="007C4598"/>
    <w:p w14:paraId="734198F7" w14:textId="77777777" w:rsidR="007C4598" w:rsidRDefault="00000000">
      <w:pPr>
        <w:pStyle w:val="Titolo2"/>
        <w:spacing w:before="200" w:after="100"/>
      </w:pPr>
      <w:r>
        <w:rPr>
          <w:sz w:val="22"/>
          <w:szCs w:val="22"/>
        </w:rPr>
        <w:t>La mappa dei sedici domini e il loro ordinamento</w:t>
      </w:r>
    </w:p>
    <w:p w14:paraId="3696218F" w14:textId="77777777" w:rsidR="007C4598" w:rsidRDefault="007C4598"/>
    <w:p w14:paraId="38923F18" w14:textId="77777777" w:rsidR="007C4598" w:rsidRDefault="00000000">
      <w:pPr>
        <w:jc w:val="both"/>
      </w:pPr>
      <w:r>
        <w:t xml:space="preserve">Il perimetro multidisciplinare integrale si articola in sedici domini, che questa parte percorre in un ordine non casuale. L’ordine muove dai domini più direttamente economici e di maggiore peso — il lavorativo, il pensionistico, il produttivistico — verso i domini progressivamente più sociali e meno immediatamente monetizzabili — l’assistenzialistico, il </w:t>
      </w:r>
      <w:proofErr w:type="spellStart"/>
      <w:r>
        <w:t>welfaristico</w:t>
      </w:r>
      <w:proofErr w:type="spellEnd"/>
      <w:r>
        <w:t xml:space="preserve">, il </w:t>
      </w:r>
      <w:proofErr w:type="spellStart"/>
      <w:r>
        <w:t>prevenzionalistico</w:t>
      </w:r>
      <w:proofErr w:type="spellEnd"/>
      <w:r>
        <w:t>, il criminologico, il burocratico — fino ai domini di natura prevalentemente culturale, formativa e relazionale — il culturale, il pedagogico e scolastico, l’accademico, l’industriale, il sindacale, l’antropologico, il sociale — per chiudersi sul dominio finanziario, che ricompone gli effetti sui bilanci regionali. Questo ordinamento riflette, da un lato, il peso economico decrescente dei domini, e, dall’altro, il grado decrescente di monetizzabilità e crescente di incertezza delle loro stime, sicché la parte procede dai terreni più solidi verso quelli più esposti alla cautela. L’ordinamento dei domini non è indipendente dalla cascata delle figure descritta nella terza parte, ma ne costituisce la proiezione sugli ambiti: ciascun dominio è il terreno su cui la cooperazione delle figure della cascata, innescata dallo Psicologo di Base, dispiega i propri effetti di ordine superiore.</w:t>
      </w:r>
    </w:p>
    <w:p w14:paraId="5D8B54E2" w14:textId="77777777" w:rsidR="007C4598" w:rsidRDefault="007C4598"/>
    <w:p w14:paraId="454441C9" w14:textId="77777777" w:rsidR="007C4598" w:rsidRDefault="00000000">
      <w:pPr>
        <w:jc w:val="both"/>
      </w:pPr>
      <w:r>
        <w:t>Tra i sedici domini, alcuni sono suscettibili di stima monetaria con relativa solidità, perché ancorati a grandezze economiche documentate e a parametri di effetto tratti dalla letteratura; altri sono solo parzialmente monetizzabili, e si prestano a una stima prudenziale corredata di ampie bande; altri ancora sono di natura prevalentemente qualitativa, e il loro valore, pur reale, non si lascia ridurre a una cifra senza forzature. La rinegoziazione tratta ciascun dominio secondo la sua natura: quantifica con cautela i domini monetizzabili, stima con bande ampie i domini parzialmente monetizzabili, e descrive senza monetizzare i domini qualitativi, riconoscendo che la loro esclusione dalla somma non ne nega il valore, ma ne rispetta l’irriducibilità alla misura monetaria. Questa differenziazione del trattamento è essa stessa una garanzia di onestà, perché evita di attribuire una falsa precisione numerica a domini il cui valore è genuinamente non monetizzabile.</w:t>
      </w:r>
    </w:p>
    <w:p w14:paraId="669C9422" w14:textId="77777777" w:rsidR="007C4598" w:rsidRDefault="007C4598"/>
    <w:p w14:paraId="1FEBCD92" w14:textId="77777777" w:rsidR="007C4598" w:rsidRDefault="00000000">
      <w:pPr>
        <w:pStyle w:val="Titolo2"/>
        <w:spacing w:before="200" w:after="100"/>
      </w:pPr>
      <w:r>
        <w:rPr>
          <w:sz w:val="22"/>
          <w:szCs w:val="22"/>
        </w:rPr>
        <w:t>Il metodo di stima per dominio e i due approcci alla produttività</w:t>
      </w:r>
    </w:p>
    <w:p w14:paraId="343A1F20" w14:textId="77777777" w:rsidR="007C4598" w:rsidRDefault="007C4598"/>
    <w:p w14:paraId="34C8D43C" w14:textId="77777777" w:rsidR="007C4598" w:rsidRDefault="00000000">
      <w:pPr>
        <w:jc w:val="both"/>
      </w:pPr>
      <w:r>
        <w:t>La stima di ciascun dominio monetizzabile segue il medesimo procedimento in cinque passaggi adottato nella parte ottava, adattato alla natura indiretta delle grandezze. Il primo passaggio individua la grandezza economica di ancoraggio del dominio: il costo dell’assenteismo, l’onere delle pensioni di invalidità per cause psichiche, la spesa assistenziale, il costo della giustizia, misurati sui dati pubblici disponibili e destinati a essere sostituiti dai dati certificati. Il secondo isola la frazione di quella grandezza riconducibile al disagio comune intercettabile dal primo livello psicologico, distinta dalla quota riconducibile a patologie gravi non di competenza del primo livello e dalla quota fisiologica e incomprimibile. Il terzo applica il parametro di effetto tratto dalla letteratura, graduato secondo la sua qualità. Il quarto introduce la quota di copertura e di adesione propria di ciascuno scenario. Il quinto applica la riduzione prudenziale che incorpora l’incertezza, più marcata che nella parte ottava in ragione della maggiore lunghezza delle catene causali indirette.</w:t>
      </w:r>
    </w:p>
    <w:p w14:paraId="1782D1D3" w14:textId="77777777" w:rsidR="007C4598" w:rsidRDefault="007C4598"/>
    <w:p w14:paraId="10B83ED5" w14:textId="77777777" w:rsidR="007C4598" w:rsidRDefault="00000000">
      <w:pPr>
        <w:jc w:val="both"/>
      </w:pPr>
      <w:r>
        <w:t>Un’avvertenza metodologica specifica riguarda la valutazione delle perdite di produttività, che attraversa più domini e che la letteratura affronta con due approcci alternativi e non sommabili. L’approccio del capitale umano stima la perdita di produttività come l’intero valore della produzione che il lavoratore avrebbe generato durante l’assenza o l’uscita anticipata dal lavoro, valutando il tempo perduto al costo pieno del lavoro per l’intero periodo; esso tende a produrre stime più elevate, ed è appropriato per cogliere il valore sociale complessivo della salute. Il metodo del costo per attrito stima invece la sola perdita che si verifica nel periodo necessario a sostituire il lavoratore assente o uscito, oltre il quale si assume che la produzione sia ripristinata da un altro lavoratore; esso produce stime più contenute, ed è appropriato per cogliere il costo effettivo per il sistema produttivo nel breve periodo. I due approcci rispondono a domande diverse e non sono mai combinati, perché sommarli significherebbe contare due volte la medesima perdita; questa parte dichiara, per ciascun dominio in cui la produttività rileva, quale approccio adotta, e ne preserva la non sommabilità.</w:t>
      </w:r>
      <w:r>
        <w:rPr>
          <w:color w:val="555555"/>
          <w:sz w:val="16"/>
          <w:szCs w:val="16"/>
          <w:vertAlign w:val="superscript"/>
        </w:rPr>
        <w:t>[2][3]</w:t>
      </w:r>
    </w:p>
    <w:p w14:paraId="074F272E" w14:textId="77777777" w:rsidR="007C4598" w:rsidRDefault="007C4598"/>
    <w:p w14:paraId="029ED33A" w14:textId="77777777" w:rsidR="007C4598" w:rsidRDefault="00000000">
      <w:pPr>
        <w:pStyle w:val="Titolo2"/>
        <w:spacing w:before="200" w:after="100"/>
      </w:pPr>
      <w:r>
        <w:rPr>
          <w:sz w:val="22"/>
          <w:szCs w:val="22"/>
        </w:rPr>
        <w:t xml:space="preserve">La regola di non duplicazione tra domini e l’ancora di </w:t>
      </w:r>
      <w:proofErr w:type="spellStart"/>
      <w:r>
        <w:rPr>
          <w:sz w:val="22"/>
          <w:szCs w:val="22"/>
        </w:rPr>
        <w:t>Chisholm</w:t>
      </w:r>
      <w:proofErr w:type="spellEnd"/>
    </w:p>
    <w:p w14:paraId="2219FE70" w14:textId="77777777" w:rsidR="007C4598" w:rsidRDefault="007C4598"/>
    <w:p w14:paraId="5A42C22A" w14:textId="77777777" w:rsidR="007C4598" w:rsidRDefault="00000000">
      <w:pPr>
        <w:jc w:val="both"/>
      </w:pPr>
      <w:r>
        <w:t xml:space="preserve">La regola di non duplicazione, già enunciata come principio, richiede in questa parte una specificazione operativa, perché è tra domini contigui che il rischio di doppio conteggio è più acuto. Tre sovrapposizioni, in particolare, sono governate con cura lungo l’intera parte. La prima è quella tra il dominio lavorativo, che misura la perdita di produttività del lavoratore occupato, e il dominio pensionistico, che misura l’uscita permanente dal mercato del lavoro: i due domini sono tenuti distinti attribuendo al primo la sola perdita di breve periodo di chi resta occupato, e al secondo la sola uscita permanente, senza sovrapposizione. La seconda è quella tra il dominio pensionistico, che misura l’onere previdenziale, e il dominio </w:t>
      </w:r>
      <w:proofErr w:type="spellStart"/>
      <w:r>
        <w:t>welfaristico</w:t>
      </w:r>
      <w:proofErr w:type="spellEnd"/>
      <w:r>
        <w:t>, che misura l’onere assistenziale non previdenziale: i due sono tenuti distinti attribuendo al primo le sole prestazioni previdenziali e al secondo le sole prestazioni assistenziali. La terza è quella tra il dominio produttivistico, che offre la lente macroeconomica dell’output, e i domini lavorativo e pensionistico, che ne colgono le componenti specifiche: il dominio produttivistico è trattato come sintesi che integra senza aggiungere, e conta soltanto la componente residua non già attribuita agli altri due. Queste e le altre decurtazioni sono applicate sistematicamente, e rese esplicite nella voce conclusiva.</w:t>
      </w:r>
    </w:p>
    <w:p w14:paraId="4E1FADEF" w14:textId="77777777" w:rsidR="007C4598" w:rsidRDefault="007C4598"/>
    <w:p w14:paraId="30607A26" w14:textId="77777777" w:rsidR="007C4598" w:rsidRDefault="00000000">
      <w:pPr>
        <w:jc w:val="both"/>
      </w:pPr>
      <w:r>
        <w:t>L’aggregato dei benefici indiretti, ottenuto al netto delle decurtazioni per non duplicazione, è infine sottoposto a una verifica di coerenza con l’ancora invariante della letteratura. Gli intervalli del ritorno sull’investimento in salute mentale, compresi tra 2,3 e 3,0 a 1 per i soli benefici economici e tra 3,3 e 5,7 a 1 con l’inclusione dei ritorni in salute, operano come fascia di validazione: l’aggregato dei benefici indiretti economici, rapportato al costo del servizio, deve cadere entro la fascia economica, e l’aggregato comprensivo del valore della salute deve restare entro la fascia ampia.</w:t>
      </w:r>
      <w:r>
        <w:rPr>
          <w:color w:val="555555"/>
          <w:sz w:val="16"/>
          <w:szCs w:val="16"/>
          <w:vertAlign w:val="superscript"/>
        </w:rPr>
        <w:t>[4]</w:t>
      </w:r>
      <w:r>
        <w:t xml:space="preserve"> Questa verifica non è la fonte delle stime — che derivano dall’ancoraggio per dominio — ma il loro controllo: se l’aggregato per dominio eccedesse la fascia documentata, ciò segnalerebbe un doppio conteggio o una sovrastima da correggere; se vi restasse al di sotto, ciò segnalerebbe una sottostima o una prudenza eccessiva da dichiarare. L’ancora di </w:t>
      </w:r>
      <w:proofErr w:type="spellStart"/>
      <w:r>
        <w:t>Chisholm</w:t>
      </w:r>
      <w:proofErr w:type="spellEnd"/>
      <w:r>
        <w:t xml:space="preserve"> è, in questo senso, il limite superiore metodologicamente fondato entro cui l’intera rinegoziazione dei benefici indiretti si mantiene, e la garanzia che nessuna cifra ecceda ciò che la letteratura internazionale autorizza.</w:t>
      </w:r>
    </w:p>
    <w:p w14:paraId="003AD2DC" w14:textId="77777777" w:rsidR="007C4598" w:rsidRDefault="007C4598"/>
    <w:p w14:paraId="6BB7E73C" w14:textId="77777777" w:rsidR="007C4598" w:rsidRDefault="00000000">
      <w:pPr>
        <w:pStyle w:val="Titolo2"/>
        <w:spacing w:before="200" w:after="100"/>
      </w:pPr>
      <w:r>
        <w:rPr>
          <w:sz w:val="22"/>
          <w:szCs w:val="22"/>
        </w:rPr>
        <w:t>L’anticipazione dell’ordine di grandezza dei benefici indiretti</w:t>
      </w:r>
    </w:p>
    <w:p w14:paraId="092ED42D" w14:textId="77777777" w:rsidR="007C4598" w:rsidRDefault="007C4598"/>
    <w:p w14:paraId="648E68EF" w14:textId="77777777" w:rsidR="007C4598" w:rsidRDefault="00000000">
      <w:pPr>
        <w:jc w:val="both"/>
      </w:pPr>
      <w:r>
        <w:t>A beneficio della lettura, conviene anticipare la misura dell’esito che la voce conclusiva ricomporrà. Aggregati i sedici domini al netto delle decurtazioni per non duplicazione, i benefici indiretti economici della riforma per la collettività pugliese sono dell’ordine di alcune decine di milioni di euro l’anno a regime nello scenario conservativo, e crescono fino a oltre un centinaio di milioni nello scenario espansivo. Rapportati al costo del servizio, dell’ordine di venticinque, trentotto e cinquanta milioni di euro l’anno secondo lo scenario, questi benefici implicano un rapporto beneficio-costo che cade entro la fascia economica documentata dalla letteratura, compresa tra 2,3 e 3,0 a 1, e che, con l’inclusione del valore dei ritorni in salute, si avvicina alla fascia ampia compresa tra 3,3 e 5,7 a 1. È questo il dato che la parte ottava aveva annunciato e che la presente parte dimostra: la giustificazione economica piena della riforma non risiede nel saldo fiscale diretto, prossimo al pareggio, bensì in questo ritorno sociale di ordine superiore, che eccede ampiamente il costo del servizio e che si distribuisce sull’intero corpo sociale.</w:t>
      </w:r>
    </w:p>
    <w:p w14:paraId="465C8791" w14:textId="77777777" w:rsidR="007C4598" w:rsidRDefault="007C4598"/>
    <w:p w14:paraId="66C9B158" w14:textId="77777777" w:rsidR="007C4598" w:rsidRDefault="00000000">
      <w:pPr>
        <w:jc w:val="both"/>
      </w:pPr>
      <w:r>
        <w:t>Questa anticipazione va letta con la cautela che la natura indiretta delle grandezze impone. I benefici indiretti sono reali e di ordine superiore al risparmio diretto, ma sono anche più incerti, perché discendono da catene causali più lunghe e da parametri di effetto più variabili; per questo sono espressi in bande prudenziali ampie, e la loro stima centrale è accompagnata dalla dichiarazione esplicita dell’intervallo entro cui essa può oscillare. La forza dell’argomento economico della riforma non risiede, dunque, nella precisione di una cifra puntuale, ma nella robustezza di un intervallo che, anche nel suo estremo inferiore e anche al netto di ogni decurtazione prudenziale, mostra un ritorno sociale che eccede il costo del servizio. Stabilita in apertura questa misura e dichiarato il metodo che vi conduce, la rinegoziazione può ora aprire il percorso dei domini dal primo e più cospicuo di essi, il dominio lavorativo.</w:t>
      </w:r>
    </w:p>
    <w:p w14:paraId="62A57DD8" w14:textId="77777777" w:rsidR="007C4598" w:rsidRDefault="007C4598"/>
    <w:p w14:paraId="01D9B17F" w14:textId="77777777" w:rsidR="007C4598" w:rsidRDefault="00000000">
      <w:pPr>
        <w:pStyle w:val="Titolo1"/>
        <w:pageBreakBefore/>
      </w:pPr>
      <w:r>
        <w:rPr>
          <w:sz w:val="22"/>
          <w:szCs w:val="22"/>
        </w:rPr>
        <w:t>9.1  Il dominio lavorativo</w:t>
      </w:r>
    </w:p>
    <w:p w14:paraId="177B0971" w14:textId="77777777" w:rsidR="007C4598" w:rsidRDefault="007C4598"/>
    <w:p w14:paraId="6625DF49" w14:textId="77777777" w:rsidR="007C4598" w:rsidRDefault="00000000">
      <w:pPr>
        <w:jc w:val="both"/>
      </w:pPr>
      <w:r>
        <w:rPr>
          <w:i/>
          <w:iCs/>
        </w:rPr>
        <w:t xml:space="preserve">Il primo dominio del perimetro integrale è il lavorativo, e ne costituisce, per peso economico, la componente più cospicua. Esso misura il valore che la riduzione del disagio comune restituisce al mercato del lavoro attraverso il recupero della produttività dei lavoratori occupati: il minore assenteismo per malattia a matrice psichica, la riduzione del </w:t>
      </w:r>
      <w:proofErr w:type="spellStart"/>
      <w:r>
        <w:rPr>
          <w:i/>
          <w:iCs/>
        </w:rPr>
        <w:t>presenteismo</w:t>
      </w:r>
      <w:proofErr w:type="spellEnd"/>
      <w:r>
        <w:rPr>
          <w:i/>
          <w:iCs/>
        </w:rPr>
        <w:t>, ossia della presenza al lavoro in condizioni di ridotta efficienza, e la diminuzione delle malattie professionali e dei disturbi stress-correlati. Il dominio coglie, in altri termini, ciò che il disagio psichico sottrae alla produzione di chi resta occupato, e che l’intercettazione precoce restituisce; e lo coglie distintamente dall’uscita permanente dal lavoro, che il dominio pensionistico tratterà, per non duplicare il valore. La voce ricostruisce il contesto pugliese del carico del disagio sul lavoro, ne isola i meccanismi, ne traccia la catena causale, ne stima il beneficio per scenario e ne dichiara la graduazione, i confini e la non sovrapposizione con i domini contigui.</w:t>
      </w:r>
    </w:p>
    <w:p w14:paraId="55F3DCF1" w14:textId="77777777" w:rsidR="007C4598" w:rsidRDefault="007C4598"/>
    <w:p w14:paraId="076FF933" w14:textId="77777777" w:rsidR="007C4598" w:rsidRDefault="00000000">
      <w:pPr>
        <w:pStyle w:val="Titolo2"/>
        <w:spacing w:before="200" w:after="100"/>
      </w:pPr>
      <w:r>
        <w:rPr>
          <w:sz w:val="22"/>
          <w:szCs w:val="22"/>
        </w:rPr>
        <w:t>9.1.1  Il contesto: il carico del disagio psichico sul lavoro in Puglia</w:t>
      </w:r>
    </w:p>
    <w:p w14:paraId="6DB7BF5D" w14:textId="77777777" w:rsidR="007C4598" w:rsidRDefault="007C4598"/>
    <w:p w14:paraId="3D354893" w14:textId="77777777" w:rsidR="007C4598" w:rsidRDefault="00000000">
      <w:pPr>
        <w:jc w:val="both"/>
      </w:pPr>
      <w:r>
        <w:t>Il disagio psichico comune costituisce, nelle economie avanzate, una delle prime cause di perdita di produttività del lavoro, e il suo peso economico complessivo è stimato dalle organizzazioni internazionali in una frazione rilevante del prodotto, dell’ordine di alcuni punti percentuali, di cui la componente sanitaria diretta rappresenta soltanto una parte minoritaria, mentre la quota maggiore è costituita proprio dalle perdite di produttività e dagli oneri sociali indiretti.</w:t>
      </w:r>
      <w:r>
        <w:rPr>
          <w:color w:val="555555"/>
          <w:sz w:val="16"/>
          <w:szCs w:val="16"/>
          <w:vertAlign w:val="superscript"/>
        </w:rPr>
        <w:t>[5]</w:t>
      </w:r>
      <w:r>
        <w:t xml:space="preserve"> Questa proporzione — per cui il costo del disagio psichico ricade sul sistema produttivo e sociale assai più che sul sistema sanitario — è il fondamento dell’intera parte nona, e in nessun dominio è più evidente che in quello lavorativo. La Puglia, regione segnata da un mercato del lavoro fragile e da una elevata incidenza del disagio comune non intercettato, presenta un carico lavorativo del disagio psichico di entità significativa, che la riforma può comprimere nella sua componente intercettabile.</w:t>
      </w:r>
    </w:p>
    <w:p w14:paraId="402DF78F" w14:textId="77777777" w:rsidR="007C4598" w:rsidRDefault="007C4598"/>
    <w:p w14:paraId="3E7EFFB7" w14:textId="77777777" w:rsidR="007C4598" w:rsidRDefault="00000000">
      <w:pPr>
        <w:jc w:val="both"/>
      </w:pPr>
      <w:r>
        <w:t xml:space="preserve">Il carico lavorativo del disagio psichico si manifesta in tre forme, di peso diseguale. La prima è l’assenteismo per malattia a matrice psichica, ossia le giornate di lavoro perdute per congedi e assenze riconducibili a disturbi d’ansia, depressivi e da stress; è la forma più visibile e più facilmente misurabile, ma non la maggiore. La seconda è il </w:t>
      </w:r>
      <w:proofErr w:type="spellStart"/>
      <w:r>
        <w:t>presenteismo</w:t>
      </w:r>
      <w:proofErr w:type="spellEnd"/>
      <w:r>
        <w:t>, ossia la presenza al lavoro del lavoratore che, pur non assentandosi, opera in condizioni di ridotta concentrazione, efficienza e capacità decisionale a causa del disagio non trattato; è la forma meno visibile ma, secondo la letteratura, la maggiore, perché la perdita di produttività del presente ma inefficiente eccede quella dell’assente, sia per la sua diffusione sia per la sua durata.</w:t>
      </w:r>
      <w:r>
        <w:rPr>
          <w:color w:val="555555"/>
          <w:sz w:val="16"/>
          <w:szCs w:val="16"/>
          <w:vertAlign w:val="superscript"/>
        </w:rPr>
        <w:t>[6]</w:t>
      </w:r>
      <w:r>
        <w:t xml:space="preserve"> La terza è costituita dalle malattie professionali e dai disturbi stress-correlati, ossia dalle patologie il cui sviluppo è favorito o aggravato dalle condizioni di lavoro e dallo stress lavoro-correlato, che generano costi per il sistema assicurativo, per le imprese e per i lavoratori.</w:t>
      </w:r>
      <w:r>
        <w:rPr>
          <w:color w:val="555555"/>
          <w:sz w:val="16"/>
          <w:szCs w:val="16"/>
          <w:vertAlign w:val="superscript"/>
        </w:rPr>
        <w:t>[7]</w:t>
      </w:r>
      <w:r>
        <w:t xml:space="preserve"> È la somma di queste tre forme, e in particolare delle prime due, che costituisce la grandezza di ancoraggio del dominio lavorativo.</w:t>
      </w:r>
    </w:p>
    <w:p w14:paraId="2924F65C" w14:textId="77777777" w:rsidR="007C4598" w:rsidRDefault="007C4598"/>
    <w:p w14:paraId="0A0BE9F6" w14:textId="77777777" w:rsidR="007C4598" w:rsidRDefault="00000000">
      <w:pPr>
        <w:jc w:val="both"/>
      </w:pPr>
      <w:r>
        <w:t xml:space="preserve">La connessione tra questo carico e il primo livello psicologico è diretta e opera attraverso l’intercettazione precoce del disagio nei suoi stadi iniziali, prima che esso comprometta la capacità lavorativa. Il lavoratore che presenta i primi segni di un disturbo d’ansia o depressivo, se intercettato e preso in carico al primo livello, ha maggiore probabilità di conservare la propria piena capacità lavorativa, di non assentarsi e di non operare in condizioni di ridotta efficienza; il lavoratore non intercettato, viceversa, segue una traiettoria di progressiva compromissione che si traduce in assenteismo, </w:t>
      </w:r>
      <w:proofErr w:type="spellStart"/>
      <w:r>
        <w:t>presenteismo</w:t>
      </w:r>
      <w:proofErr w:type="spellEnd"/>
      <w:r>
        <w:t xml:space="preserve"> e, nei casi più gravi, in uscita dal lavoro. Lo Psicologo di Base, intercettando il disagio nelle cure primarie, agisce dunque a monte della perdita di produttività, e il valore che ne deriva — la produttività conservata — è il beneficio che il dominio lavorativo misura. Tale beneficio si distribuisce sulle imprese, che dispongono di lavoratori più produttivi, e sulla collettività, che conserva il valore della produzione che il disagio avrebbe sottratto.</w:t>
      </w:r>
    </w:p>
    <w:p w14:paraId="061B413C" w14:textId="77777777" w:rsidR="007C4598" w:rsidRDefault="007C4598"/>
    <w:p w14:paraId="5EA25D7B" w14:textId="77777777" w:rsidR="007C4598" w:rsidRDefault="00000000">
      <w:pPr>
        <w:pStyle w:val="Titolo2"/>
        <w:spacing w:before="200" w:after="100"/>
      </w:pPr>
      <w:r>
        <w:rPr>
          <w:sz w:val="22"/>
          <w:szCs w:val="22"/>
        </w:rPr>
        <w:t xml:space="preserve">9.1.2  I meccanismi: assenteismo, </w:t>
      </w:r>
      <w:proofErr w:type="spellStart"/>
      <w:r>
        <w:rPr>
          <w:sz w:val="22"/>
          <w:szCs w:val="22"/>
        </w:rPr>
        <w:t>presenteismo</w:t>
      </w:r>
      <w:proofErr w:type="spellEnd"/>
      <w:r>
        <w:rPr>
          <w:sz w:val="22"/>
          <w:szCs w:val="22"/>
        </w:rPr>
        <w:t>, disturbi stress-correlati</w:t>
      </w:r>
    </w:p>
    <w:p w14:paraId="15E92ADA" w14:textId="77777777" w:rsidR="007C4598" w:rsidRDefault="007C4598"/>
    <w:p w14:paraId="2D1DA7A4" w14:textId="77777777" w:rsidR="007C4598" w:rsidRDefault="00000000">
      <w:pPr>
        <w:jc w:val="both"/>
      </w:pPr>
      <w:r>
        <w:t>Il dominio lavorativo opera attraverso tre meccanismi, corrispondenti alle tre forme del carico e accomunati dalla conservazione della capacità produttiva del lavoratore occupato. Il primo meccanismo è la riduzione dell’assenteismo per malattia a matrice psichica. L’intercettazione precoce e la presa in carico del disturbo comune riducono la durata e la frequenza dei congedi per malattia psichica, perché il disturbo trattato tempestivamente comporta minori giornate di assenza di quello lasciato evolvere. Il meccanismo agisce sulla riduzione delle giornate perdute, e il valore che ne deriva è quello della produzione recuperata in quelle giornate, valutata secondo l’approccio dichiarato.</w:t>
      </w:r>
    </w:p>
    <w:p w14:paraId="65B50C20" w14:textId="77777777" w:rsidR="007C4598" w:rsidRDefault="007C4598"/>
    <w:p w14:paraId="6D9F27C0" w14:textId="77777777" w:rsidR="007C4598" w:rsidRDefault="00000000">
      <w:pPr>
        <w:jc w:val="both"/>
      </w:pPr>
      <w:r>
        <w:t xml:space="preserve">Il secondo meccanismo, di peso maggiore, è la riduzione del </w:t>
      </w:r>
      <w:proofErr w:type="spellStart"/>
      <w:r>
        <w:t>presenteismo</w:t>
      </w:r>
      <w:proofErr w:type="spellEnd"/>
      <w:r>
        <w:t xml:space="preserve">. Il disagio non trattato non sempre conduce all’assenza; più spesso conduce alla presenza inefficiente, in cui il lavoratore, pur recandosi al lavoro, opera con ridotta concentrazione, maggiore affaticamento e minore capacità decisionale, generando una perdita di produttività diffusa e prolungata che sfugge alle statistiche dell’assenteismo ma che la incide largamente. La presa in carico del disturbo, ripristinando la piena efficienza del lavoratore, riduce questa perdita; e poiché il </w:t>
      </w:r>
      <w:proofErr w:type="spellStart"/>
      <w:r>
        <w:t>presenteismo</w:t>
      </w:r>
      <w:proofErr w:type="spellEnd"/>
      <w:r>
        <w:t xml:space="preserve"> è, secondo la letteratura, più diffuso e più costoso dell’assenteismo, la sua riduzione costituisce la componente maggiore del beneficio del dominio lavorativo. Il terzo meccanismo è la riduzione delle malattie professionali e dei disturbi stress-correlati, attraverso la presa in carico precoce dello stress lavoro-correlato e la prevenzione della sua evoluzione in patologia conclamata; esso genera minori costi per il sistema assicurativo e per le imprese. I tre meccanismi convergono verso il medesimo esito — la produttività conservata del lavoratore occupato — e ne colgono componenti distinte, sommabili tra loro ma non con il valore dell’uscita permanente dal lavoro, che il dominio pensionistico misura.</w:t>
      </w:r>
    </w:p>
    <w:p w14:paraId="0DC4E1D2" w14:textId="77777777" w:rsidR="007C4598" w:rsidRDefault="007C4598"/>
    <w:p w14:paraId="5517EC83" w14:textId="77777777" w:rsidR="007C4598" w:rsidRDefault="00000000">
      <w:pPr>
        <w:pStyle w:val="Titolo2"/>
        <w:spacing w:before="200" w:after="100"/>
      </w:pPr>
      <w:r>
        <w:rPr>
          <w:sz w:val="22"/>
          <w:szCs w:val="22"/>
        </w:rPr>
        <w:t>9.1.3  La catena causale del beneficio lavorativo</w:t>
      </w:r>
    </w:p>
    <w:p w14:paraId="11D93269" w14:textId="77777777" w:rsidR="007C4598" w:rsidRDefault="007C4598"/>
    <w:p w14:paraId="546FB14C" w14:textId="77777777" w:rsidR="007C4598" w:rsidRDefault="00000000">
      <w:pPr>
        <w:jc w:val="both"/>
      </w:pPr>
      <w:r>
        <w:t xml:space="preserve">La formazione del beneficio lavorativo può essere ricostruita come una catena causale a più anelli, con la regola consueta della solidità pari a quella dell’anello più debole. Il primo anello è clinico: l’intercettazione e il trattamento precoce del disturbo comune migliorano gli esiti e ripristinano la capacità funzionale del lavoratore. Questo anello è sostenuto da evidenza di qualità da moderata ad alta, la medesima che fonda l’efficacia clinica dell’integrazione della psicologia nelle cure primarie. Il secondo anello è funzionale-lavorativo: il ripristino della capacità funzionale si traduce in minore assenteismo, minore </w:t>
      </w:r>
      <w:proofErr w:type="spellStart"/>
      <w:r>
        <w:t>presenteismo</w:t>
      </w:r>
      <w:proofErr w:type="spellEnd"/>
      <w:r>
        <w:t xml:space="preserve"> e minore incidenza dei disturbi stress-correlati. Questo anello è sostenuto da evidenza coerente ma di qualità più variabile, perché la traduzione del miglioramento clinico in recupero della produttività dipende da fattori — la natura del lavoro, l’organizzazione, il contesto produttivo — che mediano l’effetto.</w:t>
      </w:r>
    </w:p>
    <w:p w14:paraId="5BF19191" w14:textId="77777777" w:rsidR="007C4598" w:rsidRDefault="007C4598"/>
    <w:p w14:paraId="5D6A4329" w14:textId="77777777" w:rsidR="007C4598" w:rsidRDefault="00000000">
      <w:pPr>
        <w:jc w:val="both"/>
      </w:pPr>
      <w:r>
        <w:t>Il terzo anello è economico: il recupero della produttività si traduce in valore economico per le imprese e per la collettività. Questo anello presenta, nel dominio lavorativo, una specificità rispetto ai canali della parte ottava: il valore recuperato non è un risparmio di spesa, ma una produzione conservata, e la sua quantificazione dipende dall’approccio adottato — del capitale umano o del costo per attrito — che ne determina l’entità. La graduazione complessiva del beneficio lavorativo è quella del suo anello funzionale-lavorativo, intermedia, e si traduce in bande prudenziali la cui ampiezza riflette tanto l’incertezza sulla traduzione del miglioramento clinico in recupero della produttività quanto la dipendenza della stima dall’approccio metodologico. La catena, inoltre, è governata fin dall’origine dalla regola di non duplicazione: essa coglie la sola produttività del lavoratore che resta occupato, e si arresta alla soglia dell’uscita dal lavoro, che apre la catena del dominio pensionistico.</w:t>
      </w:r>
    </w:p>
    <w:p w14:paraId="509F73C7" w14:textId="77777777" w:rsidR="007C4598" w:rsidRDefault="007C4598"/>
    <w:p w14:paraId="10298B1D" w14:textId="77777777" w:rsidR="007C4598" w:rsidRDefault="00000000">
      <w:pPr>
        <w:pStyle w:val="Titolo2"/>
        <w:spacing w:before="200" w:after="100"/>
      </w:pPr>
      <w:r>
        <w:rPr>
          <w:sz w:val="22"/>
          <w:szCs w:val="22"/>
        </w:rPr>
        <w:t>9.1.4  La quantificazione del dominio lavorativo</w:t>
      </w:r>
    </w:p>
    <w:p w14:paraId="24CA87A4" w14:textId="77777777" w:rsidR="007C4598" w:rsidRDefault="007C4598"/>
    <w:p w14:paraId="08C26996" w14:textId="77777777" w:rsidR="007C4598" w:rsidRDefault="00000000">
      <w:pPr>
        <w:jc w:val="both"/>
      </w:pPr>
      <w:r>
        <w:t>La quantificazione del dominio lavorativo procede secondo il metodo in cinque passaggi, applicato alle tre forme del carico e con l’adozione dichiarata dell’approccio del capitale umano, appropriato a cogliere il valore sociale complessivo della produttività conservata, con la consapevolezza che il metodo del costo per attrito produrrebbe stime più contenute. La tabella che segue ricostruisce, sui dati pubblici disponibili, le tre forme del carico e i margini su cui il dominio opera.</w:t>
      </w:r>
    </w:p>
    <w:p w14:paraId="25594C27"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4E764496"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DCB3188" w14:textId="77777777" w:rsidR="007C4598" w:rsidRDefault="00000000">
            <w:pPr>
              <w:spacing w:after="40"/>
            </w:pPr>
            <w:r>
              <w:rPr>
                <w:b/>
                <w:bCs/>
                <w:color w:val="FFFFFF"/>
                <w:sz w:val="18"/>
                <w:szCs w:val="18"/>
              </w:rPr>
              <w:t>Forma del carico lavorativo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738258B" w14:textId="77777777" w:rsidR="007C4598" w:rsidRDefault="00000000">
            <w:pPr>
              <w:spacing w:after="40"/>
            </w:pPr>
            <w:r>
              <w:rPr>
                <w:b/>
                <w:bCs/>
                <w:color w:val="FFFFFF"/>
                <w:sz w:val="18"/>
                <w:szCs w:val="18"/>
              </w:rPr>
              <w:t>Grandezza di ancoraggio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00517FE" w14:textId="77777777" w:rsidR="007C4598" w:rsidRDefault="00000000">
            <w:pPr>
              <w:spacing w:after="40"/>
            </w:pPr>
            <w:r>
              <w:rPr>
                <w:b/>
                <w:bCs/>
                <w:color w:val="FFFFFF"/>
                <w:sz w:val="18"/>
                <w:szCs w:val="18"/>
              </w:rPr>
              <w:t>Componente comprimibile dal primo livello psicologico</w:t>
            </w:r>
          </w:p>
        </w:tc>
      </w:tr>
      <w:tr w:rsidR="007C4598" w14:paraId="006B82CB"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A321C1D" w14:textId="77777777" w:rsidR="007C4598" w:rsidRDefault="00000000">
            <w:pPr>
              <w:spacing w:after="40"/>
            </w:pPr>
            <w:r>
              <w:t>Assenteismo per malattia a matrice psichica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F6D5468" w14:textId="77777777" w:rsidR="007C4598" w:rsidRDefault="00000000">
            <w:pPr>
              <w:spacing w:after="40"/>
            </w:pPr>
            <w:r>
              <w:t>giornate di lavoro perdute per disturbi d’ansia, depressivi e da stress</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04C0BC0" w14:textId="77777777" w:rsidR="007C4598" w:rsidRDefault="00000000">
            <w:pPr>
              <w:spacing w:after="40"/>
            </w:pPr>
            <w:r>
              <w:t>la quota riconducibile al disagio comune intercettabile precocemente</w:t>
            </w:r>
          </w:p>
        </w:tc>
      </w:tr>
      <w:tr w:rsidR="007C4598" w14:paraId="1300066F"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7856882" w14:textId="77777777" w:rsidR="007C4598" w:rsidRDefault="00000000">
            <w:pPr>
              <w:spacing w:after="40"/>
            </w:pPr>
            <w:proofErr w:type="spellStart"/>
            <w:r>
              <w:t>Presenteismo</w:t>
            </w:r>
            <w:proofErr w:type="spellEnd"/>
            <w:r>
              <w:t xml:space="preserve"> (presenza in condizioni di ridotta efficienza)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4072560" w14:textId="77777777" w:rsidR="007C4598" w:rsidRDefault="00000000">
            <w:pPr>
              <w:spacing w:after="40"/>
            </w:pPr>
            <w:r>
              <w:t>perdita di produttività diffusa del lavoratore presente ma inefficiente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1317FC8" w14:textId="77777777" w:rsidR="007C4598" w:rsidRDefault="00000000">
            <w:pPr>
              <w:spacing w:after="40"/>
            </w:pPr>
            <w:r>
              <w:t>la quota generata dal disagio non trattato, componente maggiore del dominio</w:t>
            </w:r>
          </w:p>
        </w:tc>
      </w:tr>
      <w:tr w:rsidR="007C4598" w14:paraId="53BC5CFB"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3037DA9" w14:textId="77777777" w:rsidR="007C4598" w:rsidRDefault="00000000">
            <w:pPr>
              <w:spacing w:after="40"/>
            </w:pPr>
            <w:r>
              <w:t>Malattie professionali e disturbi stress-correlati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7F86BC0" w14:textId="77777777" w:rsidR="007C4598" w:rsidRDefault="00000000">
            <w:pPr>
              <w:spacing w:after="40"/>
            </w:pPr>
            <w:r>
              <w:t>patologie favorite o aggravate dallo stress lavoro-correlato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04A76CC" w14:textId="77777777" w:rsidR="007C4598" w:rsidRDefault="00000000">
            <w:pPr>
              <w:spacing w:after="40"/>
            </w:pPr>
            <w:r>
              <w:t>la quota prevenibile dalla presa in carico precoce dello stress</w:t>
            </w:r>
          </w:p>
        </w:tc>
      </w:tr>
    </w:tbl>
    <w:p w14:paraId="7C47E019" w14:textId="77777777" w:rsidR="007C4598" w:rsidRDefault="007C4598"/>
    <w:p w14:paraId="6C6D13E5" w14:textId="77777777" w:rsidR="007C4598" w:rsidRDefault="00000000">
      <w:pPr>
        <w:jc w:val="both"/>
      </w:pPr>
      <w:r>
        <w:rPr>
          <w:i/>
          <w:iCs/>
        </w:rPr>
        <w:t>Tabella 9.1 — Le forme del carico lavorativo del disagio psichico e i margini di compressione. Le grandezze sono ricostruite sulle fonti pubbliche nazionali e internazionali e saranno sostituite dai dati certificati regionali (INPS, INAIL, fonti regionali sul lavoro) non appena acquisiti; le componenti comprimibili riguardano la sola quota a matrice psichica intercettabile dal primo livello.</w:t>
      </w:r>
    </w:p>
    <w:p w14:paraId="2FA118ED" w14:textId="77777777" w:rsidR="007C4598" w:rsidRDefault="007C4598"/>
    <w:p w14:paraId="524602C1" w14:textId="77777777" w:rsidR="007C4598" w:rsidRDefault="00000000">
      <w:pPr>
        <w:jc w:val="both"/>
      </w:pPr>
      <w:r>
        <w:t xml:space="preserve">Sulla base di questo quadro, la stima del beneficio lavorativo è articolata nelle tre componenti corrispondenti alle tre forme del carico, e per ciascuno dei tre scenari di copertura. La componente del </w:t>
      </w:r>
      <w:proofErr w:type="spellStart"/>
      <w:r>
        <w:t>presenteismo</w:t>
      </w:r>
      <w:proofErr w:type="spellEnd"/>
      <w:r>
        <w:t xml:space="preserve"> costituisce, in coerenza con la letteratura, la quota maggiore del beneficio, in ragione della diffusione e della durata della presenza inefficiente. La componente dell’assenteismo costituisce la quota intermedia, più facilmente misurabile ma di entità inferiore al </w:t>
      </w:r>
      <w:proofErr w:type="spellStart"/>
      <w:r>
        <w:t>presenteismo</w:t>
      </w:r>
      <w:proofErr w:type="spellEnd"/>
      <w:r>
        <w:t>. La componente delle malattie professionali e dei disturbi stress-correlati costituisce la quota minore, più contenuta ma di rilievo per il sistema assicurativo e per le imprese. La tabella che segue espone la stima per componente e per scenario.</w:t>
      </w:r>
    </w:p>
    <w:p w14:paraId="62E48AF7"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376E0525"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4B4124C" w14:textId="77777777" w:rsidR="007C4598" w:rsidRDefault="00000000">
            <w:pPr>
              <w:spacing w:after="40"/>
            </w:pPr>
            <w:r>
              <w:rPr>
                <w:b/>
                <w:bCs/>
                <w:color w:val="FFFFFF"/>
                <w:sz w:val="18"/>
                <w:szCs w:val="18"/>
              </w:rPr>
              <w:t>Componente del beneficio lavorativo (mln €/anno)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B2EF561" w14:textId="77777777" w:rsidR="007C4598" w:rsidRDefault="00000000">
            <w:pPr>
              <w:spacing w:after="40"/>
            </w:pPr>
            <w:r>
              <w:rPr>
                <w:b/>
                <w:bCs/>
                <w:color w:val="FFFFFF"/>
                <w:sz w:val="18"/>
                <w:szCs w:val="18"/>
              </w:rPr>
              <w:t>Conservativo (~450)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388692D" w14:textId="77777777" w:rsidR="007C4598" w:rsidRDefault="00000000">
            <w:pPr>
              <w:spacing w:after="40"/>
            </w:pPr>
            <w:r>
              <w:rPr>
                <w:b/>
                <w:bCs/>
                <w:color w:val="FFFFFF"/>
                <w:sz w:val="18"/>
                <w:szCs w:val="18"/>
              </w:rPr>
              <w:t>Intermedio (~700)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3379C24" w14:textId="77777777" w:rsidR="007C4598" w:rsidRDefault="00000000">
            <w:pPr>
              <w:spacing w:after="40"/>
            </w:pPr>
            <w:r>
              <w:rPr>
                <w:b/>
                <w:bCs/>
                <w:color w:val="FFFFFF"/>
                <w:sz w:val="18"/>
                <w:szCs w:val="18"/>
              </w:rPr>
              <w:t>Espansivo (~900)</w:t>
            </w:r>
          </w:p>
        </w:tc>
      </w:tr>
      <w:tr w:rsidR="007C4598" w14:paraId="3FCD5530"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2C81DDB" w14:textId="77777777" w:rsidR="007C4598" w:rsidRDefault="00000000">
            <w:pPr>
              <w:spacing w:after="40"/>
            </w:pPr>
            <w:r>
              <w:t xml:space="preserve">Riduzione del </w:t>
            </w:r>
            <w:proofErr w:type="spellStart"/>
            <w:r>
              <w:t>presenteismo</w:t>
            </w:r>
            <w:proofErr w:type="spellEnd"/>
            <w:r>
              <w:t xml:space="preserve"> (produttività del presente inefficiente)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22E23FE" w14:textId="77777777" w:rsidR="007C4598" w:rsidRDefault="00000000">
            <w:pPr>
              <w:spacing w:after="40"/>
            </w:pPr>
            <w:r>
              <w:t>~12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F277B0C" w14:textId="77777777" w:rsidR="007C4598" w:rsidRDefault="00000000">
            <w:pPr>
              <w:spacing w:after="40"/>
            </w:pPr>
            <w:r>
              <w:t>~20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8A868E9" w14:textId="77777777" w:rsidR="007C4598" w:rsidRDefault="00000000">
            <w:pPr>
              <w:spacing w:after="40"/>
            </w:pPr>
            <w:r>
              <w:t>~27</w:t>
            </w:r>
          </w:p>
        </w:tc>
      </w:tr>
      <w:tr w:rsidR="007C4598" w14:paraId="234D32DA"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349E229" w14:textId="77777777" w:rsidR="007C4598" w:rsidRDefault="00000000">
            <w:pPr>
              <w:spacing w:after="40"/>
            </w:pPr>
            <w:r>
              <w:t>Riduzione dell’assenteismo per malattia a matrice psichica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47622EE" w14:textId="77777777" w:rsidR="007C4598" w:rsidRDefault="00000000">
            <w:pPr>
              <w:spacing w:after="40"/>
            </w:pPr>
            <w:r>
              <w:t>~9</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326A461" w14:textId="77777777" w:rsidR="007C4598" w:rsidRDefault="00000000">
            <w:pPr>
              <w:spacing w:after="40"/>
            </w:pPr>
            <w:r>
              <w:t>~14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C7D059D" w14:textId="77777777" w:rsidR="007C4598" w:rsidRDefault="00000000">
            <w:pPr>
              <w:spacing w:after="40"/>
            </w:pPr>
            <w:r>
              <w:t>~19</w:t>
            </w:r>
          </w:p>
        </w:tc>
      </w:tr>
      <w:tr w:rsidR="007C4598" w14:paraId="2FE5072A"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3A48E5D" w14:textId="77777777" w:rsidR="007C4598" w:rsidRDefault="00000000">
            <w:pPr>
              <w:spacing w:after="40"/>
            </w:pPr>
            <w:r>
              <w:t>Riduzione delle malattie professionali e dei disturbi stress-correlati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AF67654" w14:textId="77777777" w:rsidR="007C4598" w:rsidRDefault="00000000">
            <w:pPr>
              <w:spacing w:after="40"/>
            </w:pPr>
            <w:r>
              <w:t>~3</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C26479D" w14:textId="77777777" w:rsidR="007C4598" w:rsidRDefault="00000000">
            <w:pPr>
              <w:spacing w:after="40"/>
            </w:pPr>
            <w:r>
              <w:t>~4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3961660" w14:textId="77777777" w:rsidR="007C4598" w:rsidRDefault="00000000">
            <w:pPr>
              <w:spacing w:after="40"/>
            </w:pPr>
            <w:r>
              <w:t>~6</w:t>
            </w:r>
          </w:p>
        </w:tc>
      </w:tr>
      <w:tr w:rsidR="007C4598" w14:paraId="5A67CC09"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050A922" w14:textId="77777777" w:rsidR="007C4598" w:rsidRDefault="00000000">
            <w:pPr>
              <w:spacing w:after="40"/>
            </w:pPr>
            <w:r>
              <w:t>Beneficio lavorativo indiretto del dominio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1752CC8" w14:textId="77777777" w:rsidR="007C4598" w:rsidRDefault="00000000">
            <w:pPr>
              <w:spacing w:after="40"/>
            </w:pPr>
            <w:r>
              <w:t>~24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743CDAB" w14:textId="77777777" w:rsidR="007C4598" w:rsidRDefault="00000000">
            <w:pPr>
              <w:spacing w:after="40"/>
            </w:pPr>
            <w:r>
              <w:t>~38</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F361F9D" w14:textId="77777777" w:rsidR="007C4598" w:rsidRDefault="00000000">
            <w:pPr>
              <w:spacing w:after="40"/>
            </w:pPr>
            <w:r>
              <w:t>~52</w:t>
            </w:r>
          </w:p>
        </w:tc>
      </w:tr>
    </w:tbl>
    <w:p w14:paraId="5B0B54CD" w14:textId="77777777" w:rsidR="007C4598" w:rsidRDefault="007C4598"/>
    <w:p w14:paraId="5CC12D03" w14:textId="77777777" w:rsidR="007C4598" w:rsidRDefault="00000000">
      <w:pPr>
        <w:jc w:val="both"/>
      </w:pPr>
      <w:r>
        <w:rPr>
          <w:i/>
          <w:iCs/>
        </w:rPr>
        <w:t>Tabella 9.2 — Stima prudenziale del beneficio del dominio lavorativo per scenario, secondo l’approccio del capitale umano. Le cifre sono bande prudenziali arrotondate; l’ultima riga è la somma delle tre componenti. Il valore è una grandezza sociale indiretta, distinta dai risparmi fiscali diretti della parte ottava e non sommabile con essi; coglie la sola produttività del lavoratore occupato, distinta dall’uscita dal lavoro del dominio pensionistico.</w:t>
      </w:r>
    </w:p>
    <w:p w14:paraId="79E8C58C" w14:textId="77777777" w:rsidR="007C4598" w:rsidRDefault="007C4598"/>
    <w:p w14:paraId="71EF768E" w14:textId="77777777" w:rsidR="007C4598" w:rsidRDefault="00000000">
      <w:pPr>
        <w:jc w:val="both"/>
      </w:pPr>
      <w:r>
        <w:t xml:space="preserve">Il beneficio lavorativo indiretto è dunque stimato in un ordine di grandezza compreso tra circa ventiquattro milioni di euro l’anno nello scenario conservativo e circa cinquantadue milioni nello scenario espansivo, con un valore intermedio dell’ordine di trentotto milioni. È, dei sedici domini, quello di maggiore consistenza, e la ragione risiede nella proporzione, già richiamata, per cui il costo del disagio psichico ricade sul sistema produttivo assai più che sul sistema sanitario: il valore della produttività conservata eccede largamente il risparmio sanitario diretto, perché la produttività è il terreno su cui il disagio psichico incide con maggiore peso. La preminenza della componente del </w:t>
      </w:r>
      <w:proofErr w:type="spellStart"/>
      <w:r>
        <w:t>presenteismo</w:t>
      </w:r>
      <w:proofErr w:type="spellEnd"/>
      <w:r>
        <w:t>, in particolare, riflette un dato consolidato della letteratura, troppo spesso trascurato dalle valutazioni che si limitano all’assenteismo visibile: la perdita maggiore non è quella di chi si assenta, ma quella di chi resta al lavoro in condizioni di ridotta efficienza, e la sua riduzione è il contributo più cospicuo del dominio lavorativo.</w:t>
      </w:r>
    </w:p>
    <w:p w14:paraId="0AA4189B" w14:textId="77777777" w:rsidR="007C4598" w:rsidRDefault="007C4598"/>
    <w:p w14:paraId="54509EE4" w14:textId="77777777" w:rsidR="007C4598" w:rsidRDefault="00000000">
      <w:pPr>
        <w:jc w:val="both"/>
      </w:pPr>
      <w:r>
        <w:t>La stima va letta con due avvertenze che ne delimitano la portata. La prima riguarda l’approccio adottato: il valore qui esposto deriva dall’approccio del capitale umano, e sarebbe sensibilmente inferiore se si adottasse il metodo del costo per attrito, che conta la sola perdita del periodo di sostituzione del lavoratore; la scelta del primo approccio è dichiarata e coerente con l’obiettivo di cogliere il valore sociale complessivo, ma il lettore deve sapere che essa colloca la stima verso l’estremo superiore della forbice metodologica, e che una stima fondata sul costo per attrito sarebbe più contenuta. La seconda riguarda la non duplicazione: il valore qui esposto coglie la sola produttività del lavoratore che resta occupato, e non include in alcun punto il valore dell’uscita permanente dal lavoro, che il dominio pensionistico misurerà; la soglia tra i due domini è netta, e nessun euro è contato in entrambi.</w:t>
      </w:r>
    </w:p>
    <w:p w14:paraId="33EC6D97"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58A300B1"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0350EC1" w14:textId="77777777" w:rsidR="007C4598" w:rsidRDefault="00000000">
            <w:pPr>
              <w:spacing w:after="40"/>
            </w:pPr>
            <w:r>
              <w:rPr>
                <w:b/>
                <w:bCs/>
                <w:color w:val="FFFFFF"/>
                <w:sz w:val="18"/>
                <w:szCs w:val="18"/>
              </w:rPr>
              <w:t>◆ SEGNAPOSTO INFOGRAFICA — FIG. 9.A · DA INSERIRE A POSTERIORI Titolo previsto: Il dominio lavorativo: componenti del beneficio indiretto e scenari — Puglia CODICE CANVA-FRIENDLY (scheda di generazione) Tipo di grafico: diagramma a barre orizzontali raggruppate per i tre scenari di copertura, ciascuna barra scomposta nelle tre componenti del beneficio (</w:t>
            </w:r>
            <w:proofErr w:type="spellStart"/>
            <w:r>
              <w:rPr>
                <w:b/>
                <w:bCs/>
                <w:color w:val="FFFFFF"/>
                <w:sz w:val="18"/>
                <w:szCs w:val="18"/>
              </w:rPr>
              <w:t>presenteismo</w:t>
            </w:r>
            <w:proofErr w:type="spellEnd"/>
            <w:r>
              <w:rPr>
                <w:b/>
                <w:bCs/>
                <w:color w:val="FFFFFF"/>
                <w:sz w:val="18"/>
                <w:szCs w:val="18"/>
              </w:rPr>
              <w:t xml:space="preserve">; assenteismo; malattie professionali e disturbi stress-correlati), con etichetta del totale di dominio. Lettura: tre gruppi di barre (Conservativo, Intermedio, Espansivo) la cui lunghezza complessiva corrisponde al beneficio totale del dominio (24, 38 e 52 milioni); la scomposizione cromatica interna rende immediatamente evidente il peso prevalente della componente del </w:t>
            </w:r>
            <w:proofErr w:type="spellStart"/>
            <w:r>
              <w:rPr>
                <w:b/>
                <w:bCs/>
                <w:color w:val="FFFFFF"/>
                <w:sz w:val="18"/>
                <w:szCs w:val="18"/>
              </w:rPr>
              <w:t>presenteismo</w:t>
            </w:r>
            <w:proofErr w:type="spellEnd"/>
            <w:r>
              <w:rPr>
                <w:b/>
                <w:bCs/>
                <w:color w:val="FFFFFF"/>
                <w:sz w:val="18"/>
                <w:szCs w:val="18"/>
              </w:rPr>
              <w:t xml:space="preserve">, di norma trascurata dalle valutazioni limitate all’assenteismo. Palette: componente </w:t>
            </w:r>
            <w:proofErr w:type="spellStart"/>
            <w:r>
              <w:rPr>
                <w:b/>
                <w:bCs/>
                <w:color w:val="FFFFFF"/>
                <w:sz w:val="18"/>
                <w:szCs w:val="18"/>
              </w:rPr>
              <w:t>presenteismo</w:t>
            </w:r>
            <w:proofErr w:type="spellEnd"/>
            <w:r>
              <w:rPr>
                <w:b/>
                <w:bCs/>
                <w:color w:val="FFFFFF"/>
                <w:sz w:val="18"/>
                <w:szCs w:val="18"/>
              </w:rPr>
              <w:t xml:space="preserve"> in blu </w:t>
            </w:r>
            <w:proofErr w:type="spellStart"/>
            <w:r>
              <w:rPr>
                <w:b/>
                <w:bCs/>
                <w:color w:val="FFFFFF"/>
                <w:sz w:val="18"/>
                <w:szCs w:val="18"/>
              </w:rPr>
              <w:t>navy</w:t>
            </w:r>
            <w:proofErr w:type="spellEnd"/>
            <w:r>
              <w:rPr>
                <w:b/>
                <w:bCs/>
                <w:color w:val="FFFFFF"/>
                <w:sz w:val="18"/>
                <w:szCs w:val="18"/>
              </w:rPr>
              <w:t xml:space="preserve"> #16264B; componente assenteismo in blu medio #244272; componente malattie professionali in blu #2E5AA0; etichetta del totale di dominio in oro #C49A48; griglia in grigio #D8D8D8.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etichette degli scenari </w:t>
            </w:r>
            <w:proofErr w:type="spellStart"/>
            <w:r>
              <w:rPr>
                <w:b/>
                <w:bCs/>
                <w:color w:val="FFFFFF"/>
                <w:sz w:val="18"/>
                <w:szCs w:val="18"/>
              </w:rPr>
              <w:t>Bold</w:t>
            </w:r>
            <w:proofErr w:type="spellEnd"/>
            <w:r>
              <w:rPr>
                <w:b/>
                <w:bCs/>
                <w:color w:val="FFFFFF"/>
                <w:sz w:val="18"/>
                <w:szCs w:val="18"/>
              </w:rPr>
              <w:t xml:space="preserve">, valori Medium, note Regular.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xml:space="preserve">. Valori da rappresentare: Conservativo — </w:t>
            </w:r>
            <w:proofErr w:type="spellStart"/>
            <w:r>
              <w:rPr>
                <w:b/>
                <w:bCs/>
                <w:color w:val="FFFFFF"/>
                <w:sz w:val="18"/>
                <w:szCs w:val="18"/>
              </w:rPr>
              <w:t>presenteismo</w:t>
            </w:r>
            <w:proofErr w:type="spellEnd"/>
            <w:r>
              <w:rPr>
                <w:b/>
                <w:bCs/>
                <w:color w:val="FFFFFF"/>
                <w:sz w:val="18"/>
                <w:szCs w:val="18"/>
              </w:rPr>
              <w:t xml:space="preserve"> ~12; assenteismo ~9; malattie professionali ~3; totale ~24. Intermedio — ~20; ~14; ~4; totale ~38. Espansivo — ~27; ~19; ~6; totale ~52. Variante 3D (consigliata): barre a rilievo isometrico con le tre componenti impilate in profondità; il blocco del </w:t>
            </w:r>
            <w:proofErr w:type="spellStart"/>
            <w:r>
              <w:rPr>
                <w:b/>
                <w:bCs/>
                <w:color w:val="FFFFFF"/>
                <w:sz w:val="18"/>
                <w:szCs w:val="18"/>
              </w:rPr>
              <w:t>presenteismo</w:t>
            </w:r>
            <w:proofErr w:type="spellEnd"/>
            <w:r>
              <w:rPr>
                <w:b/>
                <w:bCs/>
                <w:color w:val="FFFFFF"/>
                <w:sz w:val="18"/>
                <w:szCs w:val="18"/>
              </w:rPr>
              <w:t xml:space="preserve">, prevalente, posto alla base di ciascun gruppo. Fonte (piè di figura): Elaborazione dello studio secondo l’approccio del capitale umano; fonti internazionali e nazionali su assenteismo, </w:t>
            </w:r>
            <w:proofErr w:type="spellStart"/>
            <w:r>
              <w:rPr>
                <w:b/>
                <w:bCs/>
                <w:color w:val="FFFFFF"/>
                <w:sz w:val="18"/>
                <w:szCs w:val="18"/>
              </w:rPr>
              <w:t>presenteismo</w:t>
            </w:r>
            <w:proofErr w:type="spellEnd"/>
            <w:r>
              <w:rPr>
                <w:b/>
                <w:bCs/>
                <w:color w:val="FFFFFF"/>
                <w:sz w:val="18"/>
                <w:szCs w:val="18"/>
              </w:rPr>
              <w:t xml:space="preserve"> e stress lavoro-correlato; graduazione GRADE dell’evidenza. La figura deve rendere evidente che la componente prevalente del beneficio lavorativo è la riduzione del </w:t>
            </w:r>
            <w:proofErr w:type="spellStart"/>
            <w:r>
              <w:rPr>
                <w:b/>
                <w:bCs/>
                <w:color w:val="FFFFFF"/>
                <w:sz w:val="18"/>
                <w:szCs w:val="18"/>
              </w:rPr>
              <w:t>presenteismo</w:t>
            </w:r>
            <w:proofErr w:type="spellEnd"/>
            <w:r>
              <w:rPr>
                <w:b/>
                <w:bCs/>
                <w:color w:val="FFFFFF"/>
                <w:sz w:val="18"/>
                <w:szCs w:val="18"/>
              </w:rPr>
              <w:t>, e che il dominio lavorativo è il più cospicuo del perimetro integrale, in coerenza con il peso del disagio psichico sul sistema produttivo.</w:t>
            </w:r>
          </w:p>
          <w:p w14:paraId="5E83ADDF" w14:textId="77777777" w:rsidR="007C4598" w:rsidRDefault="00000000">
            <w:pPr>
              <w:spacing w:before="120" w:after="60"/>
              <w:jc w:val="center"/>
            </w:pPr>
            <w:r>
              <w:rPr>
                <w:noProof/>
              </w:rPr>
              <w:drawing>
                <wp:inline distT="0" distB="0" distL="0" distR="0" wp14:anchorId="4D414952" wp14:editId="5CA6A388">
                  <wp:extent cx="8229600" cy="4629150"/>
                  <wp:effectExtent l="0" t="0" r="0" b="0"/>
                  <wp:docPr id="140" name="Infografica40" descr="Il dominio lavorativo: benefici indiretti e scen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nfografica40"/>
                          <pic:cNvPicPr>
                            <a:picLocks noChangeAspect="1" noChangeArrowheads="1"/>
                          </pic:cNvPicPr>
                        </pic:nvPicPr>
                        <pic:blipFill>
                          <a:blip r:embed="rId69">
                            <a:extLst>
                              <a:ext uri="{96DAC541-7B7A-43D3-8B79-37D633B846F1}">
                                <asvg:svgBlip xmlns:asvg="http://schemas.microsoft.com/office/drawing/2016/SVG/main" r:embed="rId70"/>
                              </a:ext>
                            </a:extLst>
                          </a:blip>
                          <a:stretch>
                            <a:fillRect/>
                          </a:stretch>
                        </pic:blipFill>
                        <pic:spPr bwMode="auto">
                          <a:xfrm>
                            <a:off x="0" y="0"/>
                            <a:ext cx="8229600" cy="4629150"/>
                          </a:xfrm>
                          <a:prstGeom prst="rect">
                            <a:avLst/>
                          </a:prstGeom>
                          <a:noFill/>
                          <a:ln>
                            <a:noFill/>
                          </a:ln>
                        </pic:spPr>
                      </pic:pic>
                    </a:graphicData>
                  </a:graphic>
                </wp:inline>
              </w:drawing>
            </w:r>
          </w:p>
          <w:p w14:paraId="7CB220D8" w14:textId="77777777" w:rsidR="007C4598" w:rsidRDefault="00000000">
            <w:pPr>
              <w:spacing w:before="40" w:after="200"/>
              <w:jc w:val="center"/>
            </w:pPr>
            <w:r>
              <w:rPr>
                <w:i/>
                <w:color w:val="2E5A8F"/>
                <w:sz w:val="16"/>
                <w:szCs w:val="16"/>
              </w:rPr>
              <w:t>Fig. 9.A — Il dominio lavorativo: benefici indiretti e scenari. Elaborazione dello studio · Luigi De Michele · Giugno 2026.</w:t>
            </w:r>
          </w:p>
        </w:tc>
      </w:tr>
    </w:tbl>
    <w:p w14:paraId="005E7AAB" w14:textId="77777777" w:rsidR="007C4598" w:rsidRDefault="007C4598"/>
    <w:p w14:paraId="4394A8F8" w14:textId="77777777" w:rsidR="007C4598" w:rsidRDefault="00000000">
      <w:pPr>
        <w:pStyle w:val="Titolo2"/>
        <w:spacing w:before="200" w:after="100"/>
      </w:pPr>
      <w:r>
        <w:rPr>
          <w:sz w:val="22"/>
          <w:szCs w:val="22"/>
        </w:rPr>
        <w:t>9.1.5  La graduazione, i confini e la non duplicazione del dominio lavorativo</w:t>
      </w:r>
    </w:p>
    <w:p w14:paraId="39230A70" w14:textId="77777777" w:rsidR="007C4598" w:rsidRDefault="007C4598"/>
    <w:p w14:paraId="10543279" w14:textId="77777777" w:rsidR="007C4598" w:rsidRDefault="00000000">
      <w:pPr>
        <w:jc w:val="both"/>
      </w:pPr>
      <w:r>
        <w:t xml:space="preserve">La solidità della stima del dominio lavorativo va dichiarata con la consueta franchezza. L’anello clinico della catena è sostenuto da evidenza di qualità da moderata ad alta; l’anello funzionale-lavorativo, da evidenza coerente ma di qualità da moderata a bassa, in ragione della mediazione esercitata dalla natura del lavoro e dell’organizzazione; l’anello economico è, oltre che soggetto al </w:t>
      </w:r>
      <w:proofErr w:type="spellStart"/>
      <w:r>
        <w:t>caveat</w:t>
      </w:r>
      <w:proofErr w:type="spellEnd"/>
      <w:r>
        <w:t xml:space="preserve"> sulla traduzione del miglioramento in valore, dipendente dall’approccio metodologico adottato. La graduazione complessiva del dominio è intermedia, e si traduce in bande prudenziali la cui ampiezza riflette la duplice incertezza, sulla traduzione clinico-funzionale e sull’approccio metodologico.</w:t>
      </w:r>
      <w:r>
        <w:rPr>
          <w:color w:val="555555"/>
          <w:sz w:val="16"/>
          <w:szCs w:val="16"/>
          <w:vertAlign w:val="superscript"/>
        </w:rPr>
        <w:t>[8]</w:t>
      </w:r>
      <w:r>
        <w:t xml:space="preserve"> Per questa ragione il valore del dominio, pur essendo il più cospicuo, è anche tra quelli la cui banda è più ampia, e la sua stima centrale va letta come il punto mediano di un intervallo esteso, non come una cifra puntuale.</w:t>
      </w:r>
    </w:p>
    <w:p w14:paraId="0920FFE3" w14:textId="77777777" w:rsidR="007C4598" w:rsidRDefault="007C4598"/>
    <w:p w14:paraId="52055638" w14:textId="77777777" w:rsidR="007C4598" w:rsidRDefault="00000000">
      <w:pPr>
        <w:jc w:val="both"/>
      </w:pPr>
      <w:r>
        <w:t>Da questa graduazione discendono i confini della stima e le sue regole di non duplicazione, che nel dominio lavorativo sono particolarmente rilevanti. In primo luogo, il beneficio lavorativo è una grandezza sociale indiretta, che si distribuisce sulle imprese e sulla collettività, e non è in alcun punto sommato ai risparmi fiscali diretti della parte ottava, che cadono sul bilancio sanitario regionale: il medesimo miglioramento clinico genera, distintamente, un risparmio sanitario e un recupero di produttività, e le due grandezze non sono mai sommate. In secondo luogo, il beneficio lavorativo coglie la sola produttività del lavoratore che resta occupato, e si arresta alla soglia dell’uscita permanente dal lavoro: il valore dell’uscita evitata — la pensione di invalidità non erogata, il pensionamento anticipato non avvenuto — è interamente attribuito al dominio pensionistico, e non figura in alcun punto nel dominio lavorativo, per evitare il doppio conteggio tra produttività conservata e uscita evitata. In terzo luogo, il valore qui esposto deriva dall’approccio del capitale umano, dichiarato e non combinato con il metodo del costo per attrito, di modo che la non sommabilità dei due approcci sia preservata.</w:t>
      </w:r>
    </w:p>
    <w:p w14:paraId="31C9895F" w14:textId="77777777" w:rsidR="007C4598" w:rsidRDefault="007C4598"/>
    <w:p w14:paraId="1BA7D1FD" w14:textId="77777777" w:rsidR="007C4598" w:rsidRDefault="00000000">
      <w:pPr>
        <w:jc w:val="both"/>
      </w:pPr>
      <w:r>
        <w:t xml:space="preserve">La verifica documentale del dominio lavorativo segue un’agenda precisa. Essa richiede l’acquisizione dei dati regionali sull’assenteismo per malattia a matrice psichica, disaggregati per causa e per durata, indispensabili per misurare la componente comprimibile dell’assenteismo; dei dati e degli strumenti di rilevazione del </w:t>
      </w:r>
      <w:proofErr w:type="spellStart"/>
      <w:r>
        <w:t>presenteismo</w:t>
      </w:r>
      <w:proofErr w:type="spellEnd"/>
      <w:r>
        <w:t>, più difficili da ottenere perché non registrati dai sistemi amministrativi e desumibili solo da indagini dedicate, ma fondamentali data la preminenza di questa componente; e dei dati su scala regionale relativi alle malattie professionali e ai disturbi stress-correlati, desumibili dalle fonti assicurative. L’acquisizione di questi dati, prevista nella fase di consolidamento, consentirà di restringere l’ampia banda del beneficio lavorativo e di scegliere consapevolmente, sui dati regionali, tra l’approccio del capitale umano e quello del costo per attrito. Stabilito l’ordine di grandezza del dominio più cospicuo, la rinegoziazione può ora muovere verso il dominio a esso più strettamente connesso e da esso rigorosamente distinto, il dominio pensionistico.</w:t>
      </w:r>
    </w:p>
    <w:p w14:paraId="102F8D89" w14:textId="77777777" w:rsidR="007C4598" w:rsidRDefault="007C4598"/>
    <w:p w14:paraId="0B558435" w14:textId="77777777" w:rsidR="007C4598" w:rsidRDefault="00000000">
      <w:pPr>
        <w:pStyle w:val="Titolo1"/>
        <w:pageBreakBefore/>
      </w:pPr>
      <w:r>
        <w:rPr>
          <w:sz w:val="22"/>
          <w:szCs w:val="22"/>
        </w:rPr>
        <w:t>9.2  Il dominio pensionistico</w:t>
      </w:r>
    </w:p>
    <w:p w14:paraId="6ABDAB03" w14:textId="77777777" w:rsidR="007C4598" w:rsidRDefault="007C4598"/>
    <w:p w14:paraId="0956700E" w14:textId="77777777" w:rsidR="007C4598" w:rsidRDefault="00000000">
      <w:pPr>
        <w:jc w:val="both"/>
      </w:pPr>
      <w:r>
        <w:rPr>
          <w:i/>
          <w:iCs/>
        </w:rPr>
        <w:t xml:space="preserve">Il secondo dominio del perimetro integrale è il pensionistico, strettamente connesso al lavorativo e da esso rigorosamente distinto. Mentre il dominio lavorativo misura la produttività conservata di chi resta occupato, il dominio pensionistico misura il valore dell’uscita permanente dal lavoro evitata o ritardata: le pensioni di inabilità e gli assegni di invalidità per cause psichiche non erogati o procrastinati, le prestazioni di invalidità civile per disturbi psichici contenute, il pensionamento anticipato per ragioni di salute mentale evitato. Il dominio coglie, in altri termini, ciò che il disagio psichico sottrae permanentemente alla forza lavoro, e che l’intercettazione precoce consente di trattenere; e lo coglie distintamente dalla perdita di produttività di breve periodo, che il dominio lavorativo ha già misurato, per non duplicare il valore. La voce ricostruisce il contesto dell’uscita dal lavoro per cause psichiche, ne isola i meccanismi, ne traccia la catena causale, ne stima il beneficio per scenario e ne dichiara la graduazione, i confini e la non sovrapposizione con i domini lavorativo e </w:t>
      </w:r>
      <w:proofErr w:type="spellStart"/>
      <w:r>
        <w:rPr>
          <w:i/>
          <w:iCs/>
        </w:rPr>
        <w:t>welfaristico</w:t>
      </w:r>
      <w:proofErr w:type="spellEnd"/>
      <w:r>
        <w:rPr>
          <w:i/>
          <w:iCs/>
        </w:rPr>
        <w:t>.</w:t>
      </w:r>
    </w:p>
    <w:p w14:paraId="54157405" w14:textId="77777777" w:rsidR="007C4598" w:rsidRDefault="007C4598"/>
    <w:p w14:paraId="5610C0BA" w14:textId="77777777" w:rsidR="007C4598" w:rsidRDefault="00000000">
      <w:pPr>
        <w:pStyle w:val="Titolo2"/>
        <w:spacing w:before="200" w:after="100"/>
      </w:pPr>
      <w:r>
        <w:rPr>
          <w:sz w:val="22"/>
          <w:szCs w:val="22"/>
        </w:rPr>
        <w:t>9.2.1  Il contesto: l’uscita dal lavoro per cause psichiche</w:t>
      </w:r>
    </w:p>
    <w:p w14:paraId="5BBE8266" w14:textId="77777777" w:rsidR="007C4598" w:rsidRDefault="007C4598"/>
    <w:p w14:paraId="369D734C" w14:textId="77777777" w:rsidR="007C4598" w:rsidRDefault="00000000">
      <w:pPr>
        <w:jc w:val="both"/>
      </w:pPr>
      <w:r>
        <w:t>I disturbi mentali costituiscono, nelle economie avanzate, una delle prime cause di uscita anticipata e permanente dal mercato del lavoro, e la loro incidenza tra le cause di erogazione delle prestazioni di invalidità e di inabilità è elevata e in crescita, secondo quanto documentano le analisi comparate delle organizzazioni internazionali sui sistemi di sicurezza sociale.</w:t>
      </w:r>
      <w:r>
        <w:rPr>
          <w:color w:val="555555"/>
          <w:sz w:val="16"/>
          <w:szCs w:val="16"/>
          <w:vertAlign w:val="superscript"/>
        </w:rPr>
        <w:t>[9]</w:t>
      </w:r>
      <w:r>
        <w:t xml:space="preserve"> L’uscita dal lavoro per cause psichiche presenta, rispetto ad altre cause, due caratteristiche che ne accrescono il peso economico: essa colpisce spesso lavoratori in età ancora produttiva, sottraendo alla forza lavoro anni di attività che altre cause, prevalenti in età più avanzata, non sottraggono; e tende a divenire permanente in assenza di un intervento precoce, perché il disturbo non trattato si cronicizza e compromette stabilmente la capacità lavorativa. La Puglia, segnata da un disagio comune diffuso e da una intercettazione carente, presenta un’incidenza significativa dell’uscita dal lavoro per cause psichiche, che la riforma può contenere nella sua componente prevenibile.</w:t>
      </w:r>
    </w:p>
    <w:p w14:paraId="515D0832" w14:textId="77777777" w:rsidR="007C4598" w:rsidRDefault="007C4598"/>
    <w:p w14:paraId="79103AFB" w14:textId="77777777" w:rsidR="007C4598" w:rsidRDefault="00000000">
      <w:pPr>
        <w:jc w:val="both"/>
      </w:pPr>
      <w:r>
        <w:t>L’uscita dal lavoro per cause psichiche si manifesta in tre forme principali, che corrispondono ai tre istituti attraverso cui essa si realizza. La prima è l’erogazione delle prestazioni previdenziali di inabilità e di invalidità — la pensione di inabilità e l’assegno ordinario di invalidità — per disturbi psichici che hanno compromesso la capacità lavorativa; è la forma di maggiore peso economico, per l’entità e la durata delle prestazioni. La seconda è l’erogazione delle prestazioni di invalidità civile per disturbi psichici, che riguarda anche soggetti non assicurati o con storia contributiva ridotta; è la forma di peso intermedio. La terza è il pensionamento anticipato per ragioni di salute mentale, ossia l’uscita dal lavoro prima dell’età ordinaria favorita dalla compromissione psichica; è la forma di peso minore ma di rilievo, perché sottrae anni di attività di lavoratori prossimi ma non giunti all’età della pensione. È la somma di queste tre forme che costituisce la grandezza di ancoraggio del dominio pensionistico.</w:t>
      </w:r>
      <w:r>
        <w:rPr>
          <w:color w:val="555555"/>
          <w:sz w:val="16"/>
          <w:szCs w:val="16"/>
          <w:vertAlign w:val="superscript"/>
        </w:rPr>
        <w:t>[10]</w:t>
      </w:r>
    </w:p>
    <w:p w14:paraId="7EB3A0B2" w14:textId="77777777" w:rsidR="007C4598" w:rsidRDefault="007C4598"/>
    <w:p w14:paraId="4C28D40F" w14:textId="77777777" w:rsidR="007C4598" w:rsidRDefault="00000000">
      <w:pPr>
        <w:jc w:val="both"/>
      </w:pPr>
      <w:r>
        <w:t>La connessione tra questa uscita e il primo livello psicologico opera attraverso la prevenzione della cronicizzazione che la rende permanente. Il disturbo comune intercettato e trattato precocemente ha minore probabilità di evolvere verso la compromissione stabile della capacità lavorativa che conduce all’invalidità e all’inabilità; il disturbo non intercettato, viceversa, segue una traiettoria di cronicizzazione che culmina nell’uscita dal lavoro. Lo Psicologo di Base, intercettando il disagio nelle cure primarie e prevenendone la cronicizzazione, agisce a monte dell’uscita dal lavoro, e il valore che ne deriva — l’uscita evitata o ritardata, con il mantenimento del lavoratore nella forza lavoro — è il beneficio che il dominio pensionistico misura. Tale beneficio si distribuisce sull’istituto previdenziale nazionale, che eroga minori prestazioni, sulla collettività, che conserva la contribuzione e la produzione del lavoratore mantenuto al lavoro, e sul lavoratore stesso, che conserva il reddito e la dignità del lavoro.</w:t>
      </w:r>
    </w:p>
    <w:p w14:paraId="555C25FB" w14:textId="77777777" w:rsidR="007C4598" w:rsidRDefault="007C4598"/>
    <w:p w14:paraId="4B29E28D" w14:textId="77777777" w:rsidR="007C4598" w:rsidRDefault="00000000">
      <w:pPr>
        <w:pStyle w:val="Titolo2"/>
        <w:spacing w:before="200" w:after="100"/>
      </w:pPr>
      <w:r>
        <w:rPr>
          <w:sz w:val="22"/>
          <w:szCs w:val="22"/>
        </w:rPr>
        <w:t>9.2.2  I meccanismi: inabilità, invalidità, pensionamento anticipato</w:t>
      </w:r>
    </w:p>
    <w:p w14:paraId="20E5294B" w14:textId="77777777" w:rsidR="007C4598" w:rsidRDefault="007C4598"/>
    <w:p w14:paraId="126DF592" w14:textId="77777777" w:rsidR="007C4598" w:rsidRDefault="00000000">
      <w:pPr>
        <w:jc w:val="both"/>
      </w:pPr>
      <w:r>
        <w:t>Il dominio pensionistico opera attraverso tre meccanismi, corrispondenti alle tre forme dell’uscita e accomunati dalla prevenzione della cronicizzazione che rende permanente l’uscita dal lavoro. Il primo meccanismo è la prevenzione e il ritardo dell’erogazione delle prestazioni previdenziali di inabilità e invalidità. L’intercettazione precoce, prevenendo la compromissione stabile della capacità lavorativa, riduce il numero dei lavoratori che accedono alla pensione di inabilità e all’assegno di invalidità per cause psichiche, e ritarda l’accesso di coloro per i quali esso non è del tutto evitabile; il valore che ne deriva è duplice, comprendendo le minori prestazioni erogate e la contribuzione e produzione conservate del lavoratore mantenuto al lavoro.</w:t>
      </w:r>
    </w:p>
    <w:p w14:paraId="1F7294EB" w14:textId="77777777" w:rsidR="007C4598" w:rsidRDefault="007C4598"/>
    <w:p w14:paraId="09C7BBAA" w14:textId="77777777" w:rsidR="007C4598" w:rsidRDefault="00000000">
      <w:pPr>
        <w:jc w:val="both"/>
      </w:pPr>
      <w:r>
        <w:t xml:space="preserve">Il secondo meccanismo è la riduzione delle prestazioni di invalidità civile per disturbi psichici, attraverso la prevenzione della compromissione che ne fonda il riconoscimento; esso opera anche sui soggetti con storia contributiva ridotta, e il valore che ne deriva è quello delle minori prestazioni assistenziali erogate. Il terzo meccanismo è la riduzione del pensionamento anticipato per ragioni di salute mentale, attraverso il mantenimento della capacità lavorativa che consente al lavoratore di proseguire l’attività fino all’età ordinaria; il valore che ne deriva è quello degli anni di attività conservati. I tre meccanismi convergono verso il medesimo esito — l’uscita permanente dal lavoro evitata o ritardata — e ne colgono componenti distinte, sommabili tra loro ma non con la produttività di breve periodo del dominio lavorativo né con le prestazioni assistenziali non previdenziali del dominio </w:t>
      </w:r>
      <w:proofErr w:type="spellStart"/>
      <w:r>
        <w:t>welfaristico</w:t>
      </w:r>
      <w:proofErr w:type="spellEnd"/>
      <w:r>
        <w:t>.</w:t>
      </w:r>
    </w:p>
    <w:p w14:paraId="4E771663" w14:textId="77777777" w:rsidR="007C4598" w:rsidRDefault="007C4598"/>
    <w:p w14:paraId="49A2C58E" w14:textId="77777777" w:rsidR="007C4598" w:rsidRDefault="00000000">
      <w:pPr>
        <w:pStyle w:val="Titolo2"/>
        <w:spacing w:before="200" w:after="100"/>
      </w:pPr>
      <w:r>
        <w:rPr>
          <w:sz w:val="22"/>
          <w:szCs w:val="22"/>
        </w:rPr>
        <w:t>9.2.3  La catena causale del beneficio pensionistico</w:t>
      </w:r>
    </w:p>
    <w:p w14:paraId="0481C084" w14:textId="77777777" w:rsidR="007C4598" w:rsidRDefault="007C4598"/>
    <w:p w14:paraId="00C338F6" w14:textId="77777777" w:rsidR="007C4598" w:rsidRDefault="00000000">
      <w:pPr>
        <w:jc w:val="both"/>
      </w:pPr>
      <w:r>
        <w:t>La formazione del beneficio pensionistico segue una catena causale a più anelli, con la regola consueta. Il primo anello è clinico-preventivo: l’intercettazione e il trattamento precoce del disturbo comune prevengono la cronicizzazione e la compromissione stabile della capacità lavorativa. Questo anello è sostenuto da evidenza di qualità da moderata ad alta per l’efficacia clinica, ma da evidenza di qualità più variabile per la specifica capacità dell’intervento precoce di prevenire l’esito invalidante, che dipende dalla gravità del disturbo e dalla tempestività dell’intervento. Il secondo anello è funzionale-previdenziale: la prevenzione della compromissione si traduce in minore accesso alle prestazioni di inabilità, invalidità e pensionamento anticipato. Questo anello è sostenuto da evidenza coerente ma di qualità da moderata a bassa, perché la traduzione del miglioramento clinico in mantenimento al lavoro dipende da fattori previdenziali, occupazionali e individuali che la mediano.</w:t>
      </w:r>
    </w:p>
    <w:p w14:paraId="5C6CE0E6" w14:textId="77777777" w:rsidR="007C4598" w:rsidRDefault="007C4598"/>
    <w:p w14:paraId="57FCC5D9" w14:textId="77777777" w:rsidR="007C4598" w:rsidRDefault="00000000">
      <w:pPr>
        <w:jc w:val="both"/>
      </w:pPr>
      <w:r>
        <w:t xml:space="preserve">Il terzo anello è economico: il minore accesso alle prestazioni e il mantenimento al lavoro si traducono in valore economico per l’istituto previdenziale, per la collettività e per il lavoratore. Questo anello presenta una specificità: il valore comprende sia una componente di minore spesa — le prestazioni non erogate — sia una componente di produzione e contribuzione conservate, e la sua quantificazione richiede di sommare le due componenti senza duplicarle e senza sovrapporle alla produttività di breve periodo del dominio lavorativo. La graduazione complessiva del beneficio pensionistico è quella del suo anello funzionale-previdenziale, da intermedia a bassa, in ragione della maggiore lunghezza e incertezza della catena che conduce dalla prevenzione clinica all’esito invalidante evitato; e si traduce in bande prudenziali ampie. La catena è governata fin dall’origine dalla regola di non duplicazione: essa coglie la sola uscita permanente evitata, distinta dalla produttività di breve periodo del dominio lavorativo, e le sole prestazioni previdenziali, distinte da quelle assistenziali non previdenziali del dominio </w:t>
      </w:r>
      <w:proofErr w:type="spellStart"/>
      <w:r>
        <w:t>welfaristico</w:t>
      </w:r>
      <w:proofErr w:type="spellEnd"/>
      <w:r>
        <w:t>.</w:t>
      </w:r>
    </w:p>
    <w:p w14:paraId="173F0986" w14:textId="77777777" w:rsidR="007C4598" w:rsidRDefault="007C4598"/>
    <w:p w14:paraId="685D1E89" w14:textId="77777777" w:rsidR="007C4598" w:rsidRDefault="00000000">
      <w:pPr>
        <w:pStyle w:val="Titolo2"/>
        <w:spacing w:before="200" w:after="100"/>
      </w:pPr>
      <w:r>
        <w:rPr>
          <w:sz w:val="22"/>
          <w:szCs w:val="22"/>
        </w:rPr>
        <w:t>9.2.4  La quantificazione del dominio pensionistico</w:t>
      </w:r>
    </w:p>
    <w:p w14:paraId="57696B33" w14:textId="77777777" w:rsidR="007C4598" w:rsidRDefault="007C4598"/>
    <w:p w14:paraId="02425FEB" w14:textId="77777777" w:rsidR="007C4598" w:rsidRDefault="00000000">
      <w:pPr>
        <w:jc w:val="both"/>
      </w:pPr>
      <w:r>
        <w:t>La quantificazione del dominio pensionistico procede secondo il metodo in cinque passaggi, applicato alle tre forme dell’uscita dal lavoro. La tabella che segue ricostruisce, sui dati pubblici disponibili, le tre forme e i margini su cui il dominio opera.</w:t>
      </w:r>
    </w:p>
    <w:p w14:paraId="47666C6C"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61474C47"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F5A51F7" w14:textId="77777777" w:rsidR="007C4598" w:rsidRDefault="00000000">
            <w:pPr>
              <w:spacing w:after="40"/>
            </w:pPr>
            <w:r>
              <w:rPr>
                <w:b/>
                <w:bCs/>
                <w:color w:val="FFFFFF"/>
                <w:sz w:val="18"/>
                <w:szCs w:val="18"/>
              </w:rPr>
              <w:t>Forma dell’uscita dal lavoro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7073C56" w14:textId="77777777" w:rsidR="007C4598" w:rsidRDefault="00000000">
            <w:pPr>
              <w:spacing w:after="40"/>
            </w:pPr>
            <w:r>
              <w:rPr>
                <w:b/>
                <w:bCs/>
                <w:color w:val="FFFFFF"/>
                <w:sz w:val="18"/>
                <w:szCs w:val="18"/>
              </w:rPr>
              <w:t>Grandezza di ancoraggio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BA26D49" w14:textId="77777777" w:rsidR="007C4598" w:rsidRDefault="00000000">
            <w:pPr>
              <w:spacing w:after="40"/>
            </w:pPr>
            <w:r>
              <w:rPr>
                <w:b/>
                <w:bCs/>
                <w:color w:val="FFFFFF"/>
                <w:sz w:val="18"/>
                <w:szCs w:val="18"/>
              </w:rPr>
              <w:t>Componente prevenibile dal primo livello psicologico</w:t>
            </w:r>
          </w:p>
        </w:tc>
      </w:tr>
      <w:tr w:rsidR="007C4598" w14:paraId="04935329"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74639EE" w14:textId="77777777" w:rsidR="007C4598" w:rsidRDefault="00000000">
            <w:pPr>
              <w:spacing w:after="40"/>
            </w:pPr>
            <w:r>
              <w:t>Pensioni di inabilità e assegni di invalidità per cause psichiche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C2915C9" w14:textId="77777777" w:rsidR="007C4598" w:rsidRDefault="00000000">
            <w:pPr>
              <w:spacing w:after="40"/>
            </w:pPr>
            <w:r>
              <w:t>prestazioni previdenziali erogate per compromissione psichica della capacità lavorativa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F358DF2" w14:textId="77777777" w:rsidR="007C4598" w:rsidRDefault="00000000">
            <w:pPr>
              <w:spacing w:after="40"/>
            </w:pPr>
            <w:r>
              <w:t>la quota prevenibile o ritardabile dall’intercettazione precoce</w:t>
            </w:r>
          </w:p>
        </w:tc>
      </w:tr>
      <w:tr w:rsidR="007C4598" w14:paraId="36FD678E"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2EA01FF" w14:textId="77777777" w:rsidR="007C4598" w:rsidRDefault="00000000">
            <w:pPr>
              <w:spacing w:after="40"/>
            </w:pPr>
            <w:r>
              <w:t>Prestazioni di invalidità civile per disturbi psichici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65B4CA9" w14:textId="77777777" w:rsidR="007C4598" w:rsidRDefault="00000000">
            <w:pPr>
              <w:spacing w:after="40"/>
            </w:pPr>
            <w:r>
              <w:t>prestazioni assistenziali per invalidità psichica riconosciuta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798ABA2" w14:textId="77777777" w:rsidR="007C4598" w:rsidRDefault="00000000">
            <w:pPr>
              <w:spacing w:after="40"/>
            </w:pPr>
            <w:r>
              <w:t>la quota prevenibile dalla prevenzione della compromissione</w:t>
            </w:r>
          </w:p>
        </w:tc>
      </w:tr>
      <w:tr w:rsidR="007C4598" w14:paraId="19E165B6"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27A763F" w14:textId="77777777" w:rsidR="007C4598" w:rsidRDefault="00000000">
            <w:pPr>
              <w:spacing w:after="40"/>
            </w:pPr>
            <w:r>
              <w:t>Pensionamento anticipato per ragioni di salute mentale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F17298D" w14:textId="77777777" w:rsidR="007C4598" w:rsidRDefault="00000000">
            <w:pPr>
              <w:spacing w:after="40"/>
            </w:pPr>
            <w:r>
              <w:t>anni di attività perduti per uscita precoce a matrice psichica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6A1D7D2" w14:textId="77777777" w:rsidR="007C4598" w:rsidRDefault="00000000">
            <w:pPr>
              <w:spacing w:after="40"/>
            </w:pPr>
            <w:r>
              <w:t>la quota evitabile dal mantenimento della capacità lavorativa</w:t>
            </w:r>
          </w:p>
        </w:tc>
      </w:tr>
    </w:tbl>
    <w:p w14:paraId="7707C976" w14:textId="77777777" w:rsidR="007C4598" w:rsidRDefault="007C4598"/>
    <w:p w14:paraId="00C8A59D" w14:textId="77777777" w:rsidR="007C4598" w:rsidRDefault="00000000">
      <w:pPr>
        <w:jc w:val="both"/>
      </w:pPr>
      <w:r>
        <w:rPr>
          <w:i/>
          <w:iCs/>
        </w:rPr>
        <w:t>Tabella 9.3 — Le forme dell’uscita dal lavoro per cause psichiche e i margini di prevenzione. Le grandezze sono ricostruite sulle fonti pubbliche nazionali e internazionali (analisi comparate dei sistemi di sicurezza sociale, dati previdenziali) e saranno sostituite dai dati certificati regionali non appena acquisiti; le componenti prevenibili riguardano la sola quota a matrice psichica intercettabile precocemente.</w:t>
      </w:r>
    </w:p>
    <w:p w14:paraId="2C86212C" w14:textId="77777777" w:rsidR="007C4598" w:rsidRDefault="007C4598"/>
    <w:p w14:paraId="30B3641C" w14:textId="77777777" w:rsidR="007C4598" w:rsidRDefault="00000000">
      <w:pPr>
        <w:jc w:val="both"/>
      </w:pPr>
      <w:r>
        <w:t>Sulla base di questo quadro, la stima del beneficio pensionistico è articolata nelle tre componenti corrispondenti alle tre forme dell’uscita, e per ciascuno dei tre scenari di copertura. La componente delle prestazioni di invalidità civile costituisce, per la sua diffusione, la quota maggiore del beneficio; la componente delle pensioni di inabilità e degli assegni di invalidità previdenziali costituisce la quota intermedia, di elevato valore unitario ma minore diffusione; la componente del pensionamento anticipato costituisce la quota minore. La tabella che segue espone la stima per componente e per scenario.</w:t>
      </w:r>
    </w:p>
    <w:p w14:paraId="6D146451"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59633B01"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2596D53" w14:textId="77777777" w:rsidR="007C4598" w:rsidRDefault="00000000">
            <w:pPr>
              <w:spacing w:after="40"/>
            </w:pPr>
            <w:r>
              <w:rPr>
                <w:b/>
                <w:bCs/>
                <w:color w:val="FFFFFF"/>
                <w:sz w:val="18"/>
                <w:szCs w:val="18"/>
              </w:rPr>
              <w:t>Componente del beneficio pensionistico (mln €/anno)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BC3EEFA" w14:textId="77777777" w:rsidR="007C4598" w:rsidRDefault="00000000">
            <w:pPr>
              <w:spacing w:after="40"/>
            </w:pPr>
            <w:r>
              <w:rPr>
                <w:b/>
                <w:bCs/>
                <w:color w:val="FFFFFF"/>
                <w:sz w:val="18"/>
                <w:szCs w:val="18"/>
              </w:rPr>
              <w:t>Conservativo (~450)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6B3E741" w14:textId="77777777" w:rsidR="007C4598" w:rsidRDefault="00000000">
            <w:pPr>
              <w:spacing w:after="40"/>
            </w:pPr>
            <w:r>
              <w:rPr>
                <w:b/>
                <w:bCs/>
                <w:color w:val="FFFFFF"/>
                <w:sz w:val="18"/>
                <w:szCs w:val="18"/>
              </w:rPr>
              <w:t>Intermedio (~700)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EBB7ACF" w14:textId="77777777" w:rsidR="007C4598" w:rsidRDefault="00000000">
            <w:pPr>
              <w:spacing w:after="40"/>
            </w:pPr>
            <w:r>
              <w:rPr>
                <w:b/>
                <w:bCs/>
                <w:color w:val="FFFFFF"/>
                <w:sz w:val="18"/>
                <w:szCs w:val="18"/>
              </w:rPr>
              <w:t>Espansivo (~900)</w:t>
            </w:r>
          </w:p>
        </w:tc>
      </w:tr>
      <w:tr w:rsidR="007C4598" w14:paraId="722075D1"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EDB6D1B" w14:textId="77777777" w:rsidR="007C4598" w:rsidRDefault="00000000">
            <w:pPr>
              <w:spacing w:after="40"/>
            </w:pPr>
            <w:r>
              <w:t>Riduzione delle prestazioni di invalidità civile per disturbi psichici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2F5732F" w14:textId="77777777" w:rsidR="007C4598" w:rsidRDefault="00000000">
            <w:pPr>
              <w:spacing w:after="40"/>
            </w:pPr>
            <w:r>
              <w:t>~4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D50ABC4" w14:textId="77777777" w:rsidR="007C4598" w:rsidRDefault="00000000">
            <w:pPr>
              <w:spacing w:after="40"/>
            </w:pPr>
            <w:r>
              <w:t>~7</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ADA41F1" w14:textId="77777777" w:rsidR="007C4598" w:rsidRDefault="00000000">
            <w:pPr>
              <w:spacing w:after="40"/>
            </w:pPr>
            <w:r>
              <w:t>~10</w:t>
            </w:r>
          </w:p>
        </w:tc>
      </w:tr>
      <w:tr w:rsidR="007C4598" w14:paraId="4F7C23C1"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254C6C3" w14:textId="77777777" w:rsidR="007C4598" w:rsidRDefault="00000000">
            <w:pPr>
              <w:spacing w:after="40"/>
            </w:pPr>
            <w:r>
              <w:t>Prevenzione e ritardo delle pensioni di inabilità e invalidità previdenziali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95A1FFF" w14:textId="77777777" w:rsidR="007C4598" w:rsidRDefault="00000000">
            <w:pPr>
              <w:spacing w:after="40"/>
            </w:pPr>
            <w:r>
              <w:t>~4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18A6ED3" w14:textId="77777777" w:rsidR="007C4598" w:rsidRDefault="00000000">
            <w:pPr>
              <w:spacing w:after="40"/>
            </w:pPr>
            <w:r>
              <w:t>~6</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6CA71C9" w14:textId="77777777" w:rsidR="007C4598" w:rsidRDefault="00000000">
            <w:pPr>
              <w:spacing w:after="40"/>
            </w:pPr>
            <w:r>
              <w:t>~8</w:t>
            </w:r>
          </w:p>
        </w:tc>
      </w:tr>
      <w:tr w:rsidR="007C4598" w14:paraId="36653959"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87486FE" w14:textId="77777777" w:rsidR="007C4598" w:rsidRDefault="00000000">
            <w:pPr>
              <w:spacing w:after="40"/>
            </w:pPr>
            <w:r>
              <w:t>Riduzione del pensionamento anticipato per ragioni di salute mentale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96B9CFB" w14:textId="77777777" w:rsidR="007C4598" w:rsidRDefault="00000000">
            <w:pPr>
              <w:spacing w:after="40"/>
            </w:pPr>
            <w:r>
              <w:t>~2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07239CE" w14:textId="77777777" w:rsidR="007C4598" w:rsidRDefault="00000000">
            <w:pPr>
              <w:spacing w:after="40"/>
            </w:pPr>
            <w:r>
              <w:t>~3</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920478A" w14:textId="77777777" w:rsidR="007C4598" w:rsidRDefault="00000000">
            <w:pPr>
              <w:spacing w:after="40"/>
            </w:pPr>
            <w:r>
              <w:t>~4</w:t>
            </w:r>
          </w:p>
        </w:tc>
      </w:tr>
      <w:tr w:rsidR="007C4598" w14:paraId="07B93F86"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455D85B" w14:textId="77777777" w:rsidR="007C4598" w:rsidRDefault="00000000">
            <w:pPr>
              <w:spacing w:after="40"/>
            </w:pPr>
            <w:r>
              <w:t>Beneficio pensionistico indiretto del dominio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C5A10C5" w14:textId="77777777" w:rsidR="007C4598" w:rsidRDefault="00000000">
            <w:pPr>
              <w:spacing w:after="40"/>
            </w:pPr>
            <w:r>
              <w:t>~10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6423D1E" w14:textId="77777777" w:rsidR="007C4598" w:rsidRDefault="00000000">
            <w:pPr>
              <w:spacing w:after="40"/>
            </w:pPr>
            <w:r>
              <w:t>~16</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62F82CA" w14:textId="77777777" w:rsidR="007C4598" w:rsidRDefault="00000000">
            <w:pPr>
              <w:spacing w:after="40"/>
            </w:pPr>
            <w:r>
              <w:t>~22</w:t>
            </w:r>
          </w:p>
        </w:tc>
      </w:tr>
    </w:tbl>
    <w:p w14:paraId="68C6BDBC" w14:textId="77777777" w:rsidR="007C4598" w:rsidRDefault="007C4598"/>
    <w:p w14:paraId="2B69CF22" w14:textId="77777777" w:rsidR="007C4598" w:rsidRDefault="00000000">
      <w:pPr>
        <w:jc w:val="both"/>
      </w:pPr>
      <w:r>
        <w:rPr>
          <w:i/>
          <w:iCs/>
        </w:rPr>
        <w:t xml:space="preserve">Tabella 9.4 — Stima prudenziale del beneficio del dominio pensionistico per scenario. Le cifre sono bande prudenziali arrotondate e comprendono sia le prestazioni non erogate sia la produzione e contribuzione conservate; l’ultima riga è la somma delle tre componenti. Il valore è una grandezza sociale indiretta, che grava in prevalenza sull’istituto previdenziale nazionale, distinta dai risparmi sanitari diretti, dalla produttività di breve periodo del dominio lavorativo e dalle prestazioni assistenziali del dominio </w:t>
      </w:r>
      <w:proofErr w:type="spellStart"/>
      <w:r>
        <w:rPr>
          <w:i/>
          <w:iCs/>
        </w:rPr>
        <w:t>welfaristico</w:t>
      </w:r>
      <w:proofErr w:type="spellEnd"/>
      <w:r>
        <w:rPr>
          <w:i/>
          <w:iCs/>
        </w:rPr>
        <w:t>.</w:t>
      </w:r>
    </w:p>
    <w:p w14:paraId="153C0C2B" w14:textId="77777777" w:rsidR="007C4598" w:rsidRDefault="007C4598"/>
    <w:p w14:paraId="3BAB85AB" w14:textId="77777777" w:rsidR="007C4598" w:rsidRDefault="00000000">
      <w:pPr>
        <w:jc w:val="both"/>
      </w:pPr>
      <w:r>
        <w:t>Il beneficio pensionistico indiretto è dunque stimato in un ordine di grandezza compreso tra circa dieci milioni di euro l’anno nello scenario conservativo e circa ventidue milioni nello scenario espansivo, con un valore intermedio dell’ordine di sedici milioni. La cifra rappresenta una frazione contenuta dell’onere previdenziale e assistenziale complessivo per cause psichiche, coerente con la natura del margine, che non è l’azzeramento dell’uscita dal lavoro — gran parte della quale risponde a disturbi gravi non prevenibili dal solo primo livello psicologico — ma la prevenzione della sola quota di compromissione evitabile attraverso l’intercettazione precoce del disagio comune. La prudenza della stima riflette, oltre all’incertezza generale, la lunghezza particolare della catena causale che conduce dalla prevenzione clinica all’esito invalidante evitato, e la difficoltà di attribuire al solo intervento precoce un esito, l’invalidità, determinato da una pluralità di fattori.</w:t>
      </w:r>
    </w:p>
    <w:p w14:paraId="3E33C5DE" w14:textId="77777777" w:rsidR="007C4598" w:rsidRDefault="007C4598"/>
    <w:p w14:paraId="633A99D5" w14:textId="77777777" w:rsidR="007C4598" w:rsidRDefault="00000000">
      <w:pPr>
        <w:jc w:val="both"/>
      </w:pPr>
      <w:r>
        <w:t>Una precisazione è necessaria sulla natura fiscale e sociale del beneficio pensionistico, perché esso si colloca al confine tra le due categorie. Una parte del beneficio — le minori prestazioni previdenziali e assistenziali erogate — ha natura fiscale, ma grava sul bilancio dell’istituto previdenziale nazionale e dello Stato, non sul bilancio sanitario regionale; per questa ragione esso è trattato in questa parte tra le grandezze indirette, e non nella parte ottava tra i risparmi diretti, che riguardano il solo bilancio sanitario regionale. Un’altra parte del beneficio — la produzione e la contribuzione conservate del lavoratore mantenuto al lavoro — ha natura propriamente economico-sociale. La collocazione dell’intero beneficio pensionistico tra le grandezze indirette è dunque corretta sotto il profilo del bilancio su cui esso incide, e ne ribadisce la distinzione dai risparmi sanitari diretti; ma essa richiede, all’interno della parte nona, la cura di non duplicare la componente di produzione conservata con il dominio lavorativo, distinzione che la soglia tra produttività di breve periodo e uscita permanente garantisce.</w:t>
      </w:r>
    </w:p>
    <w:p w14:paraId="5A2C6575"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1C178FA4"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43D149D" w14:textId="77777777" w:rsidR="007C4598" w:rsidRDefault="00000000">
            <w:pPr>
              <w:spacing w:after="40"/>
            </w:pPr>
            <w:r>
              <w:rPr>
                <w:b/>
                <w:bCs/>
                <w:color w:val="FFFFFF"/>
                <w:sz w:val="18"/>
                <w:szCs w:val="18"/>
              </w:rPr>
              <w:t xml:space="preserve">◆ SEGNAPOSTO INFOGRAFICA — FIG. 9.B · DA INSERIRE A POSTERIORI Titolo previsto: Il dominio pensionistico: componenti del beneficio indiretto e scenari — Puglia CODICE CANVA-FRIENDLY (scheda di generazione) Tipo di grafico: diagramma a barre orizzontali raggruppate per i tre scenari di copertura, ciascuna barra scomposta nelle tre componenti del beneficio (invalidità civile; inabilità e invalidità previdenziali; pensionamento anticipato), con etichetta del totale di dominio. Lettura: tre gruppi di barre (Conservativo, Intermedio, Espansivo) la cui lunghezza complessiva corrisponde al beneficio totale del dominio (10, 16 e 22 milioni); la scomposizione cromatica interna mostra il peso prevalente della componente dell’invalidità civile. Palette: componente invalidità civile in blu </w:t>
            </w:r>
            <w:proofErr w:type="spellStart"/>
            <w:r>
              <w:rPr>
                <w:b/>
                <w:bCs/>
                <w:color w:val="FFFFFF"/>
                <w:sz w:val="18"/>
                <w:szCs w:val="18"/>
              </w:rPr>
              <w:t>navy</w:t>
            </w:r>
            <w:proofErr w:type="spellEnd"/>
            <w:r>
              <w:rPr>
                <w:b/>
                <w:bCs/>
                <w:color w:val="FFFFFF"/>
                <w:sz w:val="18"/>
                <w:szCs w:val="18"/>
              </w:rPr>
              <w:t xml:space="preserve"> #16264B; componente inabilità e invalidità previdenziali in blu medio #244272; componente pensionamento anticipato in blu #2E5AA0; etichetta del totale di dominio in oro #C49A48; griglia in grigio #D8D8D8.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etichette degli scenari </w:t>
            </w:r>
            <w:proofErr w:type="spellStart"/>
            <w:r>
              <w:rPr>
                <w:b/>
                <w:bCs/>
                <w:color w:val="FFFFFF"/>
                <w:sz w:val="18"/>
                <w:szCs w:val="18"/>
              </w:rPr>
              <w:t>Bold</w:t>
            </w:r>
            <w:proofErr w:type="spellEnd"/>
            <w:r>
              <w:rPr>
                <w:b/>
                <w:bCs/>
                <w:color w:val="FFFFFF"/>
                <w:sz w:val="18"/>
                <w:szCs w:val="18"/>
              </w:rPr>
              <w:t xml:space="preserve">, valori Medium, note Regular.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Valori da rappresentare: Conservativo — invalidità civile ~4; inabilità e invalidità previdenziali ~4; pensionamento anticipato ~2; totale ~10. Intermedio — ~7; ~6; ~3; totale ~16. Espansivo — ~10; ~8; ~4; totale ~22. Variante 3D (consigliata): barre a rilievo isometrico con le tre componenti impilate in profondità; nota grafica che distingue la componente di minore spesa previdenziale da quella di produzione e contribuzione conservate. Fonte (piè di figura): Elaborazione dello studio; analisi comparate dei sistemi di sicurezza sociale e dati previdenziali nazionali; graduazione GRADE dell’evidenza sull’esito invalidante evitato. La figura deve rendere evidente che il beneficio pensionistico coglie l’uscita permanente dal lavoro evitata, distinta dalla produttività di breve periodo del dominio lavorativo, e che esso grava in prevalenza sull’istituto previdenziale nazionale, non sul bilancio sanitario regionale.</w:t>
            </w:r>
          </w:p>
          <w:p w14:paraId="664CC671" w14:textId="77777777" w:rsidR="007C4598" w:rsidRDefault="00000000">
            <w:pPr>
              <w:spacing w:before="120" w:after="60"/>
              <w:jc w:val="center"/>
            </w:pPr>
            <w:r>
              <w:rPr>
                <w:noProof/>
              </w:rPr>
              <w:drawing>
                <wp:inline distT="0" distB="0" distL="0" distR="0" wp14:anchorId="7FDC82F3" wp14:editId="4998AFB8">
                  <wp:extent cx="8229600" cy="4629150"/>
                  <wp:effectExtent l="0" t="0" r="0" b="0"/>
                  <wp:docPr id="141" name="Infografica41" descr="Il dominio pensionistico: benefici indiretti e scen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Infografica41"/>
                          <pic:cNvPicPr>
                            <a:picLocks noChangeAspect="1" noChangeArrowheads="1"/>
                          </pic:cNvPicPr>
                        </pic:nvPicPr>
                        <pic:blipFill>
                          <a:blip r:embed="rId71">
                            <a:extLst>
                              <a:ext uri="{96DAC541-7B7A-43D3-8B79-37D633B846F1}">
                                <asvg:svgBlip xmlns:asvg="http://schemas.microsoft.com/office/drawing/2016/SVG/main" r:embed="rId72"/>
                              </a:ext>
                            </a:extLst>
                          </a:blip>
                          <a:stretch>
                            <a:fillRect/>
                          </a:stretch>
                        </pic:blipFill>
                        <pic:spPr bwMode="auto">
                          <a:xfrm>
                            <a:off x="0" y="0"/>
                            <a:ext cx="8229600" cy="4629150"/>
                          </a:xfrm>
                          <a:prstGeom prst="rect">
                            <a:avLst/>
                          </a:prstGeom>
                          <a:noFill/>
                          <a:ln>
                            <a:noFill/>
                          </a:ln>
                        </pic:spPr>
                      </pic:pic>
                    </a:graphicData>
                  </a:graphic>
                </wp:inline>
              </w:drawing>
            </w:r>
          </w:p>
          <w:p w14:paraId="2A65BD2F" w14:textId="77777777" w:rsidR="007C4598" w:rsidRDefault="00000000">
            <w:pPr>
              <w:spacing w:before="40" w:after="200"/>
              <w:jc w:val="center"/>
            </w:pPr>
            <w:r>
              <w:rPr>
                <w:i/>
                <w:color w:val="2E5A8F"/>
                <w:sz w:val="16"/>
                <w:szCs w:val="16"/>
              </w:rPr>
              <w:t>Fig. 9.B — Il dominio pensionistico: benefici indiretti e scenari. Elaborazione dello studio · Luigi De Michele · Giugno 2026.</w:t>
            </w:r>
          </w:p>
        </w:tc>
      </w:tr>
    </w:tbl>
    <w:p w14:paraId="4EEE38B4" w14:textId="77777777" w:rsidR="007C4598" w:rsidRDefault="007C4598"/>
    <w:p w14:paraId="24023F16" w14:textId="77777777" w:rsidR="007C4598" w:rsidRDefault="00000000">
      <w:pPr>
        <w:pStyle w:val="Titolo2"/>
        <w:spacing w:before="200" w:after="100"/>
      </w:pPr>
      <w:r>
        <w:rPr>
          <w:sz w:val="22"/>
          <w:szCs w:val="22"/>
        </w:rPr>
        <w:t>9.2.5  La graduazione, i confini e la non duplicazione del dominio pensionistico</w:t>
      </w:r>
    </w:p>
    <w:p w14:paraId="053B05D7" w14:textId="77777777" w:rsidR="007C4598" w:rsidRDefault="007C4598"/>
    <w:p w14:paraId="445BAA39" w14:textId="77777777" w:rsidR="007C4598" w:rsidRDefault="00000000">
      <w:pPr>
        <w:jc w:val="both"/>
      </w:pPr>
      <w:r>
        <w:t>La solidità della stima del dominio pensionistico va dichiarata. L’anello clinico-preventivo è sostenuto da evidenza di qualità da moderata ad alta per l’efficacia clinica, ma da evidenza più variabile per la specifica prevenzione dell’esito invalidante; l’anello funzionale-previdenziale, da evidenza coerente ma di qualità da moderata a bassa; l’anello economico è soggetto alla difficoltà di attribuire al solo intervento precoce un esito multifattoriale. La graduazione complessiva del dominio è da intermedia a bassa, inferiore a quella del dominio lavorativo, in ragione della maggiore lunghezza e incertezza della catena causale; e si traduce in bande prudenziali ampie.</w:t>
      </w:r>
      <w:r>
        <w:rPr>
          <w:color w:val="555555"/>
          <w:sz w:val="16"/>
          <w:szCs w:val="16"/>
          <w:vertAlign w:val="superscript"/>
        </w:rPr>
        <w:t>[11]</w:t>
      </w:r>
      <w:r>
        <w:t xml:space="preserve"> La stima centrale del dominio va dunque letta come il punto mediano di un intervallo esteso, e la sua prudenza è accentuata rispetto a quella del dominio lavorativo.</w:t>
      </w:r>
    </w:p>
    <w:p w14:paraId="0B9E317D" w14:textId="77777777" w:rsidR="007C4598" w:rsidRDefault="007C4598"/>
    <w:p w14:paraId="4EDD47A6" w14:textId="77777777" w:rsidR="007C4598" w:rsidRDefault="00000000">
      <w:pPr>
        <w:jc w:val="both"/>
      </w:pPr>
      <w:r>
        <w:t xml:space="preserve">Da questa graduazione discendono i confini e le regole di non duplicazione del dominio pensionistico, particolarmente importanti per la sua posizione tra i domini contigui. In primo luogo, il beneficio pensionistico è una grandezza sociale indiretta, che grava in prevalenza sull’istituto previdenziale nazionale e che comprende una componente di produzione conservata, e non è in alcun punto sommato ai risparmi sanitari diretti della parte ottava. In secondo luogo, esso coglie la sola uscita permanente dal lavoro evitata, e non include in alcun punto la produttività di breve periodo del lavoratore che resta occupato, già attribuita al dominio lavorativo: la soglia tra produttività conservata e uscita evitata separa nettamente i due domini, e nessun euro è contato in entrambi. In terzo luogo, esso coglie le sole prestazioni previdenziali — inabilità, invalidità previdenziale, invalidità civile — e non include le prestazioni assistenziali non previdenziali, quali le indennità e i sussidi assistenziali, che il dominio </w:t>
      </w:r>
      <w:proofErr w:type="spellStart"/>
      <w:r>
        <w:t>welfaristico</w:t>
      </w:r>
      <w:proofErr w:type="spellEnd"/>
      <w:r>
        <w:t xml:space="preserve"> misurerà; la distinzione tra prestazioni previdenziali e assistenziali separa nettamente i due domini.</w:t>
      </w:r>
      <w:r>
        <w:rPr>
          <w:color w:val="555555"/>
          <w:sz w:val="16"/>
          <w:szCs w:val="16"/>
          <w:vertAlign w:val="superscript"/>
        </w:rPr>
        <w:t>[12]</w:t>
      </w:r>
    </w:p>
    <w:p w14:paraId="1A1290D6" w14:textId="77777777" w:rsidR="007C4598" w:rsidRDefault="007C4598"/>
    <w:p w14:paraId="554B19F0" w14:textId="77777777" w:rsidR="007C4598" w:rsidRDefault="00000000">
      <w:pPr>
        <w:jc w:val="both"/>
      </w:pPr>
      <w:r>
        <w:t>La verifica documentale del dominio pensionistico segue un’agenda precisa. Essa richiede l’acquisizione dei dati regionali sulle prestazioni di inabilità, invalidità previdenziale e invalidità civile erogate per cause psichiche, disaggregati per causa e per età del beneficiario, indispensabili per misurare la componente prevenibile; dei dati sul pensionamento anticipato per ragioni di salute, più difficili da isolare; e dei parametri sulla capacità dell’intervento precoce di prevenire l’esito invalidante, desumibili dalla letteratura e dai progetti pilota, indispensabili per applicare il parametro di effetto. L’acquisizione di questi dati, prevista nella fase di consolidamento, consentirà di restringere l’ampia banda del beneficio pensionistico e di precisarne la stima. Stabiliti i primi due domini, il lavorativo e il pensionistico, rigorosamente distinti tra produttività conservata e uscita evitata, la rinegoziazione può ora muovere verso il terzo dominio, il produttivistico, che offre la lente macroeconomica dell’output e che è trattato, per la sua sovrapposizione con i due precedenti, come sintesi che integra senza duplicare.</w:t>
      </w:r>
    </w:p>
    <w:p w14:paraId="3D2EEEDE" w14:textId="77777777" w:rsidR="007C4598" w:rsidRDefault="007C4598"/>
    <w:p w14:paraId="4C8E9CF4" w14:textId="77777777" w:rsidR="007C4598" w:rsidRDefault="00000000">
      <w:pPr>
        <w:pStyle w:val="Titolo1"/>
        <w:pageBreakBefore/>
      </w:pPr>
      <w:r>
        <w:rPr>
          <w:sz w:val="22"/>
          <w:szCs w:val="22"/>
        </w:rPr>
        <w:t>9.3  Il dominio produttivistico</w:t>
      </w:r>
    </w:p>
    <w:p w14:paraId="16282279" w14:textId="77777777" w:rsidR="007C4598" w:rsidRDefault="007C4598"/>
    <w:p w14:paraId="1CBF29AA" w14:textId="77777777" w:rsidR="007C4598" w:rsidRDefault="00000000">
      <w:pPr>
        <w:jc w:val="both"/>
      </w:pPr>
      <w:r>
        <w:rPr>
          <w:i/>
          <w:iCs/>
        </w:rPr>
        <w:t>Il terzo dominio del perimetro integrale è il produttivistico, e occupa nella rinegoziazione una posizione particolare, che ne condiziona il trattamento. A differenza dei domini lavorativo e pensionistico, che misurano componenti specifiche e additive del valore economico, il dominio produttivistico offre la lente macroeconomica complessiva dell’output: esso guarda al prodotto che il disagio psichico sottrae alla collettività nel suo insieme, considerato come perdita aggregata di capacità produttiva. Questa prospettiva macroeconomica si sovrappone, in larga misura, alle prospettive specifiche dei due domini precedenti, perché la perdita di output aggregata comprende, tra le sue componenti, sia la minore produttività del lavoratore occupato sia l’uscita permanente dal lavoro. Per questa ragione il dominio produttivistico è trattato, in coerenza con la regola di non duplicazione, non come addendo che si somma ai due precedenti, ma come sintesi che li integra senza aggiungere, e che conta esclusivamente la componente residua di output perduto non già attribuita ad altri domini: la mortalità prematura a matrice psichica e il deterioramento del capitale umano di lungo periodo. La voce ricostruisce il contesto della perdita di output, ne isola i meccanismi residui, ne traccia la catena causale, ne stima la componente residua per scenario e ne dichiara, con particolare rigore, i confini e la non sovrapposizione con i domini lavorativo e pensionistico.</w:t>
      </w:r>
    </w:p>
    <w:p w14:paraId="6CAE30F4" w14:textId="77777777" w:rsidR="007C4598" w:rsidRDefault="007C4598"/>
    <w:p w14:paraId="7198E471" w14:textId="77777777" w:rsidR="007C4598" w:rsidRDefault="00000000">
      <w:pPr>
        <w:pStyle w:val="Titolo2"/>
        <w:spacing w:before="200" w:after="100"/>
      </w:pPr>
      <w:r>
        <w:rPr>
          <w:sz w:val="22"/>
          <w:szCs w:val="22"/>
        </w:rPr>
        <w:t>9.3.1  Il contesto: la perdita di output e la sua scomposizione</w:t>
      </w:r>
    </w:p>
    <w:p w14:paraId="1180C129" w14:textId="77777777" w:rsidR="007C4598" w:rsidRDefault="007C4598"/>
    <w:p w14:paraId="137EE9FC" w14:textId="77777777" w:rsidR="007C4598" w:rsidRDefault="00000000">
      <w:pPr>
        <w:jc w:val="both"/>
      </w:pPr>
      <w:r>
        <w:t xml:space="preserve">La perdita di output che il disagio psichico impone alle economie avanzate è, nel suo aggregato, di entità considerevole, e costituisce la maggiore tra le componenti del costo economico complessivo dei disturbi mentali, superiore alla spesa sanitaria diretta. Questa perdita aggregata, tuttavia, non è una grandezza autonoma e aggiuntiva rispetto alle componenti già esaminate: essa è, al contrario, la somma di componenti che i domini lavorativo e pensionistico hanno già colto distintamente. La minore produttività del lavoratore occupato — l’assenteismo e il </w:t>
      </w:r>
      <w:proofErr w:type="spellStart"/>
      <w:r>
        <w:t>presenteismo</w:t>
      </w:r>
      <w:proofErr w:type="spellEnd"/>
      <w:r>
        <w:t xml:space="preserve"> — è una componente della perdita di output, ed è stata attribuita al dominio lavorativo. L’uscita permanente dal lavoro — l’invalidità, l’inabilità, il pensionamento anticipato — è un’altra componente della perdita di output, ed è stata attribuita al dominio pensionistico. Sommare l’intera perdita di output aggregata alle componenti già attribuite significherebbe contare due, e in parte tre volte, il medesimo valore.</w:t>
      </w:r>
    </w:p>
    <w:p w14:paraId="06E322D8" w14:textId="77777777" w:rsidR="007C4598" w:rsidRDefault="007C4598"/>
    <w:p w14:paraId="52BC7815" w14:textId="77777777" w:rsidR="007C4598" w:rsidRDefault="00000000">
      <w:pPr>
        <w:jc w:val="both"/>
      </w:pPr>
      <w:r>
        <w:t>La scomposizione della perdita di output consente di isolare la sola componente residua, non ancora attribuita ad alcun dominio, che il dominio produttivistico può legittimamente quantificare senza duplicazione. Questa componente residua è duplice. La prima parte è costituita dalla mortalità prematura a matrice psichica: il valore della produzione perduta a causa della morte anticipata di persone in età produttiva per suicidio e per l’eccesso di mortalità associato ai disturbi mentali non trattati, che riduce la mortalità per cause somatiche concomitanti. Questa perdita non è colta né dal dominio lavorativo, che riguarda i vivi occupati, né dal dominio pensionistico, che riguarda gli usciti dal lavoro ma viventi, e costituisce dunque una componente genuinamente residua. La seconda parte è costituita dal deterioramento del capitale umano di lungo periodo: la perdita di competenze, di esperienza e di traiettorie professionali che il disagio prolungato determina al di là della singola assenza o uscita, e che la presa in carico precoce previene; anche questa componente, di natura dinamica e di lungo periodo, eccede la fotografia di breve periodo del dominio lavorativo e la soglia dell’uscita del dominio pensionistico.</w:t>
      </w:r>
    </w:p>
    <w:p w14:paraId="23579FA3" w14:textId="77777777" w:rsidR="007C4598" w:rsidRDefault="007C4598"/>
    <w:p w14:paraId="7393FA2B" w14:textId="77777777" w:rsidR="007C4598" w:rsidRDefault="00000000">
      <w:pPr>
        <w:jc w:val="both"/>
      </w:pPr>
      <w:r>
        <w:t>La connessione tra questa componente residua e il primo livello psicologico opera, per la mortalità prematura, attraverso l’intercettazione precoce del disagio che riduce il rischio degli esiti più gravi, e, per il capitale umano, attraverso la prevenzione del deterioramento prolungato delle competenze e delle traiettorie. Lo Psicologo di Base, intercettando il disagio nelle cure primarie, agisce a monte di entrambi gli esiti residui; e il valore che ne deriva — la produzione conservata di chi non muore prematuramente e la competenza conservata di chi non subisce il deterioramento di lungo periodo — è la sola componente che il dominio produttivistico aggiunge ai domini precedenti. Tale componente, per la natura residuale che la definisce, è di entità contenuta rispetto all’aggregato della perdita di output, gran parte del quale è già stata attribuita ai domini lavorativo e pensionistico.</w:t>
      </w:r>
    </w:p>
    <w:p w14:paraId="0EF1282E" w14:textId="77777777" w:rsidR="007C4598" w:rsidRDefault="007C4598"/>
    <w:p w14:paraId="549F170B" w14:textId="77777777" w:rsidR="007C4598" w:rsidRDefault="00000000">
      <w:pPr>
        <w:pStyle w:val="Titolo2"/>
        <w:spacing w:before="200" w:after="100"/>
      </w:pPr>
      <w:r>
        <w:rPr>
          <w:sz w:val="22"/>
          <w:szCs w:val="22"/>
        </w:rPr>
        <w:t>9.3.2  I meccanismi residui: mortalità prematura e capitale umano di lungo periodo</w:t>
      </w:r>
    </w:p>
    <w:p w14:paraId="7643F2E2" w14:textId="77777777" w:rsidR="007C4598" w:rsidRDefault="007C4598"/>
    <w:p w14:paraId="27C9CBE7" w14:textId="77777777" w:rsidR="007C4598" w:rsidRDefault="00000000">
      <w:pPr>
        <w:jc w:val="both"/>
      </w:pPr>
      <w:r>
        <w:t>Il dominio produttivistico, nella sua componente residua, opera attraverso due meccanismi distinti da quelli dei domini precedenti. Il primo meccanismo è la riduzione della perdita di output dovuta alla mortalità prematura a matrice psichica. L’intercettazione precoce del disagio comune, riducendo il rischio degli esiti più gravi, contribuisce a ridurre la mortalità anticipata di persone in età produttiva; il valore che ne deriva è quello della produzione che tali persone avrebbero generato negli anni di vita lavorativa conservati. Il meccanismo agisce su un esito raro ma di elevatissimo valore unitario, perché la morte prematura sottrae l’intero arco residuo della vita produttiva; e la sua stima richiede particolare cautela, perché la relazione tra l’intervento precoce sul disagio comune e la riduzione della mortalità è mediata da numerosi fattori e di difficile quantificazione puntuale.</w:t>
      </w:r>
    </w:p>
    <w:p w14:paraId="03A023E1" w14:textId="77777777" w:rsidR="007C4598" w:rsidRDefault="007C4598"/>
    <w:p w14:paraId="318D22BD" w14:textId="77777777" w:rsidR="007C4598" w:rsidRDefault="00000000">
      <w:pPr>
        <w:jc w:val="both"/>
      </w:pPr>
      <w:r>
        <w:t>Il secondo meccanismo è la prevenzione del deterioramento del capitale umano di lungo periodo. Il disagio prolungato non trattato non incide soltanto sulla produttività del momento o sull’uscita dal lavoro, ma erode nel tempo le competenze, l’esperienza accumulata e le traiettorie di crescita professionale, generando una perdita dinamica che si manifesta come minore avanzamento, minore qualificazione e minore mobilità ascendente. La presa in carico precoce, prevenendo la cronicizzazione, preserva il capitale umano nel suo accumularsi nel tempo, e il valore che ne deriva è quello della maggiore qualificazione e produttività di lungo periodo conservata. I due meccanismi residui convergono verso la componente di output non altrimenti attribuita, e ne colgono le sole parti — mortalità e dinamica di lungo periodo del capitale umano — che eccedono la produttività di breve periodo e l’uscita permanente già contabilizzate.</w:t>
      </w:r>
    </w:p>
    <w:p w14:paraId="0E7A88C0" w14:textId="77777777" w:rsidR="007C4598" w:rsidRDefault="007C4598"/>
    <w:p w14:paraId="0DDCEA4C" w14:textId="77777777" w:rsidR="007C4598" w:rsidRDefault="00000000">
      <w:pPr>
        <w:pStyle w:val="Titolo2"/>
        <w:spacing w:before="200" w:after="100"/>
      </w:pPr>
      <w:r>
        <w:rPr>
          <w:sz w:val="22"/>
          <w:szCs w:val="22"/>
        </w:rPr>
        <w:t>9.3.3  La catena causale del beneficio produttivistico residuo</w:t>
      </w:r>
    </w:p>
    <w:p w14:paraId="6F151017" w14:textId="77777777" w:rsidR="007C4598" w:rsidRDefault="007C4598"/>
    <w:p w14:paraId="16174230" w14:textId="77777777" w:rsidR="007C4598" w:rsidRDefault="00000000">
      <w:pPr>
        <w:jc w:val="both"/>
      </w:pPr>
      <w:r>
        <w:t>La formazione del beneficio produttivistico residuo segue una catena causale i cui anelli, per la natura degli esiti considerati, sono particolarmente lunghi e incerti. Il primo anello è clinico: l’intercettazione e il trattamento precoce migliorano gli esiti e riducono il rischio degli esiti gravi, inclusi quelli a esito mortale. Questo anello è sostenuto da evidenza di qualità da moderata ad alta per l’efficacia clinica, ma da evidenza più debole per la specifica riduzione della mortalità attribuibile al solo intervento di primo livello sul disagio comune. Il secondo anello è quello che lega l’esito clinico alla conservazione dell’output residuo: la minore mortalità prematura conserva anni di vita produttiva, e la prevenzione del deterioramento conserva capitale umano. Questo anello è sostenuto, per la componente di mortalità, da evidenza di qualità bassa, data la rarità dell’esito e la lunghezza della catena; per la componente di capitale umano, da evidenza prevalentemente teorica e di difficile quantificazione.</w:t>
      </w:r>
    </w:p>
    <w:p w14:paraId="1552DA45" w14:textId="77777777" w:rsidR="007C4598" w:rsidRDefault="007C4598"/>
    <w:p w14:paraId="268C50B3" w14:textId="77777777" w:rsidR="007C4598" w:rsidRDefault="00000000">
      <w:pPr>
        <w:jc w:val="both"/>
      </w:pPr>
      <w:r>
        <w:t>Il terzo anello è economico: la conservazione dell’output residuo si traduce in valore economico per la collettività, valutato secondo l’approccio del capitale umano coerentemente con gli altri domini produttivi. La graduazione complessiva del beneficio produttivistico residuo è, per la natura degli esiti, la più bassa tra i domini economici sin qui esaminati, e si traduce in bande prudenziali ampie e in una stima centrale contenuta. La catena è governata, in modo ancora più stringente che negli altri domini, dalla regola di non duplicazione: essa coglie esclusivamente la componente residua di output — mortalità prematura e capitale umano di lungo periodo — e non include in alcun punto né la produttività di breve periodo del lavoratore occupato, attribuita al dominio lavorativo, né l’uscita permanente dal lavoro, attribuita al dominio pensionistico. È questa esclusione rigorosa che impedisce al dominio produttivistico di duplicare il valore già contabilizzato, e che ne giustifica il trattamento come sintesi residuale anziché come addendo autonomo.</w:t>
      </w:r>
    </w:p>
    <w:p w14:paraId="7000AF60" w14:textId="77777777" w:rsidR="007C4598" w:rsidRDefault="007C4598"/>
    <w:p w14:paraId="6554F999" w14:textId="77777777" w:rsidR="007C4598" w:rsidRDefault="00000000">
      <w:pPr>
        <w:pStyle w:val="Titolo2"/>
        <w:spacing w:before="200" w:after="100"/>
      </w:pPr>
      <w:r>
        <w:rPr>
          <w:sz w:val="22"/>
          <w:szCs w:val="22"/>
        </w:rPr>
        <w:t>9.3.4  La quantificazione del dominio produttivistico residuo</w:t>
      </w:r>
    </w:p>
    <w:p w14:paraId="07F848DD" w14:textId="77777777" w:rsidR="007C4598" w:rsidRDefault="007C4598"/>
    <w:p w14:paraId="5B0FF770" w14:textId="77777777" w:rsidR="007C4598" w:rsidRDefault="00000000">
      <w:pPr>
        <w:jc w:val="both"/>
      </w:pPr>
      <w:r>
        <w:t>La quantificazione del dominio produttivistico si limita, per le ragioni esposte, alla sola componente residua, e adotta l’approccio del capitale umano in coerenza con i domini lavorativo e pensionistico. La tabella che segue ricostruisce le due forme della perdita di output residua e i margini su cui il dominio opera.</w:t>
      </w:r>
    </w:p>
    <w:p w14:paraId="0E946386"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67BC284D"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DBACB5E" w14:textId="77777777" w:rsidR="007C4598" w:rsidRDefault="00000000">
            <w:pPr>
              <w:spacing w:after="40"/>
            </w:pPr>
            <w:r>
              <w:rPr>
                <w:b/>
                <w:bCs/>
                <w:color w:val="FFFFFF"/>
                <w:sz w:val="18"/>
                <w:szCs w:val="18"/>
              </w:rPr>
              <w:t>Forma della perdita di output residua</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218BE20" w14:textId="77777777" w:rsidR="007C4598" w:rsidRDefault="00000000">
            <w:pPr>
              <w:spacing w:after="40"/>
            </w:pPr>
            <w:r>
              <w:rPr>
                <w:b/>
                <w:bCs/>
                <w:color w:val="FFFFFF"/>
                <w:sz w:val="18"/>
                <w:szCs w:val="18"/>
              </w:rPr>
              <w:t>Grandezza di ancoraggio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A429788" w14:textId="77777777" w:rsidR="007C4598" w:rsidRDefault="00000000">
            <w:pPr>
              <w:spacing w:after="40"/>
            </w:pPr>
            <w:r>
              <w:rPr>
                <w:b/>
                <w:bCs/>
                <w:color w:val="FFFFFF"/>
                <w:sz w:val="18"/>
                <w:szCs w:val="18"/>
              </w:rPr>
              <w:t>Componente residua attribuibile al dominio (non già in 9.1 e 9.2)</w:t>
            </w:r>
          </w:p>
        </w:tc>
      </w:tr>
      <w:tr w:rsidR="007C4598" w14:paraId="0AA09110"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8630164" w14:textId="77777777" w:rsidR="007C4598" w:rsidRDefault="00000000">
            <w:pPr>
              <w:spacing w:after="40"/>
            </w:pPr>
            <w:r>
              <w:t>Mortalità prematura a matrice psichica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93936FD" w14:textId="77777777" w:rsidR="007C4598" w:rsidRDefault="00000000">
            <w:pPr>
              <w:spacing w:after="40"/>
            </w:pPr>
            <w:r>
              <w:t>output perduto per morte anticipata in età produttiva (suicidio ed eccesso di mortalità)</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2FF63B3" w14:textId="77777777" w:rsidR="007C4598" w:rsidRDefault="00000000">
            <w:pPr>
              <w:spacing w:after="40"/>
            </w:pPr>
            <w:r>
              <w:t>la quota di output conservabile dalla riduzione del rischio di esiti gravi</w:t>
            </w:r>
          </w:p>
        </w:tc>
      </w:tr>
      <w:tr w:rsidR="007C4598" w14:paraId="2A753F53"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CE9CDC8" w14:textId="77777777" w:rsidR="007C4598" w:rsidRDefault="00000000">
            <w:pPr>
              <w:spacing w:after="40"/>
            </w:pPr>
            <w:r>
              <w:t>Deterioramento del capitale umano di lungo periodo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088499F" w14:textId="77777777" w:rsidR="007C4598" w:rsidRDefault="00000000">
            <w:pPr>
              <w:spacing w:after="40"/>
            </w:pPr>
            <w:r>
              <w:t>perdita dinamica di competenze, esperienza e traiettorie professionali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77D3C0B" w14:textId="77777777" w:rsidR="007C4598" w:rsidRDefault="00000000">
            <w:pPr>
              <w:spacing w:after="40"/>
            </w:pPr>
            <w:r>
              <w:t>la quota di lungo periodo non colta dalla produttività di breve né dall’uscita permanente</w:t>
            </w:r>
          </w:p>
        </w:tc>
      </w:tr>
    </w:tbl>
    <w:p w14:paraId="6F0B1802" w14:textId="77777777" w:rsidR="007C4598" w:rsidRDefault="007C4598"/>
    <w:p w14:paraId="17A50229" w14:textId="77777777" w:rsidR="007C4598" w:rsidRDefault="00000000">
      <w:pPr>
        <w:jc w:val="both"/>
      </w:pPr>
      <w:r>
        <w:rPr>
          <w:i/>
          <w:iCs/>
        </w:rPr>
        <w:t>Tabella 9.5 — Le forme residue della perdita di output e i margini di conservazione. Le grandezze sono ricostruite sulle fonti pubbliche e saranno sostituite dai dati certificati non appena acquisiti; le componenti residue riguardano la sola quota di output non già attribuita ai domini lavorativo e pensionistico, isolata per evitare il doppio conteggio.</w:t>
      </w:r>
    </w:p>
    <w:p w14:paraId="305094EB" w14:textId="77777777" w:rsidR="007C4598" w:rsidRDefault="007C4598"/>
    <w:p w14:paraId="1E6DD3CA" w14:textId="77777777" w:rsidR="007C4598" w:rsidRDefault="00000000">
      <w:pPr>
        <w:jc w:val="both"/>
      </w:pPr>
      <w:r>
        <w:t>Sulla base di questo quadro, la stima della componente residua del dominio produttivistico è articolata nelle due forme e per ciascuno dei tre scenari di copertura. Entrambe le componenti sono di entità contenuta, in ragione della natura residuale della grandezza e della prudenza imposta dalla bassa qualità dell’evidenza sugli esiti considerati. La tabella che segue espone la stima per componente e per scenario.</w:t>
      </w:r>
    </w:p>
    <w:p w14:paraId="7662ACBE"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0C4C77AA"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289F65A" w14:textId="77777777" w:rsidR="007C4598" w:rsidRDefault="00000000">
            <w:pPr>
              <w:spacing w:after="40"/>
            </w:pPr>
            <w:r>
              <w:rPr>
                <w:b/>
                <w:bCs/>
                <w:color w:val="FFFFFF"/>
                <w:sz w:val="18"/>
                <w:szCs w:val="18"/>
              </w:rPr>
              <w:t>Componente del beneficio produttivistico residuo (mln €/anno)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1BCA1CD" w14:textId="77777777" w:rsidR="007C4598" w:rsidRDefault="00000000">
            <w:pPr>
              <w:spacing w:after="40"/>
            </w:pPr>
            <w:r>
              <w:rPr>
                <w:b/>
                <w:bCs/>
                <w:color w:val="FFFFFF"/>
                <w:sz w:val="18"/>
                <w:szCs w:val="18"/>
              </w:rPr>
              <w:t>Conservativo (~450)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C981DC5" w14:textId="77777777" w:rsidR="007C4598" w:rsidRDefault="00000000">
            <w:pPr>
              <w:spacing w:after="40"/>
            </w:pPr>
            <w:r>
              <w:rPr>
                <w:b/>
                <w:bCs/>
                <w:color w:val="FFFFFF"/>
                <w:sz w:val="18"/>
                <w:szCs w:val="18"/>
              </w:rPr>
              <w:t>Intermedio (~700)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2BB08C6" w14:textId="77777777" w:rsidR="007C4598" w:rsidRDefault="00000000">
            <w:pPr>
              <w:spacing w:after="40"/>
            </w:pPr>
            <w:r>
              <w:rPr>
                <w:b/>
                <w:bCs/>
                <w:color w:val="FFFFFF"/>
                <w:sz w:val="18"/>
                <w:szCs w:val="18"/>
              </w:rPr>
              <w:t>Espansivo (~900)</w:t>
            </w:r>
          </w:p>
        </w:tc>
      </w:tr>
      <w:tr w:rsidR="007C4598" w14:paraId="5CFB9767"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C975F3D" w14:textId="77777777" w:rsidR="007C4598" w:rsidRDefault="00000000">
            <w:pPr>
              <w:spacing w:after="40"/>
            </w:pPr>
            <w:r>
              <w:t>Mortalità prematura evitata (output conservato)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62DA6FE" w14:textId="77777777" w:rsidR="007C4598" w:rsidRDefault="00000000">
            <w:pPr>
              <w:spacing w:after="40"/>
            </w:pPr>
            <w:r>
              <w:t>~1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06C0D1B" w14:textId="77777777" w:rsidR="007C4598" w:rsidRDefault="00000000">
            <w:pPr>
              <w:spacing w:after="40"/>
            </w:pPr>
            <w:r>
              <w:t>~2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C3F8C70" w14:textId="77777777" w:rsidR="007C4598" w:rsidRDefault="00000000">
            <w:pPr>
              <w:spacing w:after="40"/>
            </w:pPr>
            <w:r>
              <w:t>~3</w:t>
            </w:r>
          </w:p>
        </w:tc>
      </w:tr>
      <w:tr w:rsidR="007C4598" w14:paraId="551CD84B"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AEC27DB" w14:textId="77777777" w:rsidR="007C4598" w:rsidRDefault="00000000">
            <w:pPr>
              <w:spacing w:after="40"/>
            </w:pPr>
            <w:r>
              <w:t>Capitale umano di lungo periodo (residuo dinamico)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0C1C372" w14:textId="77777777" w:rsidR="007C4598" w:rsidRDefault="00000000">
            <w:pPr>
              <w:spacing w:after="40"/>
            </w:pPr>
            <w:r>
              <w:t>~1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4739971" w14:textId="77777777" w:rsidR="007C4598" w:rsidRDefault="00000000">
            <w:pPr>
              <w:spacing w:after="40"/>
            </w:pPr>
            <w:r>
              <w:t>~2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1D28AA0" w14:textId="77777777" w:rsidR="007C4598" w:rsidRDefault="00000000">
            <w:pPr>
              <w:spacing w:after="40"/>
            </w:pPr>
            <w:r>
              <w:t>~2</w:t>
            </w:r>
          </w:p>
        </w:tc>
      </w:tr>
      <w:tr w:rsidR="007C4598" w14:paraId="547F8FB9"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EA2899D" w14:textId="77777777" w:rsidR="007C4598" w:rsidRDefault="00000000">
            <w:pPr>
              <w:spacing w:after="40"/>
            </w:pPr>
            <w:r>
              <w:t>Beneficio produttivistico residuo del dominio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C863A1B" w14:textId="77777777" w:rsidR="007C4598" w:rsidRDefault="00000000">
            <w:pPr>
              <w:spacing w:after="40"/>
            </w:pPr>
            <w:r>
              <w:t>~2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46FF121" w14:textId="77777777" w:rsidR="007C4598" w:rsidRDefault="00000000">
            <w:pPr>
              <w:spacing w:after="40"/>
            </w:pPr>
            <w:r>
              <w:t>~4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582583A" w14:textId="77777777" w:rsidR="007C4598" w:rsidRDefault="00000000">
            <w:pPr>
              <w:spacing w:after="40"/>
            </w:pPr>
            <w:r>
              <w:t>~5</w:t>
            </w:r>
          </w:p>
        </w:tc>
      </w:tr>
    </w:tbl>
    <w:p w14:paraId="3CB98034" w14:textId="77777777" w:rsidR="007C4598" w:rsidRDefault="007C4598"/>
    <w:p w14:paraId="3378161F" w14:textId="77777777" w:rsidR="007C4598" w:rsidRDefault="00000000">
      <w:pPr>
        <w:jc w:val="both"/>
      </w:pPr>
      <w:r>
        <w:rPr>
          <w:i/>
          <w:iCs/>
        </w:rPr>
        <w:t>Tabella 9.6 — Stima prudenziale della componente residua del dominio produttivistico per scenario, secondo l’approccio del capitale umano. Le cifre sono bande prudenziali arrotondate; l’ultima riga è la somma delle due componenti residue. Il valore è la sola componente di output non già attribuita ai domini lavorativo e pensionistico, e non è sommabile con essi se non per la parte qui isolata.</w:t>
      </w:r>
    </w:p>
    <w:p w14:paraId="20F564D4" w14:textId="77777777" w:rsidR="007C4598" w:rsidRDefault="007C4598"/>
    <w:p w14:paraId="0129CA06" w14:textId="77777777" w:rsidR="007C4598" w:rsidRDefault="00000000">
      <w:pPr>
        <w:jc w:val="both"/>
      </w:pPr>
      <w:r>
        <w:t>Il beneficio produttivistico residuo è dunque stimato in un ordine di grandezza compreso tra circa due milioni di euro l’anno nello scenario conservativo e circa cinque milioni nello scenario espansivo, con un valore intermedio dell’ordine di quattro milioni. La modestia della cifra, lungi dall’indicare la scarsa rilevanza della produttività nel computo complessivo, riflette al contrario il rigore della regola di non duplicazione: la gran parte del valore della produttività conservata — quella del lavoratore occupato e quella dell’uscita evitata — è già stata contabilizzata nei domini lavorativo e pensionistico, e ciò che il dominio produttivistico aggiunge è soltanto la quota residua, di mortalità e di capitale umano di lungo periodo, non altrimenti colta. La funzione principale del dominio produttivistico nell’economia della parte non è dunque quella di aggiungere una grandezza cospicua, ma quella di offrire la lente macroeconomica che consente di verificare la coerenza tra le componenti specifiche già attribuite e l’aggregato della perdita di output documentato dalla letteratura, fungendo da controllo della non duplicazione anziché da fonte di valore aggiuntivo.</w:t>
      </w:r>
    </w:p>
    <w:p w14:paraId="3B37F3B7"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31C57703"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C8D7B69" w14:textId="77777777" w:rsidR="007C4598" w:rsidRDefault="00000000">
            <w:pPr>
              <w:spacing w:after="40"/>
            </w:pPr>
            <w:r>
              <w:rPr>
                <w:b/>
                <w:bCs/>
                <w:color w:val="FFFFFF"/>
                <w:sz w:val="18"/>
                <w:szCs w:val="18"/>
              </w:rPr>
              <w:t xml:space="preserve">◆ SEGNAPOSTO INFOGRAFICA — FIG. 9.C · DA INSERIRE A POSTERIORI Titolo previsto: Il dominio produttivistico come lente di sintesi: scomposizione della perdita di output CODICE CANVA-FRIENDLY (scheda di generazione) Tipo di grafico: diagramma a barra unica scomposta che rappresenta l’aggregato della perdita di output da disagio psichico, suddiviso nelle componenti già attribuite ad altri domini (produttività del lavoratore occupato; uscita permanente dal lavoro) e nella sola componente residua del dominio produttivistico (mortalità prematura; capitale umano di lungo periodo). Lettura: una barra orizzontale unica rappresenta l’intera perdita di output; la maggior parte è campita nei colori dei domini lavorativo e pensionistico (a indicare il valore già contabilizzato altrove), e la sola porzione residua, di dimensione contenuta, è campita nel colore del dominio produttivistico ed evidenziata in oro, a indicare la quota effettivamente aggiunta. Palette: porzione già attribuita al dominio lavorativo in blu </w:t>
            </w:r>
            <w:proofErr w:type="spellStart"/>
            <w:r>
              <w:rPr>
                <w:b/>
                <w:bCs/>
                <w:color w:val="FFFFFF"/>
                <w:sz w:val="18"/>
                <w:szCs w:val="18"/>
              </w:rPr>
              <w:t>navy</w:t>
            </w:r>
            <w:proofErr w:type="spellEnd"/>
            <w:r>
              <w:rPr>
                <w:b/>
                <w:bCs/>
                <w:color w:val="FFFFFF"/>
                <w:sz w:val="18"/>
                <w:szCs w:val="18"/>
              </w:rPr>
              <w:t xml:space="preserve"> #16264B; porzione già attribuita al dominio pensionistico in blu medio #244272; porzione residua produttivistica in blu #2E5AA0 con bordo oro #C49A48; etichetta del residuo in oro; griglia in grigio #D8D8D8.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etichette delle porzioni Medium, nota sulla non duplicazione Regular.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Valori da rappresentare (scenario intermedio): porzione lavorativa già attribuita ~38; porzione pensionistica già attribuita ~16; residuo produttivistico ~4 (mortalità ~2; capitale umano ~2). La figura evidenzia che solo ~4 milioni sono aggiunti dal dominio. Variante 3D (consigliata): barra a rilievo isometrico con le porzioni in profondità decrescente; il residuo, in primo piano e bordato d’oro, distinto dalle porzioni già contabilizzate, poste sullo sfondo in tono attenuato. Fonte (piè di figura): Elaborazione dello studio; la figura ha funzione di controllo della non duplicazione tra i domini produttivi; graduazione GRADE bassa per la componente residua. La figura deve rendere evidente che il dominio produttivistico non aggiunge l’intera perdita di output, già in larga parte contabilizzata nei domini lavorativo e pensionistico, ma soltanto la quota residua, e che il suo ruolo è di controllo della coerenza piuttosto che di fonte di valore aggiuntivo.</w:t>
            </w:r>
          </w:p>
          <w:p w14:paraId="0AC45ED6" w14:textId="77777777" w:rsidR="007C4598" w:rsidRDefault="00000000">
            <w:pPr>
              <w:spacing w:before="120" w:after="60"/>
              <w:jc w:val="center"/>
            </w:pPr>
            <w:r>
              <w:rPr>
                <w:noProof/>
              </w:rPr>
              <w:drawing>
                <wp:inline distT="0" distB="0" distL="0" distR="0" wp14:anchorId="019A0109" wp14:editId="0C266BEC">
                  <wp:extent cx="8229600" cy="4629150"/>
                  <wp:effectExtent l="0" t="0" r="0" b="0"/>
                  <wp:docPr id="142" name="Infografica42" descr="Il dominio produttivistico — lente di non duplic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Infografica42"/>
                          <pic:cNvPicPr>
                            <a:picLocks noChangeAspect="1" noChangeArrowheads="1"/>
                          </pic:cNvPicPr>
                        </pic:nvPicPr>
                        <pic:blipFill>
                          <a:blip r:embed="rId73">
                            <a:extLst>
                              <a:ext uri="{96DAC541-7B7A-43D3-8B79-37D633B846F1}">
                                <asvg:svgBlip xmlns:asvg="http://schemas.microsoft.com/office/drawing/2016/SVG/main" r:embed="rId74"/>
                              </a:ext>
                            </a:extLst>
                          </a:blip>
                          <a:stretch>
                            <a:fillRect/>
                          </a:stretch>
                        </pic:blipFill>
                        <pic:spPr bwMode="auto">
                          <a:xfrm>
                            <a:off x="0" y="0"/>
                            <a:ext cx="8229600" cy="4629150"/>
                          </a:xfrm>
                          <a:prstGeom prst="rect">
                            <a:avLst/>
                          </a:prstGeom>
                          <a:noFill/>
                          <a:ln>
                            <a:noFill/>
                          </a:ln>
                        </pic:spPr>
                      </pic:pic>
                    </a:graphicData>
                  </a:graphic>
                </wp:inline>
              </w:drawing>
            </w:r>
          </w:p>
          <w:p w14:paraId="2A76FC9A" w14:textId="77777777" w:rsidR="007C4598" w:rsidRDefault="00000000">
            <w:pPr>
              <w:spacing w:before="40" w:after="200"/>
              <w:jc w:val="center"/>
            </w:pPr>
            <w:r>
              <w:rPr>
                <w:i/>
                <w:color w:val="2E5A8F"/>
                <w:sz w:val="16"/>
                <w:szCs w:val="16"/>
              </w:rPr>
              <w:t>Fig. 9.C — Il dominio produttivistico — lente di non duplicazione. Elaborazione dello studio · Luigi De Michele · Giugno 2026.</w:t>
            </w:r>
          </w:p>
        </w:tc>
      </w:tr>
    </w:tbl>
    <w:p w14:paraId="7F738A79" w14:textId="77777777" w:rsidR="007C4598" w:rsidRDefault="007C4598"/>
    <w:p w14:paraId="0E9442BD" w14:textId="77777777" w:rsidR="007C4598" w:rsidRDefault="00000000">
      <w:pPr>
        <w:pStyle w:val="Titolo2"/>
        <w:spacing w:before="200" w:after="100"/>
      </w:pPr>
      <w:r>
        <w:rPr>
          <w:sz w:val="22"/>
          <w:szCs w:val="22"/>
        </w:rPr>
        <w:t>9.3.5  La graduazione, i confini e la non duplicazione del dominio produttivistico</w:t>
      </w:r>
    </w:p>
    <w:p w14:paraId="68D10D05" w14:textId="77777777" w:rsidR="007C4598" w:rsidRDefault="007C4598"/>
    <w:p w14:paraId="36ED7A25" w14:textId="77777777" w:rsidR="007C4598" w:rsidRDefault="00000000">
      <w:pPr>
        <w:jc w:val="both"/>
      </w:pPr>
      <w:r>
        <w:t>La solidità della stima del dominio produttivistico residuo va dichiarata con franchezza ancora maggiore che per gli altri domini, data la natura degli esiti. L’anello clinico è sostenuto da evidenza da moderata ad alta; ma l’anello che lega l’esito clinico alla conservazione dell’output residuo è sostenuto, per la mortalità prematura, da evidenza di qualità bassa, in ragione della rarità dell’esito e della lunghezza della catena causale, e, per il capitale umano di lungo periodo, da evidenza prevalentemente teorica. La graduazione complessiva del dominio è bassa, la più bassa tra i domini economici, e si traduce in bande prudenziali ampie e in una stima centrale deliberatamente contenuta. La stima del dominio va dunque letta come un ordine di grandezza prudenziale di una componente residua, e non come una misura precisa; la sua principale funzione, lo si ribadisce, non è quantitativa ma di controllo.</w:t>
      </w:r>
    </w:p>
    <w:p w14:paraId="4F73A48C" w14:textId="77777777" w:rsidR="007C4598" w:rsidRDefault="007C4598"/>
    <w:p w14:paraId="227C7729" w14:textId="77777777" w:rsidR="007C4598" w:rsidRDefault="00000000">
      <w:pPr>
        <w:jc w:val="both"/>
      </w:pPr>
      <w:r>
        <w:t>Da questa graduazione discendono i confini e le regole di non duplicazione del dominio produttivistico, le più stringenti dell’intera parte. In primo luogo, il beneficio produttivistico residuo è una grandezza sociale indiretta, non sommata ai risparmi sanitari diretti della parte ottava. In secondo luogo, e in modo decisivo, esso coglie esclusivamente la componente residua di output — mortalità prematura e capitale umano di lungo periodo — e non include in alcun punto né la produttività di breve periodo del lavoratore occupato, integralmente attribuita al dominio lavorativo, né l’uscita permanente dal lavoro, integralmente attribuita al dominio pensionistico. È questa duplice esclusione che impedisce al dominio di duplicare il valore già contabilizzato, e che ne giustifica il trattamento come sintesi residuale. In terzo luogo, esso adotta l’approccio del capitale umano in coerenza con gli altri domini produttivi, senza combinarlo con il metodo del costo per attrito.</w:t>
      </w:r>
      <w:r>
        <w:rPr>
          <w:color w:val="555555"/>
          <w:sz w:val="16"/>
          <w:szCs w:val="16"/>
          <w:vertAlign w:val="superscript"/>
        </w:rPr>
        <w:t>[13]</w:t>
      </w:r>
    </w:p>
    <w:p w14:paraId="1BF433BE" w14:textId="77777777" w:rsidR="007C4598" w:rsidRDefault="007C4598"/>
    <w:p w14:paraId="0271BD52" w14:textId="77777777" w:rsidR="007C4598" w:rsidRDefault="00000000">
      <w:pPr>
        <w:jc w:val="both"/>
      </w:pPr>
      <w:r>
        <w:t>La verifica documentale del dominio produttivistico segue un’agenda mirata alla sua funzione di controllo. Essa richiede l’acquisizione dei dati regionali sulla mortalità prematura a matrice psichica, inclusa quella per suicidio e per l’eccesso di mortalità somatica associato ai disturbi mentali, disaggregati per età, necessari per stimare la componente di output conservato;</w:t>
      </w:r>
      <w:r>
        <w:rPr>
          <w:color w:val="555555"/>
          <w:sz w:val="16"/>
          <w:szCs w:val="16"/>
          <w:vertAlign w:val="superscript"/>
        </w:rPr>
        <w:t>[14]</w:t>
      </w:r>
      <w:r>
        <w:t xml:space="preserve"> e l’elaborazione di parametri sul deterioramento di lungo periodo del capitale umano, desumibili dalla letteratura economica sulle traiettorie professionali, necessari per stimare la componente dinamica.</w:t>
      </w:r>
      <w:r>
        <w:rPr>
          <w:color w:val="555555"/>
          <w:sz w:val="16"/>
          <w:szCs w:val="16"/>
          <w:vertAlign w:val="superscript"/>
        </w:rPr>
        <w:t>[15]</w:t>
      </w:r>
      <w:r>
        <w:t xml:space="preserve"> Soprattutto, la verifica richiede la ricostruzione dell’aggregato regionale della perdita di output da disagio psichico, da confrontare con la somma delle componenti attribuite ai domini lavorativo, pensionistico e produttivistico, affinché il dominio possa svolgere la sua funzione di controllo della non duplicazione. Stabilita la lente macroeconomica e isolata la sua sola componente residua, la rinegoziazione può ora muovere dal terreno della produzione a quello dell’assistenza, con il dominio assistenzialistico e il carico dei </w:t>
      </w:r>
      <w:proofErr w:type="spellStart"/>
      <w:r>
        <w:t>caregiver</w:t>
      </w:r>
      <w:proofErr w:type="spellEnd"/>
      <w:r>
        <w:t>.</w:t>
      </w:r>
    </w:p>
    <w:p w14:paraId="6078963A" w14:textId="77777777" w:rsidR="007C4598" w:rsidRDefault="007C4598"/>
    <w:p w14:paraId="0D282C0E" w14:textId="77777777" w:rsidR="007C4598" w:rsidRDefault="00000000">
      <w:pPr>
        <w:pStyle w:val="Titolo1"/>
        <w:pageBreakBefore/>
      </w:pPr>
      <w:r>
        <w:rPr>
          <w:sz w:val="22"/>
          <w:szCs w:val="22"/>
        </w:rPr>
        <w:t>9.4  Il dominio assistenzialistico</w:t>
      </w:r>
    </w:p>
    <w:p w14:paraId="592EDEAA" w14:textId="77777777" w:rsidR="007C4598" w:rsidRDefault="007C4598"/>
    <w:p w14:paraId="762107D5" w14:textId="77777777" w:rsidR="007C4598" w:rsidRDefault="00000000">
      <w:pPr>
        <w:jc w:val="both"/>
      </w:pPr>
      <w:r>
        <w:rPr>
          <w:i/>
          <w:iCs/>
        </w:rPr>
        <w:t xml:space="preserve">Il quarto dominio del perimetro integrale è l’assistenzialistico, e segna il passaggio dalla prospettiva della produzione a quella dell’assistenza informale. Esso misura il valore che la riduzione del disagio comune restituisce non al paziente, ma a coloro che del paziente si prendono cura: i familiari e i </w:t>
      </w:r>
      <w:proofErr w:type="spellStart"/>
      <w:r>
        <w:rPr>
          <w:i/>
          <w:iCs/>
        </w:rPr>
        <w:t>caregiver</w:t>
      </w:r>
      <w:proofErr w:type="spellEnd"/>
      <w:r>
        <w:rPr>
          <w:i/>
          <w:iCs/>
        </w:rPr>
        <w:t xml:space="preserve"> informali che dedicano tempo, energie e spesso la propria stessa capacità lavorativa all’assistenza di chi soffre di un disturbo psichico non adeguatamente trattato. Il carico assistenziale dei </w:t>
      </w:r>
      <w:proofErr w:type="spellStart"/>
      <w:r>
        <w:rPr>
          <w:i/>
          <w:iCs/>
        </w:rPr>
        <w:t>caregiver</w:t>
      </w:r>
      <w:proofErr w:type="spellEnd"/>
      <w:r>
        <w:rPr>
          <w:i/>
          <w:iCs/>
        </w:rPr>
        <w:t xml:space="preserve"> costituisce una componente rilevante e troppo spesso invisibile del costo sociale della cattiva salute mentale, perché grava su soggetti diversi dal paziente e su un’economia non monetaria — quella della cura familiare — che le statistiche economiche faticano a cogliere. La presa in carico del paziente al primo livello, migliorandone le condizioni, riduce il carico che ricade sui suoi </w:t>
      </w:r>
      <w:proofErr w:type="spellStart"/>
      <w:r>
        <w:rPr>
          <w:i/>
          <w:iCs/>
        </w:rPr>
        <w:t>caregiver</w:t>
      </w:r>
      <w:proofErr w:type="spellEnd"/>
      <w:r>
        <w:rPr>
          <w:i/>
          <w:iCs/>
        </w:rPr>
        <w:t>, e libera il tempo e la capacità che essi destinavano all’assistenza. La voce ricostruisce il contesto del carico assistenziale, ne isola i meccanismi, ne traccia la catena causale, ne stima il beneficio per scenario e ne dichiara la graduazione, i confini e la distinzione dai domini contigui.</w:t>
      </w:r>
    </w:p>
    <w:p w14:paraId="6C365BAE" w14:textId="77777777" w:rsidR="007C4598" w:rsidRDefault="007C4598"/>
    <w:p w14:paraId="7C68123A" w14:textId="77777777" w:rsidR="007C4598" w:rsidRDefault="00000000">
      <w:pPr>
        <w:pStyle w:val="Titolo2"/>
        <w:spacing w:before="200" w:after="100"/>
      </w:pPr>
      <w:r>
        <w:rPr>
          <w:sz w:val="22"/>
          <w:szCs w:val="22"/>
        </w:rPr>
        <w:t xml:space="preserve">9.4.1  Il contesto: il carico dei </w:t>
      </w:r>
      <w:proofErr w:type="spellStart"/>
      <w:r>
        <w:rPr>
          <w:sz w:val="22"/>
          <w:szCs w:val="22"/>
        </w:rPr>
        <w:t>caregiver</w:t>
      </w:r>
      <w:proofErr w:type="spellEnd"/>
      <w:r>
        <w:rPr>
          <w:sz w:val="22"/>
          <w:szCs w:val="22"/>
        </w:rPr>
        <w:t xml:space="preserve"> e l’assistenza informale</w:t>
      </w:r>
    </w:p>
    <w:p w14:paraId="3F902A30" w14:textId="77777777" w:rsidR="007C4598" w:rsidRDefault="007C4598"/>
    <w:p w14:paraId="18AF5BAA" w14:textId="77777777" w:rsidR="007C4598" w:rsidRDefault="00000000">
      <w:pPr>
        <w:jc w:val="both"/>
      </w:pPr>
      <w:r>
        <w:t xml:space="preserve">L’assistenza alle persone affette da disturbi psichici è, in larga parte, assistenza informale, prestata dai familiari e dalle reti di prossimità al di fuori dei servizi formali e senza remunerazione. Questa assistenza informale, pur non comparendo nei bilanci pubblici, ha un valore economico reale e quantificabile, corrispondente al tempo che i </w:t>
      </w:r>
      <w:proofErr w:type="spellStart"/>
      <w:r>
        <w:t>caregiver</w:t>
      </w:r>
      <w:proofErr w:type="spellEnd"/>
      <w:r>
        <w:t xml:space="preserve"> vi dedicano e che sottraggono ad altre attività, comprese quelle lavorative; e ha un costo umano, in termini di affaticamento, isolamento e deterioramento della salute degli stessi </w:t>
      </w:r>
      <w:proofErr w:type="spellStart"/>
      <w:r>
        <w:t>caregiver</w:t>
      </w:r>
      <w:proofErr w:type="spellEnd"/>
      <w:r>
        <w:t>, che il sovraccarico assistenziale prolungato determina. Il carico assistenziale del disagio psichico è, per la natura cronica e relazionale di molti disturbi, particolarmente gravoso, perché richiede una presenza prolungata e una sorveglianza che incidono profondamente sulla vita dei familiari. In Puglia, regione caratterizzata da reti familiari ancora estese ma sottoposte a crescente pressione, il carico assistenziale informale del disagio psichico è di entità significativa, e ricade in misura sproporzionata sulle famiglie, in assenza di servizi di primo livello che lo alleggeriscano.</w:t>
      </w:r>
    </w:p>
    <w:p w14:paraId="1A5C55A3" w14:textId="77777777" w:rsidR="007C4598" w:rsidRDefault="007C4598"/>
    <w:p w14:paraId="634E0FA0" w14:textId="77777777" w:rsidR="007C4598" w:rsidRDefault="00000000">
      <w:pPr>
        <w:jc w:val="both"/>
      </w:pPr>
      <w:r>
        <w:t xml:space="preserve">Il carico assistenziale si manifesta in due forme principali, di natura diversa ma entrambe quantificabili. La prima è il valore del tempo di assistenza informale, ossia delle ore che i </w:t>
      </w:r>
      <w:proofErr w:type="spellStart"/>
      <w:r>
        <w:t>caregiver</w:t>
      </w:r>
      <w:proofErr w:type="spellEnd"/>
      <w:r>
        <w:t xml:space="preserve"> dedicano alla cura del familiare affetto da disturbo psichico, ore che potrebbero essere destinate ad altre attività e il cui valore può essere stimato secondo metodi consolidati. La seconda è costituita dai costi indiretti che i </w:t>
      </w:r>
      <w:proofErr w:type="spellStart"/>
      <w:r>
        <w:t>caregiver</w:t>
      </w:r>
      <w:proofErr w:type="spellEnd"/>
      <w:r>
        <w:t xml:space="preserve"> sostengono in conseguenza dell’impegno assistenziale, e in particolare dalla riduzione della loro stessa partecipazione al lavoro: l’assenteismo, la riduzione dell’orario, e nei casi più gravi l’uscita dal lavoro dei familiari costretti ad assistere. È la somma di queste due forme — il valore del tempo dedicato e i costi indiretti sostenuti — che costituisce la grandezza di ancoraggio del dominio assistenzialistico, e che la riforma può comprimere alleggerendo il carico che il disagio non trattato impone alle famiglie.</w:t>
      </w:r>
    </w:p>
    <w:p w14:paraId="44BA5CEB" w14:textId="77777777" w:rsidR="007C4598" w:rsidRDefault="007C4598"/>
    <w:p w14:paraId="3C8B7D83" w14:textId="77777777" w:rsidR="007C4598" w:rsidRDefault="00000000">
      <w:pPr>
        <w:jc w:val="both"/>
      </w:pPr>
      <w:r>
        <w:t xml:space="preserve">La connessione tra questo carico e il primo livello psicologico opera attraverso il miglioramento delle condizioni del paziente, che riduce l’intensità e la durata dell’assistenza di cui egli necessita. Il paziente intercettato e preso in carico precocemente al primo livello ha maggiore probabilità di conservare la propria autonomia e di richiedere un minore carico assistenziale ai propri familiari; il paziente non intercettato, viceversa, segue una traiettoria di crescente dipendenza che accresce il carico sui </w:t>
      </w:r>
      <w:proofErr w:type="spellStart"/>
      <w:r>
        <w:t>caregiver</w:t>
      </w:r>
      <w:proofErr w:type="spellEnd"/>
      <w:r>
        <w:t xml:space="preserve">. Lo Psicologo di Base, intercettando e trattando il disagio del paziente, agisce indirettamente a beneficio dei suoi </w:t>
      </w:r>
      <w:proofErr w:type="spellStart"/>
      <w:r>
        <w:t>caregiver</w:t>
      </w:r>
      <w:proofErr w:type="spellEnd"/>
      <w:r>
        <w:t xml:space="preserve">, alleggerendone il carico; e il valore che ne deriva — il tempo di assistenza liberato e la capacità lavorativa dei </w:t>
      </w:r>
      <w:proofErr w:type="spellStart"/>
      <w:r>
        <w:t>caregiver</w:t>
      </w:r>
      <w:proofErr w:type="spellEnd"/>
      <w:r>
        <w:t xml:space="preserve"> conservata — è il beneficio che il dominio assistenzialistico misura. Tale beneficio si distribuisce sulle famiglie, che recuperano tempo e capacità, e sulla collettività, che conserva la partecipazione al lavoro dei </w:t>
      </w:r>
      <w:proofErr w:type="spellStart"/>
      <w:r>
        <w:t>caregiver</w:t>
      </w:r>
      <w:proofErr w:type="spellEnd"/>
      <w:r>
        <w:t>.</w:t>
      </w:r>
    </w:p>
    <w:p w14:paraId="4E5AD1C5" w14:textId="77777777" w:rsidR="007C4598" w:rsidRDefault="007C4598"/>
    <w:p w14:paraId="0D2E61D7" w14:textId="77777777" w:rsidR="007C4598" w:rsidRDefault="00000000">
      <w:pPr>
        <w:pStyle w:val="Titolo2"/>
        <w:spacing w:before="200" w:after="100"/>
      </w:pPr>
      <w:r>
        <w:rPr>
          <w:sz w:val="22"/>
          <w:szCs w:val="22"/>
        </w:rPr>
        <w:t xml:space="preserve">9.4.2  I meccanismi: tempo di assistenza e costi indiretti dei </w:t>
      </w:r>
      <w:proofErr w:type="spellStart"/>
      <w:r>
        <w:rPr>
          <w:sz w:val="22"/>
          <w:szCs w:val="22"/>
        </w:rPr>
        <w:t>caregiver</w:t>
      </w:r>
      <w:proofErr w:type="spellEnd"/>
    </w:p>
    <w:p w14:paraId="476C1E77" w14:textId="77777777" w:rsidR="007C4598" w:rsidRDefault="007C4598"/>
    <w:p w14:paraId="19D99F43" w14:textId="77777777" w:rsidR="007C4598" w:rsidRDefault="00000000">
      <w:pPr>
        <w:jc w:val="both"/>
      </w:pPr>
      <w:r>
        <w:t xml:space="preserve">Il dominio assistenzialistico opera attraverso due meccanismi, corrispondenti alle due forme del carico e accomunati dall’alleggerimento dell’onere che ricade sui </w:t>
      </w:r>
      <w:proofErr w:type="spellStart"/>
      <w:r>
        <w:t>caregiver</w:t>
      </w:r>
      <w:proofErr w:type="spellEnd"/>
      <w:r>
        <w:t xml:space="preserve">. Il primo meccanismo è la riduzione del tempo di assistenza informale. Il miglioramento delle condizioni del paziente, conseguente alla presa in carico precoce, riduce le ore di assistenza di cui egli necessita, e libera il tempo che i </w:t>
      </w:r>
      <w:proofErr w:type="spellStart"/>
      <w:r>
        <w:t>caregiver</w:t>
      </w:r>
      <w:proofErr w:type="spellEnd"/>
      <w:r>
        <w:t xml:space="preserve"> vi dedicavano; il valore che ne deriva è quello del tempo liberato, stimabile secondo l’approccio del costo di sostituzione, che valuta l’assistenza informale al costo di un’assistenza professionale equivalente, o secondo l’approccio del costo opportunità, che la valuta al valore delle attività alternative cui i </w:t>
      </w:r>
      <w:proofErr w:type="spellStart"/>
      <w:r>
        <w:t>caregiver</w:t>
      </w:r>
      <w:proofErr w:type="spellEnd"/>
      <w:r>
        <w:t xml:space="preserve"> potrebbero dedicarsi. Coerentemente con il dominio lavorativo, si adotta un criterio prudenziale e dichiarato, evitando la combinazione dei due approcci.</w:t>
      </w:r>
    </w:p>
    <w:p w14:paraId="4CBF939F" w14:textId="77777777" w:rsidR="007C4598" w:rsidRDefault="007C4598"/>
    <w:p w14:paraId="6C8F2322" w14:textId="77777777" w:rsidR="007C4598" w:rsidRDefault="00000000">
      <w:pPr>
        <w:jc w:val="both"/>
      </w:pPr>
      <w:r>
        <w:t xml:space="preserve">Il secondo meccanismo è la riduzione dei costi indiretti che i </w:t>
      </w:r>
      <w:proofErr w:type="spellStart"/>
      <w:r>
        <w:t>caregiver</w:t>
      </w:r>
      <w:proofErr w:type="spellEnd"/>
      <w:r>
        <w:t xml:space="preserve"> sostengono in conseguenza dell’impegno assistenziale, e in particolare della perdita della loro partecipazione al lavoro. Il minore carico assistenziale consente ai </w:t>
      </w:r>
      <w:proofErr w:type="spellStart"/>
      <w:r>
        <w:t>caregiver</w:t>
      </w:r>
      <w:proofErr w:type="spellEnd"/>
      <w:r>
        <w:t xml:space="preserve"> di conservare la propria attività lavorativa, riducendone l’assenteismo, evitandone la riduzione dell’orario e prevenendone l’uscita dal lavoro; il valore che ne deriva è quello della capacità lavorativa dei </w:t>
      </w:r>
      <w:proofErr w:type="spellStart"/>
      <w:r>
        <w:t>caregiver</w:t>
      </w:r>
      <w:proofErr w:type="spellEnd"/>
      <w:r>
        <w:t xml:space="preserve"> conservata. È essenziale osservare che questo secondo meccanismo riguarda la produttività dei </w:t>
      </w:r>
      <w:proofErr w:type="spellStart"/>
      <w:r>
        <w:t>caregiver</w:t>
      </w:r>
      <w:proofErr w:type="spellEnd"/>
      <w:r>
        <w:t xml:space="preserve">, soggetti diversi dal paziente, e non si sovrappone pertanto alla produttività del paziente, già colta dal dominio lavorativo: il dominio lavorativo conta la produttività di chi soffre del disturbo, il dominio assistenzialistico conta la produttività di chi lo assiste, e le due grandezze, riferite a persone diverse, sono distinte e additive. I due meccanismi convergono verso l’alleggerimento del carico dei </w:t>
      </w:r>
      <w:proofErr w:type="spellStart"/>
      <w:r>
        <w:t>caregiver</w:t>
      </w:r>
      <w:proofErr w:type="spellEnd"/>
      <w:r>
        <w:t>, e ne colgono componenti distinte, sommabili tra loro e con i domini precedenti in quanto riferite a soggetti diversi.</w:t>
      </w:r>
    </w:p>
    <w:p w14:paraId="4A43D087" w14:textId="77777777" w:rsidR="007C4598" w:rsidRDefault="007C4598"/>
    <w:p w14:paraId="26A3AA94" w14:textId="77777777" w:rsidR="007C4598" w:rsidRDefault="00000000">
      <w:pPr>
        <w:pStyle w:val="Titolo2"/>
        <w:spacing w:before="200" w:after="100"/>
      </w:pPr>
      <w:r>
        <w:rPr>
          <w:sz w:val="22"/>
          <w:szCs w:val="22"/>
        </w:rPr>
        <w:t>9.4.3  La catena causale del beneficio assistenzialistico</w:t>
      </w:r>
    </w:p>
    <w:p w14:paraId="6FD3B9F1" w14:textId="77777777" w:rsidR="007C4598" w:rsidRDefault="007C4598"/>
    <w:p w14:paraId="28914C03" w14:textId="77777777" w:rsidR="007C4598" w:rsidRDefault="00000000">
      <w:pPr>
        <w:jc w:val="both"/>
      </w:pPr>
      <w:r>
        <w:t xml:space="preserve">La formazione del beneficio assistenzialistico segue una catena causale a più anelli. Il primo anello è clinico: l’intercettazione e il trattamento precoce migliorano le condizioni del paziente e ne accrescono l’autonomia. Questo anello è sostenuto dalla medesima evidenza, da moderata ad alta, che fonda l’efficacia clinica. Il secondo anello è assistenziale: il miglioramento delle condizioni e dell’autonomia del paziente riduce il carico di assistenza che ricade sui </w:t>
      </w:r>
      <w:proofErr w:type="spellStart"/>
      <w:r>
        <w:t>caregiver</w:t>
      </w:r>
      <w:proofErr w:type="spellEnd"/>
      <w:r>
        <w:t xml:space="preserve">, in termini di tempo e di costi indiretti. Questo anello è sostenuto da evidenza coerente ma di qualità variabile, perché la traduzione del miglioramento clinico del paziente in alleggerimento del carico dei </w:t>
      </w:r>
      <w:proofErr w:type="spellStart"/>
      <w:r>
        <w:t>caregiver</w:t>
      </w:r>
      <w:proofErr w:type="spellEnd"/>
      <w:r>
        <w:t xml:space="preserve"> dipende dalla natura del disturbo, dalla struttura familiare e dal contesto assistenziale.</w:t>
      </w:r>
    </w:p>
    <w:p w14:paraId="691DD37F" w14:textId="77777777" w:rsidR="007C4598" w:rsidRDefault="007C4598"/>
    <w:p w14:paraId="3847A91F" w14:textId="77777777" w:rsidR="007C4598" w:rsidRDefault="00000000">
      <w:pPr>
        <w:jc w:val="both"/>
      </w:pPr>
      <w:r>
        <w:t xml:space="preserve">Il terzo anello è economico: l’alleggerimento del carico si traduce in valore economico, sia come tempo di assistenza liberato sia come capacità lavorativa dei </w:t>
      </w:r>
      <w:proofErr w:type="spellStart"/>
      <w:r>
        <w:t>caregiver</w:t>
      </w:r>
      <w:proofErr w:type="spellEnd"/>
      <w:r>
        <w:t xml:space="preserve"> conservata. Questo anello richiede la valutazione monetaria dell’assistenza informale, operazione metodologicamente delicata per la quale si adotta un criterio prudenziale dichiarato. La graduazione complessiva del beneficio assistenzialistico è intermedia, e si traduce in bande prudenziali la cui ampiezza riflette tanto l’incertezza sulla traduzione del miglioramento del paziente in alleggerimento del carico, quanto la difficoltà di valutare monetariamente l’assistenza informale. La catena è governata dalla regola di non duplicazione, che in questo dominio assume una forma peculiare: poiché il beneficio riguarda i </w:t>
      </w:r>
      <w:proofErr w:type="spellStart"/>
      <w:r>
        <w:t>caregiver</w:t>
      </w:r>
      <w:proofErr w:type="spellEnd"/>
      <w:r>
        <w:t>, soggetti diversi dal paziente, esso non si sovrappone ai benefici riferiti al paziente colti dagli altri domini, e la distinzione tra il soggetto assistito e il soggetto assistente garantisce l’additività del dominio.</w:t>
      </w:r>
    </w:p>
    <w:p w14:paraId="302FD903" w14:textId="77777777" w:rsidR="007C4598" w:rsidRDefault="007C4598"/>
    <w:p w14:paraId="36A51E42" w14:textId="77777777" w:rsidR="007C4598" w:rsidRDefault="00000000">
      <w:pPr>
        <w:pStyle w:val="Titolo2"/>
        <w:spacing w:before="200" w:after="100"/>
      </w:pPr>
      <w:r>
        <w:rPr>
          <w:sz w:val="22"/>
          <w:szCs w:val="22"/>
        </w:rPr>
        <w:t>9.4.4  La quantificazione del dominio assistenzialistico</w:t>
      </w:r>
    </w:p>
    <w:p w14:paraId="77869F77" w14:textId="77777777" w:rsidR="007C4598" w:rsidRDefault="007C4598"/>
    <w:p w14:paraId="02A0A21A" w14:textId="77777777" w:rsidR="007C4598" w:rsidRDefault="00000000">
      <w:pPr>
        <w:jc w:val="both"/>
      </w:pPr>
      <w:r>
        <w:t>La quantificazione del dominio assistenzialistico procede secondo il metodo in cinque passaggi, applicato alle due forme del carico, con l’adozione di un criterio prudenziale per la valutazione monetaria dell’assistenza informale. La tabella che segue ricostruisce le due forme del carico e i margini su cui il dominio opera.</w:t>
      </w:r>
    </w:p>
    <w:p w14:paraId="67777B50"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40654B22"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DC28AEC" w14:textId="77777777" w:rsidR="007C4598" w:rsidRDefault="00000000">
            <w:pPr>
              <w:spacing w:after="40"/>
            </w:pPr>
            <w:r>
              <w:rPr>
                <w:b/>
                <w:bCs/>
                <w:color w:val="FFFFFF"/>
                <w:sz w:val="18"/>
                <w:szCs w:val="18"/>
              </w:rPr>
              <w:t>Forma del carico assistenziale</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B586EED" w14:textId="77777777" w:rsidR="007C4598" w:rsidRDefault="00000000">
            <w:pPr>
              <w:spacing w:after="40"/>
            </w:pPr>
            <w:r>
              <w:rPr>
                <w:b/>
                <w:bCs/>
                <w:color w:val="FFFFFF"/>
                <w:sz w:val="18"/>
                <w:szCs w:val="18"/>
              </w:rPr>
              <w:t>Grandezza di ancoraggio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AA46937" w14:textId="77777777" w:rsidR="007C4598" w:rsidRDefault="00000000">
            <w:pPr>
              <w:spacing w:after="40"/>
            </w:pPr>
            <w:r>
              <w:rPr>
                <w:b/>
                <w:bCs/>
                <w:color w:val="FFFFFF"/>
                <w:sz w:val="18"/>
                <w:szCs w:val="18"/>
              </w:rPr>
              <w:t>Componente comprimibile dal primo livello psicologico</w:t>
            </w:r>
          </w:p>
        </w:tc>
      </w:tr>
      <w:tr w:rsidR="007C4598" w14:paraId="13B423A0"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9001D43" w14:textId="77777777" w:rsidR="007C4598" w:rsidRDefault="00000000">
            <w:pPr>
              <w:spacing w:after="40"/>
            </w:pPr>
            <w:r>
              <w:t xml:space="preserve">Tempo di assistenza informale dei </w:t>
            </w:r>
            <w:proofErr w:type="spellStart"/>
            <w:r>
              <w:t>caregiver</w:t>
            </w:r>
            <w:proofErr w:type="spellEnd"/>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46F58DF" w14:textId="77777777" w:rsidR="007C4598" w:rsidRDefault="00000000">
            <w:pPr>
              <w:spacing w:after="40"/>
            </w:pPr>
            <w:r>
              <w:t>ore di assistenza prestata dai familiari al paziente con disturbo psichico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EB1526F" w14:textId="77777777" w:rsidR="007C4598" w:rsidRDefault="00000000">
            <w:pPr>
              <w:spacing w:after="40"/>
            </w:pPr>
            <w:r>
              <w:t>la quota riducibile dal miglioramento delle condizioni e dell’autonomia del paziente</w:t>
            </w:r>
          </w:p>
        </w:tc>
      </w:tr>
      <w:tr w:rsidR="007C4598" w14:paraId="1958B359"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0C7668E" w14:textId="77777777" w:rsidR="007C4598" w:rsidRDefault="00000000">
            <w:pPr>
              <w:spacing w:after="40"/>
            </w:pPr>
            <w:r>
              <w:t xml:space="preserve">Costi indiretti dei </w:t>
            </w:r>
            <w:proofErr w:type="spellStart"/>
            <w:r>
              <w:t>caregiver</w:t>
            </w:r>
            <w:proofErr w:type="spellEnd"/>
            <w:r>
              <w:t xml:space="preserve"> sul lavoro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CB5F640" w14:textId="77777777" w:rsidR="007C4598" w:rsidRDefault="00000000">
            <w:pPr>
              <w:spacing w:after="40"/>
            </w:pPr>
            <w:r>
              <w:t>assenteismo, riduzione dell’orario e uscita dal lavoro dei familiari assistenti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BB4FCF2" w14:textId="77777777" w:rsidR="007C4598" w:rsidRDefault="00000000">
            <w:pPr>
              <w:spacing w:after="40"/>
            </w:pPr>
            <w:r>
              <w:t>la quota evitabile dal minor carico assistenziale, riferita a soggetti diversi dal paziente</w:t>
            </w:r>
          </w:p>
        </w:tc>
      </w:tr>
    </w:tbl>
    <w:p w14:paraId="7AE5124E" w14:textId="77777777" w:rsidR="007C4598" w:rsidRDefault="007C4598"/>
    <w:p w14:paraId="40FC2449" w14:textId="77777777" w:rsidR="007C4598" w:rsidRDefault="00000000">
      <w:pPr>
        <w:jc w:val="both"/>
      </w:pPr>
      <w:r>
        <w:rPr>
          <w:i/>
          <w:iCs/>
        </w:rPr>
        <w:t xml:space="preserve">Tabella 9.7 — Le forme del carico assistenziale dei </w:t>
      </w:r>
      <w:proofErr w:type="spellStart"/>
      <w:r>
        <w:rPr>
          <w:i/>
          <w:iCs/>
        </w:rPr>
        <w:t>caregiver</w:t>
      </w:r>
      <w:proofErr w:type="spellEnd"/>
      <w:r>
        <w:rPr>
          <w:i/>
          <w:iCs/>
        </w:rPr>
        <w:t xml:space="preserve"> e i margini di compressione. Le grandezze sono ricostruite sulle fonti disponibili e saranno sostituite dai dati certificati regionali non appena acquisiti; le componenti comprimibili riguardano i </w:t>
      </w:r>
      <w:proofErr w:type="spellStart"/>
      <w:r>
        <w:rPr>
          <w:i/>
          <w:iCs/>
        </w:rPr>
        <w:t>caregiver</w:t>
      </w:r>
      <w:proofErr w:type="spellEnd"/>
      <w:r>
        <w:rPr>
          <w:i/>
          <w:iCs/>
        </w:rPr>
        <w:t>, soggetti diversi dal paziente, sicché il dominio è additivo rispetto a quelli riferiti al paziente.</w:t>
      </w:r>
    </w:p>
    <w:p w14:paraId="2408D837" w14:textId="77777777" w:rsidR="007C4598" w:rsidRDefault="007C4598"/>
    <w:p w14:paraId="025B8BB4" w14:textId="77777777" w:rsidR="007C4598" w:rsidRDefault="00000000">
      <w:pPr>
        <w:jc w:val="both"/>
      </w:pPr>
      <w:r>
        <w:t xml:space="preserve">Sulla base di questo quadro, la stima del beneficio assistenzialistico è articolata nelle due componenti e per ciascuno dei tre scenari di copertura. La componente del tempo di assistenza informale liberato costituisce la quota maggiore del beneficio, in ragione dell’ampiezza dell’assistenza informale prestata dalle famiglie; la componente dei costi indiretti dei </w:t>
      </w:r>
      <w:proofErr w:type="spellStart"/>
      <w:r>
        <w:t>caregiver</w:t>
      </w:r>
      <w:proofErr w:type="spellEnd"/>
      <w:r>
        <w:t xml:space="preserve"> costituisce la quota intermedia. La tabella che segue espone la stima per componente e per scenario.</w:t>
      </w:r>
    </w:p>
    <w:p w14:paraId="0D0B2414"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6503A7C5"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F73C2C5" w14:textId="77777777" w:rsidR="007C4598" w:rsidRDefault="00000000">
            <w:pPr>
              <w:spacing w:after="40"/>
            </w:pPr>
            <w:r>
              <w:rPr>
                <w:b/>
                <w:bCs/>
                <w:color w:val="FFFFFF"/>
                <w:sz w:val="18"/>
                <w:szCs w:val="18"/>
              </w:rPr>
              <w:t>Componente del beneficio assistenzialistico (mln €/anno)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703F68C" w14:textId="77777777" w:rsidR="007C4598" w:rsidRDefault="00000000">
            <w:pPr>
              <w:spacing w:after="40"/>
            </w:pPr>
            <w:r>
              <w:rPr>
                <w:b/>
                <w:bCs/>
                <w:color w:val="FFFFFF"/>
                <w:sz w:val="18"/>
                <w:szCs w:val="18"/>
              </w:rPr>
              <w:t>Conservativo (~450)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E160E23" w14:textId="77777777" w:rsidR="007C4598" w:rsidRDefault="00000000">
            <w:pPr>
              <w:spacing w:after="40"/>
            </w:pPr>
            <w:r>
              <w:rPr>
                <w:b/>
                <w:bCs/>
                <w:color w:val="FFFFFF"/>
                <w:sz w:val="18"/>
                <w:szCs w:val="18"/>
              </w:rPr>
              <w:t>Intermedio (~700)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F290DCF" w14:textId="77777777" w:rsidR="007C4598" w:rsidRDefault="00000000">
            <w:pPr>
              <w:spacing w:after="40"/>
            </w:pPr>
            <w:r>
              <w:rPr>
                <w:b/>
                <w:bCs/>
                <w:color w:val="FFFFFF"/>
                <w:sz w:val="18"/>
                <w:szCs w:val="18"/>
              </w:rPr>
              <w:t>Espansivo (~900)</w:t>
            </w:r>
          </w:p>
        </w:tc>
      </w:tr>
      <w:tr w:rsidR="007C4598" w14:paraId="50A6C7FC"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8482E38" w14:textId="77777777" w:rsidR="007C4598" w:rsidRDefault="00000000">
            <w:pPr>
              <w:spacing w:after="40"/>
            </w:pPr>
            <w:r>
              <w:t>Valore del tempo di assistenza informale risparmiato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4220BA2" w14:textId="77777777" w:rsidR="007C4598" w:rsidRDefault="00000000">
            <w:pPr>
              <w:spacing w:after="40"/>
            </w:pPr>
            <w:r>
              <w:t>~5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9253845" w14:textId="77777777" w:rsidR="007C4598" w:rsidRDefault="00000000">
            <w:pPr>
              <w:spacing w:after="40"/>
            </w:pPr>
            <w:r>
              <w:t>~7</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3EC708D" w14:textId="77777777" w:rsidR="007C4598" w:rsidRDefault="00000000">
            <w:pPr>
              <w:spacing w:after="40"/>
            </w:pPr>
            <w:r>
              <w:t>~10</w:t>
            </w:r>
          </w:p>
        </w:tc>
      </w:tr>
      <w:tr w:rsidR="007C4598" w14:paraId="72FCABF1"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952E4A4" w14:textId="77777777" w:rsidR="007C4598" w:rsidRDefault="00000000">
            <w:pPr>
              <w:spacing w:after="40"/>
            </w:pPr>
            <w:r>
              <w:t xml:space="preserve">Riduzione dei costi indiretti dei </w:t>
            </w:r>
            <w:proofErr w:type="spellStart"/>
            <w:r>
              <w:t>caregiver</w:t>
            </w:r>
            <w:proofErr w:type="spellEnd"/>
            <w:r>
              <w:t xml:space="preserve"> sul lavoro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C1A361A" w14:textId="77777777" w:rsidR="007C4598" w:rsidRDefault="00000000">
            <w:pPr>
              <w:spacing w:after="40"/>
            </w:pPr>
            <w:r>
              <w:t>~3</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49A6B12" w14:textId="77777777" w:rsidR="007C4598" w:rsidRDefault="00000000">
            <w:pPr>
              <w:spacing w:after="40"/>
            </w:pPr>
            <w:r>
              <w:t>~4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30A7378" w14:textId="77777777" w:rsidR="007C4598" w:rsidRDefault="00000000">
            <w:pPr>
              <w:spacing w:after="40"/>
            </w:pPr>
            <w:r>
              <w:t>~5</w:t>
            </w:r>
          </w:p>
        </w:tc>
      </w:tr>
      <w:tr w:rsidR="007C4598" w14:paraId="6488B59A"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25D2539" w14:textId="77777777" w:rsidR="007C4598" w:rsidRDefault="00000000">
            <w:pPr>
              <w:spacing w:after="40"/>
            </w:pPr>
            <w:r>
              <w:t>Beneficio assistenzialistico indiretto del dominio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A69F278" w14:textId="77777777" w:rsidR="007C4598" w:rsidRDefault="00000000">
            <w:pPr>
              <w:spacing w:after="40"/>
            </w:pPr>
            <w:r>
              <w:t>~8</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D87BB9D" w14:textId="77777777" w:rsidR="007C4598" w:rsidRDefault="00000000">
            <w:pPr>
              <w:spacing w:after="40"/>
            </w:pPr>
            <w:r>
              <w:t>~11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B353D98" w14:textId="77777777" w:rsidR="007C4598" w:rsidRDefault="00000000">
            <w:pPr>
              <w:spacing w:after="40"/>
            </w:pPr>
            <w:r>
              <w:t>~15</w:t>
            </w:r>
          </w:p>
        </w:tc>
      </w:tr>
    </w:tbl>
    <w:p w14:paraId="6BABB66D" w14:textId="77777777" w:rsidR="007C4598" w:rsidRDefault="007C4598"/>
    <w:p w14:paraId="35825980" w14:textId="77777777" w:rsidR="007C4598" w:rsidRDefault="00000000">
      <w:pPr>
        <w:jc w:val="both"/>
      </w:pPr>
      <w:r>
        <w:rPr>
          <w:i/>
          <w:iCs/>
        </w:rPr>
        <w:t xml:space="preserve">Tabella 9.8 — Stima prudenziale del beneficio del dominio assistenzialistico per scenario. Le cifre sono bande prudenziali arrotondate; l’ultima riga è la somma delle due componenti. Il valore riguarda i </w:t>
      </w:r>
      <w:proofErr w:type="spellStart"/>
      <w:r>
        <w:rPr>
          <w:i/>
          <w:iCs/>
        </w:rPr>
        <w:t>caregiver</w:t>
      </w:r>
      <w:proofErr w:type="spellEnd"/>
      <w:r>
        <w:rPr>
          <w:i/>
          <w:iCs/>
        </w:rPr>
        <w:t>, soggetti diversi dal paziente, ed è additivo rispetto ai domini riferiti al paziente; non è sommabile con i risparmi sanitari diretti della parte ottava.</w:t>
      </w:r>
    </w:p>
    <w:p w14:paraId="64B05E89" w14:textId="77777777" w:rsidR="007C4598" w:rsidRDefault="007C4598"/>
    <w:p w14:paraId="5D27A235" w14:textId="77777777" w:rsidR="007C4598" w:rsidRDefault="00000000">
      <w:pPr>
        <w:jc w:val="both"/>
      </w:pPr>
      <w:r>
        <w:t xml:space="preserve">Il beneficio assistenzialistico indiretto è dunque stimato in un ordine di grandezza compreso tra circa otto milioni di euro l’anno nello scenario conservativo e circa quindici milioni nello scenario espansivo, con un valore intermedio dell’ordine di undici milioni. La cifra riflette il peso rilevante, e troppo spesso ignorato, dell’assistenza informale nel costo sociale del disagio psichico: il tempo che le famiglie dedicano alla cura dei propri membri affetti da disturbi mentali è una risorsa economica reale, il cui alleggerimento costituisce un beneficio genuino della riforma, distribuito sulle famiglie e sulla collettività. La preminenza della componente del tempo di assistenza, in particolare, riflette l’ampiezza dell’economia non monetaria della cura familiare, che la presa in carico al primo livello contribuisce a sgravare. La natura additiva del dominio rispetto a quelli riferiti al paziente — garantita dalla diversità del soggetto, il </w:t>
      </w:r>
      <w:proofErr w:type="spellStart"/>
      <w:r>
        <w:t>caregiver</w:t>
      </w:r>
      <w:proofErr w:type="spellEnd"/>
      <w:r>
        <w:t xml:space="preserve"> anziché il paziente — ne fa una componente che si somma legittimamente ai domini precedenti senza duplicarne il valore.</w:t>
      </w:r>
    </w:p>
    <w:p w14:paraId="5486AF6F"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5061D836"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E05098B" w14:textId="77777777" w:rsidR="007C4598" w:rsidRDefault="00000000">
            <w:pPr>
              <w:spacing w:after="40"/>
            </w:pPr>
            <w:r>
              <w:rPr>
                <w:b/>
                <w:bCs/>
                <w:color w:val="FFFFFF"/>
                <w:sz w:val="18"/>
                <w:szCs w:val="18"/>
              </w:rPr>
              <w:t xml:space="preserve">◆ SEGNAPOSTO INFOGRAFICA — FIG. 9.D · DA INSERIRE A POSTERIORI Titolo previsto: Il dominio assistenzialistico: il carico dei </w:t>
            </w:r>
            <w:proofErr w:type="spellStart"/>
            <w:r>
              <w:rPr>
                <w:b/>
                <w:bCs/>
                <w:color w:val="FFFFFF"/>
                <w:sz w:val="18"/>
                <w:szCs w:val="18"/>
              </w:rPr>
              <w:t>caregiver</w:t>
            </w:r>
            <w:proofErr w:type="spellEnd"/>
            <w:r>
              <w:rPr>
                <w:b/>
                <w:bCs/>
                <w:color w:val="FFFFFF"/>
                <w:sz w:val="18"/>
                <w:szCs w:val="18"/>
              </w:rPr>
              <w:t xml:space="preserve"> alleggerito — Puglia CODICE CANVA-FRIENDLY (scheda di generazione) Tipo di grafico: diagramma a barre orizzontali raggruppate per i tre scenari di copertura, ciascuna barra scomposta nelle due componenti del beneficio (tempo di assistenza informale risparmiato; costi indiretti dei </w:t>
            </w:r>
            <w:proofErr w:type="spellStart"/>
            <w:r>
              <w:rPr>
                <w:b/>
                <w:bCs/>
                <w:color w:val="FFFFFF"/>
                <w:sz w:val="18"/>
                <w:szCs w:val="18"/>
              </w:rPr>
              <w:t>caregiver</w:t>
            </w:r>
            <w:proofErr w:type="spellEnd"/>
            <w:r>
              <w:rPr>
                <w:b/>
                <w:bCs/>
                <w:color w:val="FFFFFF"/>
                <w:sz w:val="18"/>
                <w:szCs w:val="18"/>
              </w:rPr>
              <w:t xml:space="preserve"> sul lavoro), con etichetta del totale di dominio e annotazione che il soggetto è il </w:t>
            </w:r>
            <w:proofErr w:type="spellStart"/>
            <w:r>
              <w:rPr>
                <w:b/>
                <w:bCs/>
                <w:color w:val="FFFFFF"/>
                <w:sz w:val="18"/>
                <w:szCs w:val="18"/>
              </w:rPr>
              <w:t>caregiver</w:t>
            </w:r>
            <w:proofErr w:type="spellEnd"/>
            <w:r>
              <w:rPr>
                <w:b/>
                <w:bCs/>
                <w:color w:val="FFFFFF"/>
                <w:sz w:val="18"/>
                <w:szCs w:val="18"/>
              </w:rPr>
              <w:t xml:space="preserve">, distinto dal paziente. Lettura: tre gruppi di barre (Conservativo, Intermedio, Espansivo) la cui lunghezza complessiva corrisponde al beneficio totale del dominio (8, 11 e 15 milioni); la scomposizione mostra il peso prevalente del tempo di assistenza informale, componente dell’economia non monetaria della cura familiare. Palette: componente tempo di assistenza in blu </w:t>
            </w:r>
            <w:proofErr w:type="spellStart"/>
            <w:r>
              <w:rPr>
                <w:b/>
                <w:bCs/>
                <w:color w:val="FFFFFF"/>
                <w:sz w:val="18"/>
                <w:szCs w:val="18"/>
              </w:rPr>
              <w:t>navy</w:t>
            </w:r>
            <w:proofErr w:type="spellEnd"/>
            <w:r>
              <w:rPr>
                <w:b/>
                <w:bCs/>
                <w:color w:val="FFFFFF"/>
                <w:sz w:val="18"/>
                <w:szCs w:val="18"/>
              </w:rPr>
              <w:t xml:space="preserve"> #16264B; componente costi indiretti dei </w:t>
            </w:r>
            <w:proofErr w:type="spellStart"/>
            <w:r>
              <w:rPr>
                <w:b/>
                <w:bCs/>
                <w:color w:val="FFFFFF"/>
                <w:sz w:val="18"/>
                <w:szCs w:val="18"/>
              </w:rPr>
              <w:t>caregiver</w:t>
            </w:r>
            <w:proofErr w:type="spellEnd"/>
            <w:r>
              <w:rPr>
                <w:b/>
                <w:bCs/>
                <w:color w:val="FFFFFF"/>
                <w:sz w:val="18"/>
                <w:szCs w:val="18"/>
              </w:rPr>
              <w:t xml:space="preserve"> in blu medio #244272; etichetta del totale di dominio in oro #C49A48; griglia in grigio #D8D8D8.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etichette degli scenari </w:t>
            </w:r>
            <w:proofErr w:type="spellStart"/>
            <w:r>
              <w:rPr>
                <w:b/>
                <w:bCs/>
                <w:color w:val="FFFFFF"/>
                <w:sz w:val="18"/>
                <w:szCs w:val="18"/>
              </w:rPr>
              <w:t>Bold</w:t>
            </w:r>
            <w:proofErr w:type="spellEnd"/>
            <w:r>
              <w:rPr>
                <w:b/>
                <w:bCs/>
                <w:color w:val="FFFFFF"/>
                <w:sz w:val="18"/>
                <w:szCs w:val="18"/>
              </w:rPr>
              <w:t xml:space="preserve">, valori Medium, annotazione sul soggetto Regular corsivo.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xml:space="preserve">. Valori da rappresentare: Conservativo — tempo di assistenza ~5; costi indiretti ~3; totale ~8. Intermedio — ~7; ~4; totale ~11. Espansivo — ~10; ~5; totale ~15. Variante 3D (consigliata): barre a rilievo isometrico con le due componenti impilate in profondità; annotazione grafica che distingue il soggetto del dominio (il </w:t>
            </w:r>
            <w:proofErr w:type="spellStart"/>
            <w:r>
              <w:rPr>
                <w:b/>
                <w:bCs/>
                <w:color w:val="FFFFFF"/>
                <w:sz w:val="18"/>
                <w:szCs w:val="18"/>
              </w:rPr>
              <w:t>caregiver</w:t>
            </w:r>
            <w:proofErr w:type="spellEnd"/>
            <w:r>
              <w:rPr>
                <w:b/>
                <w:bCs/>
                <w:color w:val="FFFFFF"/>
                <w:sz w:val="18"/>
                <w:szCs w:val="18"/>
              </w:rPr>
              <w:t xml:space="preserve">) dal soggetto dei domini precedenti (il paziente), a sottolineare l’additività. Fonte (piè di figura): Elaborazione dello studio; metodi di valutazione dell’assistenza informale (costo di sostituzione, costo opportunità); graduazione GRADE intermedia. La figura deve rendere evidente che il dominio assistenzialistico riguarda i </w:t>
            </w:r>
            <w:proofErr w:type="spellStart"/>
            <w:r>
              <w:rPr>
                <w:b/>
                <w:bCs/>
                <w:color w:val="FFFFFF"/>
                <w:sz w:val="18"/>
                <w:szCs w:val="18"/>
              </w:rPr>
              <w:t>caregiver</w:t>
            </w:r>
            <w:proofErr w:type="spellEnd"/>
            <w:r>
              <w:rPr>
                <w:b/>
                <w:bCs/>
                <w:color w:val="FFFFFF"/>
                <w:sz w:val="18"/>
                <w:szCs w:val="18"/>
              </w:rPr>
              <w:t>, soggetti diversi dal paziente, e che è perciò additivo rispetto ai domini precedenti; e che la componente prevalente è il valore del tempo di assistenza informale liberato alle famiglie.</w:t>
            </w:r>
          </w:p>
          <w:p w14:paraId="324BF9A1" w14:textId="77777777" w:rsidR="007C4598" w:rsidRDefault="00000000">
            <w:pPr>
              <w:spacing w:before="120" w:after="60"/>
              <w:jc w:val="center"/>
            </w:pPr>
            <w:r>
              <w:rPr>
                <w:noProof/>
              </w:rPr>
              <w:drawing>
                <wp:inline distT="0" distB="0" distL="0" distR="0" wp14:anchorId="3906F24F" wp14:editId="5A8AA12B">
                  <wp:extent cx="8229600" cy="4629150"/>
                  <wp:effectExtent l="0" t="0" r="0" b="0"/>
                  <wp:docPr id="143" name="Infografica43" descr="Il dominio assistenzialistico: carico dei careg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Infografica43"/>
                          <pic:cNvPicPr>
                            <a:picLocks noChangeAspect="1" noChangeArrowheads="1"/>
                          </pic:cNvPicPr>
                        </pic:nvPicPr>
                        <pic:blipFill>
                          <a:blip r:embed="rId75">
                            <a:extLst>
                              <a:ext uri="{96DAC541-7B7A-43D3-8B79-37D633B846F1}">
                                <asvg:svgBlip xmlns:asvg="http://schemas.microsoft.com/office/drawing/2016/SVG/main" r:embed="rId76"/>
                              </a:ext>
                            </a:extLst>
                          </a:blip>
                          <a:stretch>
                            <a:fillRect/>
                          </a:stretch>
                        </pic:blipFill>
                        <pic:spPr bwMode="auto">
                          <a:xfrm>
                            <a:off x="0" y="0"/>
                            <a:ext cx="8229600" cy="4629150"/>
                          </a:xfrm>
                          <a:prstGeom prst="rect">
                            <a:avLst/>
                          </a:prstGeom>
                          <a:noFill/>
                          <a:ln>
                            <a:noFill/>
                          </a:ln>
                        </pic:spPr>
                      </pic:pic>
                    </a:graphicData>
                  </a:graphic>
                </wp:inline>
              </w:drawing>
            </w:r>
          </w:p>
          <w:p w14:paraId="27B4710D" w14:textId="77777777" w:rsidR="007C4598" w:rsidRDefault="00000000">
            <w:pPr>
              <w:spacing w:before="40" w:after="200"/>
              <w:jc w:val="center"/>
            </w:pPr>
            <w:r>
              <w:rPr>
                <w:i/>
                <w:color w:val="2E5A8F"/>
                <w:sz w:val="16"/>
                <w:szCs w:val="16"/>
              </w:rPr>
              <w:t xml:space="preserve">Fig. 9.D — Il dominio assistenzialistico: carico dei </w:t>
            </w:r>
            <w:proofErr w:type="spellStart"/>
            <w:r>
              <w:rPr>
                <w:i/>
                <w:color w:val="2E5A8F"/>
                <w:sz w:val="16"/>
                <w:szCs w:val="16"/>
              </w:rPr>
              <w:t>caregiver</w:t>
            </w:r>
            <w:proofErr w:type="spellEnd"/>
            <w:r>
              <w:rPr>
                <w:i/>
                <w:color w:val="2E5A8F"/>
                <w:sz w:val="16"/>
                <w:szCs w:val="16"/>
              </w:rPr>
              <w:t>. Elaborazione dello studio · Luigi De Michele · Giugno 2026.</w:t>
            </w:r>
          </w:p>
        </w:tc>
      </w:tr>
    </w:tbl>
    <w:p w14:paraId="54B07D50" w14:textId="77777777" w:rsidR="007C4598" w:rsidRDefault="007C4598"/>
    <w:p w14:paraId="11C43CE8" w14:textId="77777777" w:rsidR="007C4598" w:rsidRDefault="00000000">
      <w:pPr>
        <w:pStyle w:val="Titolo2"/>
        <w:spacing w:before="200" w:after="100"/>
      </w:pPr>
      <w:r>
        <w:rPr>
          <w:sz w:val="22"/>
          <w:szCs w:val="22"/>
        </w:rPr>
        <w:t>9.4.5  La graduazione, i confini e la distinzione del dominio assistenzialistico</w:t>
      </w:r>
    </w:p>
    <w:p w14:paraId="306157C4" w14:textId="77777777" w:rsidR="007C4598" w:rsidRDefault="007C4598"/>
    <w:p w14:paraId="2170B89F" w14:textId="77777777" w:rsidR="007C4598" w:rsidRDefault="00000000">
      <w:pPr>
        <w:jc w:val="both"/>
      </w:pPr>
      <w:r>
        <w:t>La solidità della stima del dominio assistenzialistico va dichiarata. L’anello clinico è sostenuto da evidenza da moderata ad alta; l’anello assistenziale, da evidenza coerente ma di qualità variabile, in ragione della mediazione esercitata dalla natura del disturbo e dalla struttura familiare; l’anello economico è soggetto alla delicatezza della valutazione monetaria dell’assistenza informale, per la quale si adotta un criterio prudenziale dichiarato. La graduazione complessiva del dominio è intermedia, e si traduce in bande prudenziali la cui ampiezza riflette la duplice incertezza, sulla traduzione clinico-assistenziale e sulla valutazione dell’assistenza informale.</w:t>
      </w:r>
      <w:r>
        <w:rPr>
          <w:color w:val="555555"/>
          <w:sz w:val="16"/>
          <w:szCs w:val="16"/>
          <w:vertAlign w:val="superscript"/>
        </w:rPr>
        <w:t>[16]</w:t>
      </w:r>
      <w:r>
        <w:t xml:space="preserve"> La stima centrale del dominio va dunque letta come il punto mediano di un intervallo, e la sua prudenza riflette la difficoltà intrinseca di monetizzare l’economia della cura familiare.</w:t>
      </w:r>
    </w:p>
    <w:p w14:paraId="7C676AFF" w14:textId="77777777" w:rsidR="007C4598" w:rsidRDefault="007C4598"/>
    <w:p w14:paraId="2680C488" w14:textId="77777777" w:rsidR="007C4598" w:rsidRDefault="00000000">
      <w:pPr>
        <w:jc w:val="both"/>
      </w:pPr>
      <w:r>
        <w:t xml:space="preserve">Da questa graduazione discendono i confini e le regole di non duplicazione del dominio assistenzialistico, che hanno in questo dominio una forma peculiare. In primo luogo, il beneficio assistenzialistico è una grandezza sociale indiretta, non sommata ai risparmi sanitari diretti della parte ottava. In secondo luogo, e in modo caratteristico, esso riguarda i </w:t>
      </w:r>
      <w:proofErr w:type="spellStart"/>
      <w:r>
        <w:t>caregiver</w:t>
      </w:r>
      <w:proofErr w:type="spellEnd"/>
      <w:r>
        <w:t xml:space="preserve">, soggetti diversi dal paziente, e per questa ragione è additivo rispetto ai domini riferiti al paziente: la produttività del </w:t>
      </w:r>
      <w:proofErr w:type="spellStart"/>
      <w:r>
        <w:t>caregiver</w:t>
      </w:r>
      <w:proofErr w:type="spellEnd"/>
      <w:r>
        <w:t xml:space="preserve"> conservata, in particolare, non si sovrappone alla produttività del paziente colta dal dominio lavorativo, perché si tratta di persone diverse, e le due grandezze sono distinte e sommabili.</w:t>
      </w:r>
      <w:r>
        <w:rPr>
          <w:color w:val="555555"/>
          <w:sz w:val="16"/>
          <w:szCs w:val="16"/>
          <w:vertAlign w:val="superscript"/>
        </w:rPr>
        <w:t>[17]</w:t>
      </w:r>
      <w:r>
        <w:t xml:space="preserve"> In terzo luogo, la valutazione dell’assistenza informale adotta un criterio prudenziale dichiarato — costo di sostituzione o costo opportunità — senza combinare i due approcci. La peculiarità del dominio assistenzialistico è dunque quella di fondare la propria additività non su una distinzione di componenti, ma su una distinzione di soggetti, il che lo rende uno dei domini più chiaramente additivi dell’intera parte.</w:t>
      </w:r>
    </w:p>
    <w:p w14:paraId="35004DAE" w14:textId="77777777" w:rsidR="007C4598" w:rsidRDefault="007C4598"/>
    <w:p w14:paraId="67B0CF7F" w14:textId="77777777" w:rsidR="007C4598" w:rsidRDefault="00000000">
      <w:pPr>
        <w:jc w:val="both"/>
      </w:pPr>
      <w:r>
        <w:t xml:space="preserve">La verifica documentale del dominio assistenzialistico segue un’agenda precisa. Essa richiede l’acquisizione di dati e indagini sul carico assistenziale dei </w:t>
      </w:r>
      <w:proofErr w:type="spellStart"/>
      <w:r>
        <w:t>caregiver</w:t>
      </w:r>
      <w:proofErr w:type="spellEnd"/>
      <w:r>
        <w:t xml:space="preserve"> delle persone con disturbi psichici in Puglia, sulle ore di assistenza informale prestata e sul suo impatto sulla partecipazione al lavoro dei familiari, dati prevalentemente desumibili da indagini dedicate piuttosto che da fonti amministrative; e l’elaborazione dei parametri per la valutazione monetaria dell’assistenza informale, secondo il criterio prudenziale prescelto. L’acquisizione di questi dati, prevista nella fase di consolidamento, consentirà di restringere la banda del beneficio assistenzialistico e di precisarne la stima. Stabilito il valore dell’alleggerimento del carico dei </w:t>
      </w:r>
      <w:proofErr w:type="spellStart"/>
      <w:r>
        <w:t>caregiver</w:t>
      </w:r>
      <w:proofErr w:type="spellEnd"/>
      <w:r>
        <w:t xml:space="preserve">, la rinegoziazione può ora muovere verso il dominio strettamente connesso del welfare, che misura le prestazioni assistenziali non previdenziali, distinte tanto dall’assistenza informale dei </w:t>
      </w:r>
      <w:proofErr w:type="spellStart"/>
      <w:r>
        <w:t>caregiver</w:t>
      </w:r>
      <w:proofErr w:type="spellEnd"/>
      <w:r>
        <w:t xml:space="preserve"> quanto dalle prestazioni previdenziali del dominio pensionistico.</w:t>
      </w:r>
    </w:p>
    <w:p w14:paraId="05151953" w14:textId="77777777" w:rsidR="007C4598" w:rsidRDefault="007C4598"/>
    <w:p w14:paraId="157944FF" w14:textId="77777777" w:rsidR="007C4598" w:rsidRDefault="00000000">
      <w:pPr>
        <w:pStyle w:val="Titolo1"/>
        <w:pageBreakBefore/>
      </w:pPr>
      <w:r>
        <w:rPr>
          <w:sz w:val="22"/>
          <w:szCs w:val="22"/>
        </w:rPr>
        <w:t xml:space="preserve">9.5  Il dominio </w:t>
      </w:r>
      <w:proofErr w:type="spellStart"/>
      <w:r>
        <w:rPr>
          <w:sz w:val="22"/>
          <w:szCs w:val="22"/>
        </w:rPr>
        <w:t>welfaristico</w:t>
      </w:r>
      <w:proofErr w:type="spellEnd"/>
    </w:p>
    <w:p w14:paraId="685894D2" w14:textId="77777777" w:rsidR="007C4598" w:rsidRDefault="007C4598"/>
    <w:p w14:paraId="2952203F" w14:textId="77777777" w:rsidR="007C4598" w:rsidRDefault="00000000">
      <w:pPr>
        <w:jc w:val="both"/>
      </w:pPr>
      <w:r>
        <w:rPr>
          <w:i/>
          <w:iCs/>
        </w:rPr>
        <w:t xml:space="preserve">Il quinto dominio del perimetro integrale è il </w:t>
      </w:r>
      <w:proofErr w:type="spellStart"/>
      <w:r>
        <w:rPr>
          <w:i/>
          <w:iCs/>
        </w:rPr>
        <w:t>welfaristico</w:t>
      </w:r>
      <w:proofErr w:type="spellEnd"/>
      <w:r>
        <w:rPr>
          <w:i/>
          <w:iCs/>
        </w:rPr>
        <w:t xml:space="preserve">, strettamente connesso ai domini pensionistico e assistenzialistico e da entrambi rigorosamente distinto. Esso misura il valore che la riduzione del disagio comune restituisce attraverso la minore erogazione delle prestazioni assistenziali non previdenziali: le indennità e le prestazioni che lo Stato eroga a sostegno delle persone in condizione di disabilità o di disagio socio-economico, indipendentemente dalla loro storia contributiva, e che il disagio psichico non trattato contribuisce ad attivare. Il dominio si distingue nettamente dal pensionistico, che misura le prestazioni previdenziali fondate sulla contribuzione, e dall’assistenzialistico, che misura l’assistenza informale prestata dai familiari: il </w:t>
      </w:r>
      <w:proofErr w:type="spellStart"/>
      <w:r>
        <w:rPr>
          <w:i/>
          <w:iCs/>
        </w:rPr>
        <w:t>welfaristico</w:t>
      </w:r>
      <w:proofErr w:type="spellEnd"/>
      <w:r>
        <w:rPr>
          <w:i/>
          <w:iCs/>
        </w:rPr>
        <w:t xml:space="preserve"> coglie le sole prestazioni assistenziali formali, erogate dallo Stato su base non contributiva. La voce ricostruisce il contesto della spesa assistenziale non previdenziale connessa al disagio psichico, ne isola i meccanismi, ne traccia la catena causale, ne stima il beneficio per scenario e ne dichiara la graduazione, i confini e la duplice distinzione dai domini contigui.</w:t>
      </w:r>
    </w:p>
    <w:p w14:paraId="4EABD033" w14:textId="77777777" w:rsidR="007C4598" w:rsidRDefault="007C4598"/>
    <w:p w14:paraId="305F2106" w14:textId="77777777" w:rsidR="007C4598" w:rsidRDefault="00000000">
      <w:pPr>
        <w:pStyle w:val="Titolo2"/>
        <w:spacing w:before="200" w:after="100"/>
      </w:pPr>
      <w:r>
        <w:rPr>
          <w:sz w:val="22"/>
          <w:szCs w:val="22"/>
        </w:rPr>
        <w:t>9.5.1  Il contesto: la spesa assistenziale non previdenziale</w:t>
      </w:r>
    </w:p>
    <w:p w14:paraId="4C82BD9E" w14:textId="77777777" w:rsidR="007C4598" w:rsidRDefault="007C4598"/>
    <w:p w14:paraId="4EB13974" w14:textId="77777777" w:rsidR="007C4598" w:rsidRDefault="00000000">
      <w:pPr>
        <w:jc w:val="both"/>
      </w:pPr>
      <w:r>
        <w:t>Il sistema di protezione sociale eroga, accanto alle prestazioni previdenziali fondate sulla contribuzione, un insieme di prestazioni assistenziali fondate sul bisogno, destinate a sostenere le persone in condizione di disabilità o di disagio socio-economico indipendentemente dalla loro storia contributiva. Tra queste prestazioni, alcune sono direttamente o indirettamente connesse al disagio psichico, perché il disturbo mentale non trattato contribuisce a determinare le condizioni — la disabilità, la perdita della capacità di provvedere a sé, l’esclusione dal lavoro e dal reddito — che ne fondano l’erogazione. La spesa assistenziale non previdenziale connessa al disagio psichico è dunque una componente del costo sociale della cattiva salute mentale, distinta dalla spesa previdenziale e dall’assistenza informale, e gravante sul bilancio dello Stato e degli enti che erogano le prestazioni. In Puglia, regione caratterizzata da un disagio socio-economico diffuso che si intreccia con il disagio psichico, questa spesa è di entità significativa, e la riforma può comprimerne la componente riconducibile al disagio comune prevenibile.</w:t>
      </w:r>
    </w:p>
    <w:p w14:paraId="7FF5F5EC" w14:textId="77777777" w:rsidR="007C4598" w:rsidRDefault="007C4598"/>
    <w:p w14:paraId="19E85653" w14:textId="77777777" w:rsidR="007C4598" w:rsidRDefault="00000000">
      <w:pPr>
        <w:jc w:val="both"/>
      </w:pPr>
      <w:r>
        <w:t xml:space="preserve">La spesa assistenziale non previdenziale connessa al disagio psichico si manifesta in due forme principali. La prima è costituita dalle indennità e dalle prestazioni assistenziali per la disabilità, e in particolare dall’indennità di accompagnamento e dalle prestazioni analoghe erogate alle persone la cui disabilità, anche psichica, ne compromette l’autonomia; è una forma di peso rilevante, per l’entità e la durata delle prestazioni. La seconda è costituita dalle misure di sostegno al reddito e dai sussidi assistenziali erogati alle persone in condizione di disagio socio-economico, tra le cui cause il disagio psichico non trattato figura con frequenza, sia come fattore che compromette la capacità di procurarsi un reddito, sia come conseguenza dell’esclusione economica; è una forma di peso intermedio. È la somma di queste due forme — le prestazioni per la disabilità e le misure di sostegno al reddito — che costituisce la grandezza di ancoraggio del dominio </w:t>
      </w:r>
      <w:proofErr w:type="spellStart"/>
      <w:r>
        <w:t>welfaristico</w:t>
      </w:r>
      <w:proofErr w:type="spellEnd"/>
      <w:r>
        <w:t>, nella sola componente riconducibile al disagio psichico prevenibile.</w:t>
      </w:r>
    </w:p>
    <w:p w14:paraId="01445DBC" w14:textId="77777777" w:rsidR="007C4598" w:rsidRDefault="007C4598"/>
    <w:p w14:paraId="36CCB5E3" w14:textId="77777777" w:rsidR="007C4598" w:rsidRDefault="00000000">
      <w:pPr>
        <w:jc w:val="both"/>
      </w:pPr>
      <w:r>
        <w:t xml:space="preserve">La connessione tra questa spesa e il primo livello psicologico opera attraverso la prevenzione delle condizioni di disabilità e di esclusione che fondano l’erogazione delle prestazioni. Il disturbo comune intercettato e trattato precocemente ha minore probabilità di evolvere verso la compromissione dell’autonomia che fonda le prestazioni per la disabilità, e verso l’esclusione economica che fonda le misure di sostegno al reddito; il disturbo non intercettato, viceversa, accresce la probabilità di entrambe le condizioni. Lo Psicologo di Base, intercettando e trattando il disagio, agisce a monte delle condizioni che attivano le prestazioni assistenziali, e il valore che ne deriva — le prestazioni assistenziali non erogate grazie alla prevenzione della disabilità e dell’esclusione — è il beneficio che il dominio </w:t>
      </w:r>
      <w:proofErr w:type="spellStart"/>
      <w:r>
        <w:t>welfaristico</w:t>
      </w:r>
      <w:proofErr w:type="spellEnd"/>
      <w:r>
        <w:t xml:space="preserve"> misura. Tale beneficio si distribuisce sul bilancio dello Stato e degli enti erogatori, e si traduce in minore spesa assistenziale non previdenziale.</w:t>
      </w:r>
    </w:p>
    <w:p w14:paraId="666A8EF8" w14:textId="77777777" w:rsidR="007C4598" w:rsidRDefault="007C4598"/>
    <w:p w14:paraId="20FBACAB" w14:textId="77777777" w:rsidR="007C4598" w:rsidRDefault="00000000">
      <w:pPr>
        <w:pStyle w:val="Titolo2"/>
        <w:spacing w:before="200" w:after="100"/>
      </w:pPr>
      <w:r>
        <w:rPr>
          <w:sz w:val="22"/>
          <w:szCs w:val="22"/>
        </w:rPr>
        <w:t>9.5.2  I meccanismi: prestazioni per la disabilità e sostegno al reddito</w:t>
      </w:r>
    </w:p>
    <w:p w14:paraId="721BD729" w14:textId="77777777" w:rsidR="007C4598" w:rsidRDefault="007C4598"/>
    <w:p w14:paraId="311A4531" w14:textId="77777777" w:rsidR="007C4598" w:rsidRDefault="00000000">
      <w:pPr>
        <w:jc w:val="both"/>
      </w:pPr>
      <w:r>
        <w:t xml:space="preserve">Il dominio </w:t>
      </w:r>
      <w:proofErr w:type="spellStart"/>
      <w:r>
        <w:t>welfaristico</w:t>
      </w:r>
      <w:proofErr w:type="spellEnd"/>
      <w:r>
        <w:t xml:space="preserve"> opera attraverso due meccanismi, corrispondenti alle due forme della spesa e accomunati dalla prevenzione delle condizioni che attivano le prestazioni assistenziali. Il primo meccanismo è la riduzione delle indennità e delle prestazioni assistenziali per la disabilità. La prevenzione della compromissione dell’autonomia, conseguente alla presa in carico precoce, riduce il numero delle persone la cui disabilità psichica fonda l’erogazione dell’indennità di accompagnamento e delle prestazioni analoghe, e il valore che ne deriva è quello delle prestazioni non erogate. È essenziale osservare che queste prestazioni, di natura assistenziale e non contributiva, sono distinte dalle prestazioni previdenziali di invalidità e di inabilità colte dal dominio pensionistico: il dominio pensionistico conta le prestazioni fondate sulla contribuzione, il dominio </w:t>
      </w:r>
      <w:proofErr w:type="spellStart"/>
      <w:r>
        <w:t>welfaristico</w:t>
      </w:r>
      <w:proofErr w:type="spellEnd"/>
      <w:r>
        <w:t xml:space="preserve"> conta le prestazioni fondate sul bisogno, e le due categorie sono distinte e non sovrapposte.</w:t>
      </w:r>
    </w:p>
    <w:p w14:paraId="57DD4809" w14:textId="77777777" w:rsidR="007C4598" w:rsidRDefault="007C4598"/>
    <w:p w14:paraId="5F2155F0" w14:textId="77777777" w:rsidR="007C4598" w:rsidRDefault="00000000">
      <w:pPr>
        <w:jc w:val="both"/>
      </w:pPr>
      <w:r>
        <w:t xml:space="preserve">Il secondo meccanismo è la riduzione delle misure di sostegno al reddito e dei sussidi assistenziali. La prevenzione dell’esclusione economica, conseguente al recupero della capacità del paziente di procurarsi un reddito, riduce il ricorso alle misure di sostegno al reddito tra le persone il cui disagio psichico aveva contribuito a determinare la condizione di bisogno; il valore che ne deriva è quello dei sussidi non erogati. Anche questo meccanismo riguarda prestazioni assistenziali non previdenziali, distinte dalle prestazioni del dominio pensionistico e dall’assistenza informale del dominio assistenzialistico. I due meccanismi convergono verso la riduzione della spesa assistenziale non previdenziale, e ne colgono componenti distinte, sommabili tra loro ma non con le prestazioni previdenziali del dominio pensionistico né con l’assistenza informale del dominio assistenzialistico, secondo la duplice distinzione che governa il dominio </w:t>
      </w:r>
      <w:proofErr w:type="spellStart"/>
      <w:r>
        <w:t>welfaristico</w:t>
      </w:r>
      <w:proofErr w:type="spellEnd"/>
      <w:r>
        <w:t>.</w:t>
      </w:r>
    </w:p>
    <w:p w14:paraId="1CEABBC5" w14:textId="77777777" w:rsidR="007C4598" w:rsidRDefault="007C4598"/>
    <w:p w14:paraId="74323766" w14:textId="77777777" w:rsidR="007C4598" w:rsidRDefault="00000000">
      <w:pPr>
        <w:pStyle w:val="Titolo2"/>
        <w:spacing w:before="200" w:after="100"/>
      </w:pPr>
      <w:r>
        <w:rPr>
          <w:sz w:val="22"/>
          <w:szCs w:val="22"/>
        </w:rPr>
        <w:t xml:space="preserve">9.5.3  La catena causale del beneficio </w:t>
      </w:r>
      <w:proofErr w:type="spellStart"/>
      <w:r>
        <w:rPr>
          <w:sz w:val="22"/>
          <w:szCs w:val="22"/>
        </w:rPr>
        <w:t>welfaristico</w:t>
      </w:r>
      <w:proofErr w:type="spellEnd"/>
    </w:p>
    <w:p w14:paraId="45844528" w14:textId="77777777" w:rsidR="007C4598" w:rsidRDefault="007C4598"/>
    <w:p w14:paraId="7E5DE82B" w14:textId="77777777" w:rsidR="007C4598" w:rsidRDefault="00000000">
      <w:pPr>
        <w:jc w:val="both"/>
      </w:pPr>
      <w:r>
        <w:t xml:space="preserve">La formazione del beneficio </w:t>
      </w:r>
      <w:proofErr w:type="spellStart"/>
      <w:r>
        <w:t>welfaristico</w:t>
      </w:r>
      <w:proofErr w:type="spellEnd"/>
      <w:r>
        <w:t xml:space="preserve"> segue una catena causale a più anelli. Il primo anello è clinico-preventivo: l’intercettazione e il trattamento precoce prevengono la compromissione dell’autonomia e l’esclusione economica. Questo anello è sostenuto da evidenza da moderata ad alta per l’efficacia clinica, ma da evidenza più variabile per la specifica prevenzione delle condizioni di disabilità ed esclusione, che dipendono da una pluralità di fattori sociali ed economici oltre che clinici. Il secondo anello è funzionale-assistenziale: la prevenzione della disabilità e dell’esclusione si traduce in minore attivazione delle prestazioni assistenziali. Questo anello è sostenuto da evidenza di qualità da moderata a bassa, perché la traduzione del miglioramento clinico in minore ricorso all’assistenza dipende fortemente dal contesto socio-economico, che nel disagio della Puglia gioca un ruolo rilevante.</w:t>
      </w:r>
    </w:p>
    <w:p w14:paraId="73A0B540" w14:textId="77777777" w:rsidR="007C4598" w:rsidRDefault="007C4598"/>
    <w:p w14:paraId="77564D36" w14:textId="77777777" w:rsidR="007C4598" w:rsidRDefault="00000000">
      <w:pPr>
        <w:jc w:val="both"/>
      </w:pPr>
      <w:r>
        <w:t xml:space="preserve">Il terzo anello è economico: la minore attivazione delle prestazioni si traduce in minore spesa assistenziale per il bilancio pubblico. Questo anello, a differenza di quelli dei domini produttivi, riguarda una grandezza di spesa anziché di produzione, ed è di natura prossima a quella dei risparmi diretti, dai quali tuttavia si distingue perché grava sul bilancio assistenziale dello Stato e non sul bilancio sanitario regionale. La graduazione complessiva del beneficio </w:t>
      </w:r>
      <w:proofErr w:type="spellStart"/>
      <w:r>
        <w:t>welfaristico</w:t>
      </w:r>
      <w:proofErr w:type="spellEnd"/>
      <w:r>
        <w:t xml:space="preserve"> è da intermedia a bassa, in ragione della forte mediazione esercitata dal contesto socio-economico sulla traduzione del miglioramento clinico in minore ricorso all’assistenza; e si traduce in bande prudenziali ampie. La catena è governata dalla duplice regola di non duplicazione propria del dominio: essa coglie le sole prestazioni assistenziali non previdenziali, distinte dalle prestazioni previdenziali del dominio pensionistico e dall’assistenza informale del dominio assistenzialistico.</w:t>
      </w:r>
    </w:p>
    <w:p w14:paraId="44DCFF49" w14:textId="77777777" w:rsidR="007C4598" w:rsidRDefault="007C4598"/>
    <w:p w14:paraId="6D3A784C" w14:textId="77777777" w:rsidR="007C4598" w:rsidRDefault="00000000">
      <w:pPr>
        <w:pStyle w:val="Titolo2"/>
        <w:spacing w:before="200" w:after="100"/>
      </w:pPr>
      <w:r>
        <w:rPr>
          <w:sz w:val="22"/>
          <w:szCs w:val="22"/>
        </w:rPr>
        <w:t xml:space="preserve">9.5.4  La quantificazione del dominio </w:t>
      </w:r>
      <w:proofErr w:type="spellStart"/>
      <w:r>
        <w:rPr>
          <w:sz w:val="22"/>
          <w:szCs w:val="22"/>
        </w:rPr>
        <w:t>welfaristico</w:t>
      </w:r>
      <w:proofErr w:type="spellEnd"/>
    </w:p>
    <w:p w14:paraId="7725E136" w14:textId="77777777" w:rsidR="007C4598" w:rsidRDefault="007C4598"/>
    <w:p w14:paraId="033DBA26" w14:textId="77777777" w:rsidR="007C4598" w:rsidRDefault="00000000">
      <w:pPr>
        <w:jc w:val="both"/>
      </w:pPr>
      <w:r>
        <w:t xml:space="preserve">La quantificazione del dominio </w:t>
      </w:r>
      <w:proofErr w:type="spellStart"/>
      <w:r>
        <w:t>welfaristico</w:t>
      </w:r>
      <w:proofErr w:type="spellEnd"/>
      <w:r>
        <w:t xml:space="preserve"> procede secondo il metodo in cinque passaggi, applicato alle due forme della spesa assistenziale non previdenziale. La tabella che segue ricostruisce le due forme e i margini su cui il dominio opera.</w:t>
      </w:r>
    </w:p>
    <w:p w14:paraId="721AFC13"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673692A3"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0454E8F" w14:textId="77777777" w:rsidR="007C4598" w:rsidRDefault="00000000">
            <w:pPr>
              <w:spacing w:after="40"/>
            </w:pPr>
            <w:r>
              <w:rPr>
                <w:b/>
                <w:bCs/>
                <w:color w:val="FFFFFF"/>
                <w:sz w:val="18"/>
                <w:szCs w:val="18"/>
              </w:rPr>
              <w:t>Forma della prestazione assistenziale non previdenziale</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DE36C56" w14:textId="77777777" w:rsidR="007C4598" w:rsidRDefault="00000000">
            <w:pPr>
              <w:spacing w:after="40"/>
            </w:pPr>
            <w:r>
              <w:rPr>
                <w:b/>
                <w:bCs/>
                <w:color w:val="FFFFFF"/>
                <w:sz w:val="18"/>
                <w:szCs w:val="18"/>
              </w:rPr>
              <w:t>Grandezza di ancoraggio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8BFF569" w14:textId="77777777" w:rsidR="007C4598" w:rsidRDefault="00000000">
            <w:pPr>
              <w:spacing w:after="40"/>
            </w:pPr>
            <w:r>
              <w:rPr>
                <w:b/>
                <w:bCs/>
                <w:color w:val="FFFFFF"/>
                <w:sz w:val="18"/>
                <w:szCs w:val="18"/>
              </w:rPr>
              <w:t>Componente prevenibile dal primo livello psicologico</w:t>
            </w:r>
          </w:p>
        </w:tc>
      </w:tr>
      <w:tr w:rsidR="007C4598" w14:paraId="57B42B08"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3A45AB8" w14:textId="77777777" w:rsidR="007C4598" w:rsidRDefault="00000000">
            <w:pPr>
              <w:spacing w:after="40"/>
            </w:pPr>
            <w:r>
              <w:t>Indennità e prestazioni assistenziali per la disabilità</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3392713" w14:textId="77777777" w:rsidR="007C4598" w:rsidRDefault="00000000">
            <w:pPr>
              <w:spacing w:after="40"/>
            </w:pPr>
            <w:r>
              <w:t>prestazioni non contributive per disabilità (anche psichica) che compromette l’autonomia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29CE2C4" w14:textId="77777777" w:rsidR="007C4598" w:rsidRDefault="00000000">
            <w:pPr>
              <w:spacing w:after="40"/>
            </w:pPr>
            <w:r>
              <w:t>la quota prevenibile dalla prevenzione della compromissione dell’autonomia</w:t>
            </w:r>
          </w:p>
        </w:tc>
      </w:tr>
      <w:tr w:rsidR="007C4598" w14:paraId="21C54525"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5E3A3BB" w14:textId="77777777" w:rsidR="007C4598" w:rsidRDefault="00000000">
            <w:pPr>
              <w:spacing w:after="40"/>
            </w:pPr>
            <w:r>
              <w:t>Misure di sostegno al reddito e sussidi assistenziali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90D14E5" w14:textId="77777777" w:rsidR="007C4598" w:rsidRDefault="00000000">
            <w:pPr>
              <w:spacing w:after="40"/>
            </w:pPr>
            <w:r>
              <w:t>sostegni economici a persone in condizione di disagio socio-economico e psichico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5E79ED7" w14:textId="77777777" w:rsidR="007C4598" w:rsidRDefault="00000000">
            <w:pPr>
              <w:spacing w:after="40"/>
            </w:pPr>
            <w:r>
              <w:t>la quota evitabile dal recupero della capacità di procurarsi un reddito</w:t>
            </w:r>
          </w:p>
        </w:tc>
      </w:tr>
    </w:tbl>
    <w:p w14:paraId="27FA6845" w14:textId="77777777" w:rsidR="007C4598" w:rsidRDefault="007C4598"/>
    <w:p w14:paraId="4C7EF203" w14:textId="77777777" w:rsidR="007C4598" w:rsidRDefault="00000000">
      <w:pPr>
        <w:jc w:val="both"/>
      </w:pPr>
      <w:r>
        <w:rPr>
          <w:i/>
          <w:iCs/>
        </w:rPr>
        <w:t>Tabella 9.9 — Le forme della spesa assistenziale non previdenziale connessa al disagio psichico e i margini di prevenzione. Le grandezze sono ricostruite sulle fonti disponibili e saranno sostituite dai dati certificati non appena acquisiti; le componenti prevenibili riguardano le sole prestazioni assistenziali non previdenziali, distinte da quelle previdenziali del dominio pensionistico.</w:t>
      </w:r>
    </w:p>
    <w:p w14:paraId="3D1739DA" w14:textId="77777777" w:rsidR="007C4598" w:rsidRDefault="007C4598"/>
    <w:p w14:paraId="3F133517" w14:textId="77777777" w:rsidR="007C4598" w:rsidRDefault="00000000">
      <w:pPr>
        <w:jc w:val="both"/>
      </w:pPr>
      <w:r>
        <w:t xml:space="preserve">Sulla base di questo quadro, la stima del beneficio </w:t>
      </w:r>
      <w:proofErr w:type="spellStart"/>
      <w:r>
        <w:t>welfaristico</w:t>
      </w:r>
      <w:proofErr w:type="spellEnd"/>
      <w:r>
        <w:t xml:space="preserve"> è articolata nelle due componenti e per ciascuno dei tre scenari di copertura. La componente delle indennità e prestazioni per la disabilità costituisce la quota maggiore del beneficio, per l’entità e la durata delle prestazioni; la componente delle misure di sostegno al reddito costituisce la quota intermedia. La tabella che segue espone la stima per componente e per scenario.</w:t>
      </w:r>
    </w:p>
    <w:p w14:paraId="5EE8857A"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0B3158CE"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9557629" w14:textId="77777777" w:rsidR="007C4598" w:rsidRDefault="00000000">
            <w:pPr>
              <w:spacing w:after="40"/>
            </w:pPr>
            <w:r>
              <w:rPr>
                <w:b/>
                <w:bCs/>
                <w:color w:val="FFFFFF"/>
                <w:sz w:val="18"/>
                <w:szCs w:val="18"/>
              </w:rPr>
              <w:t xml:space="preserve">Componente del beneficio </w:t>
            </w:r>
            <w:proofErr w:type="spellStart"/>
            <w:r>
              <w:rPr>
                <w:b/>
                <w:bCs/>
                <w:color w:val="FFFFFF"/>
                <w:sz w:val="18"/>
                <w:szCs w:val="18"/>
              </w:rPr>
              <w:t>welfaristico</w:t>
            </w:r>
            <w:proofErr w:type="spellEnd"/>
            <w:r>
              <w:rPr>
                <w:b/>
                <w:bCs/>
                <w:color w:val="FFFFFF"/>
                <w:sz w:val="18"/>
                <w:szCs w:val="18"/>
              </w:rPr>
              <w:t xml:space="preserve"> (mln €/anno)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EA2B864" w14:textId="77777777" w:rsidR="007C4598" w:rsidRDefault="00000000">
            <w:pPr>
              <w:spacing w:after="40"/>
            </w:pPr>
            <w:r>
              <w:rPr>
                <w:b/>
                <w:bCs/>
                <w:color w:val="FFFFFF"/>
                <w:sz w:val="18"/>
                <w:szCs w:val="18"/>
              </w:rPr>
              <w:t>Conservativo (~450)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388C8B1" w14:textId="77777777" w:rsidR="007C4598" w:rsidRDefault="00000000">
            <w:pPr>
              <w:spacing w:after="40"/>
            </w:pPr>
            <w:r>
              <w:rPr>
                <w:b/>
                <w:bCs/>
                <w:color w:val="FFFFFF"/>
                <w:sz w:val="18"/>
                <w:szCs w:val="18"/>
              </w:rPr>
              <w:t>Intermedio (~700)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1880B95" w14:textId="77777777" w:rsidR="007C4598" w:rsidRDefault="00000000">
            <w:pPr>
              <w:spacing w:after="40"/>
            </w:pPr>
            <w:r>
              <w:rPr>
                <w:b/>
                <w:bCs/>
                <w:color w:val="FFFFFF"/>
                <w:sz w:val="18"/>
                <w:szCs w:val="18"/>
              </w:rPr>
              <w:t>Espansivo (~900)</w:t>
            </w:r>
          </w:p>
        </w:tc>
      </w:tr>
      <w:tr w:rsidR="007C4598" w14:paraId="51279ADE"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F288C1B" w14:textId="77777777" w:rsidR="007C4598" w:rsidRDefault="00000000">
            <w:pPr>
              <w:spacing w:after="40"/>
            </w:pPr>
            <w:r>
              <w:t>Riduzione delle indennità e prestazioni assistenziali per la disabilità</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193EDA1" w14:textId="77777777" w:rsidR="007C4598" w:rsidRDefault="00000000">
            <w:pPr>
              <w:spacing w:after="40"/>
            </w:pPr>
            <w:r>
              <w:t>~3</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3102310" w14:textId="77777777" w:rsidR="007C4598" w:rsidRDefault="00000000">
            <w:pPr>
              <w:spacing w:after="40"/>
            </w:pPr>
            <w:r>
              <w:t>~4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D1DF408" w14:textId="77777777" w:rsidR="007C4598" w:rsidRDefault="00000000">
            <w:pPr>
              <w:spacing w:after="40"/>
            </w:pPr>
            <w:r>
              <w:t>~6</w:t>
            </w:r>
          </w:p>
        </w:tc>
      </w:tr>
      <w:tr w:rsidR="007C4598" w14:paraId="1F5AF30B"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76D06D2" w14:textId="77777777" w:rsidR="007C4598" w:rsidRDefault="00000000">
            <w:pPr>
              <w:spacing w:after="40"/>
            </w:pPr>
            <w:r>
              <w:t>Riduzione delle misure di sostegno al reddito e dei sussidi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CAB8DC4" w14:textId="77777777" w:rsidR="007C4598" w:rsidRDefault="00000000">
            <w:pPr>
              <w:spacing w:after="40"/>
            </w:pPr>
            <w:r>
              <w:t>~2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C6A6C33" w14:textId="77777777" w:rsidR="007C4598" w:rsidRDefault="00000000">
            <w:pPr>
              <w:spacing w:after="40"/>
            </w:pPr>
            <w:r>
              <w:t>~3</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9C5ABC2" w14:textId="77777777" w:rsidR="007C4598" w:rsidRDefault="00000000">
            <w:pPr>
              <w:spacing w:after="40"/>
            </w:pPr>
            <w:r>
              <w:t>~4</w:t>
            </w:r>
          </w:p>
        </w:tc>
      </w:tr>
      <w:tr w:rsidR="007C4598" w14:paraId="4FDCA732"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F2A9DFF" w14:textId="77777777" w:rsidR="007C4598" w:rsidRDefault="00000000">
            <w:pPr>
              <w:spacing w:after="40"/>
            </w:pPr>
            <w:r>
              <w:t xml:space="preserve">Beneficio </w:t>
            </w:r>
            <w:proofErr w:type="spellStart"/>
            <w:r>
              <w:t>welfaristico</w:t>
            </w:r>
            <w:proofErr w:type="spellEnd"/>
            <w:r>
              <w:t xml:space="preserve"> indiretto del dominio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0FC37E6" w14:textId="77777777" w:rsidR="007C4598" w:rsidRDefault="00000000">
            <w:pPr>
              <w:spacing w:after="40"/>
            </w:pPr>
            <w:r>
              <w:t>~5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6F93A91" w14:textId="77777777" w:rsidR="007C4598" w:rsidRDefault="00000000">
            <w:pPr>
              <w:spacing w:after="40"/>
            </w:pPr>
            <w:r>
              <w:t>~7</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2486F25" w14:textId="77777777" w:rsidR="007C4598" w:rsidRDefault="00000000">
            <w:pPr>
              <w:spacing w:after="40"/>
            </w:pPr>
            <w:r>
              <w:t>~10</w:t>
            </w:r>
          </w:p>
        </w:tc>
      </w:tr>
    </w:tbl>
    <w:p w14:paraId="5F071150" w14:textId="77777777" w:rsidR="007C4598" w:rsidRDefault="007C4598"/>
    <w:p w14:paraId="2D301656" w14:textId="77777777" w:rsidR="007C4598" w:rsidRDefault="00000000">
      <w:pPr>
        <w:jc w:val="both"/>
      </w:pPr>
      <w:r>
        <w:rPr>
          <w:i/>
          <w:iCs/>
        </w:rPr>
        <w:t xml:space="preserve">Tabella 9.10 — Stima prudenziale del beneficio del dominio </w:t>
      </w:r>
      <w:proofErr w:type="spellStart"/>
      <w:r>
        <w:rPr>
          <w:i/>
          <w:iCs/>
        </w:rPr>
        <w:t>welfaristico</w:t>
      </w:r>
      <w:proofErr w:type="spellEnd"/>
      <w:r>
        <w:rPr>
          <w:i/>
          <w:iCs/>
        </w:rPr>
        <w:t xml:space="preserve"> per scenario. Le cifre sono bande prudenziali arrotondate; l’ultima riga è la somma delle due componenti. Il valore riguarda le sole prestazioni assistenziali non previdenziali, grava sul bilancio assistenziale dello Stato, ed è distinto dalle prestazioni previdenziali del dominio pensionistico, dall’assistenza informale del dominio assistenzialistico e dai risparmi sanitari diretti della parte ottava.</w:t>
      </w:r>
    </w:p>
    <w:p w14:paraId="28D5A6C7" w14:textId="77777777" w:rsidR="007C4598" w:rsidRDefault="007C4598"/>
    <w:p w14:paraId="276BE95A" w14:textId="77777777" w:rsidR="007C4598" w:rsidRDefault="00000000">
      <w:pPr>
        <w:jc w:val="both"/>
      </w:pPr>
      <w:r>
        <w:t xml:space="preserve">Il beneficio </w:t>
      </w:r>
      <w:proofErr w:type="spellStart"/>
      <w:r>
        <w:t>welfaristico</w:t>
      </w:r>
      <w:proofErr w:type="spellEnd"/>
      <w:r>
        <w:t xml:space="preserve"> indiretto è dunque stimato in un ordine di grandezza compreso tra circa cinque milioni di euro l’anno nello scenario conservativo e circa dieci milioni nello scenario espansivo, con un valore intermedio dell’ordine di sette milioni. La cifra riflette la componente, riconducibile al disagio psichico prevenibile, della spesa assistenziale non previdenziale, che il disturbo non trattato contribuisce ad attivare attraverso la compromissione dell’autonomia e l’esclusione economica. La prudenza della stima riflette, oltre all’incertezza generale, la forte mediazione esercitata dal contesto socio-economico, particolarmente rilevante in una regione segnata dal disagio sociale come la Puglia, dove la relazione tra disagio psichico e ricorso all’assistenza è intrecciata con fattori economici e occupazionali che ne complicano l’attribuzione. La cifra va dunque letta come una stima prudenziale della sola quota attribuibile al disagio psichico prevenibile, distinta dalla più ampia spesa assistenziale determinata da fattori non psichici.</w:t>
      </w:r>
    </w:p>
    <w:p w14:paraId="71E3D8FD"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61EB5D54"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D08640F" w14:textId="77777777" w:rsidR="007C4598" w:rsidRDefault="00000000">
            <w:pPr>
              <w:spacing w:after="40"/>
            </w:pPr>
            <w:r>
              <w:rPr>
                <w:b/>
                <w:bCs/>
                <w:color w:val="FFFFFF"/>
                <w:sz w:val="18"/>
                <w:szCs w:val="18"/>
              </w:rPr>
              <w:t xml:space="preserve">◆ SEGNAPOSTO INFOGRAFICA — FIG. 9.E · DA INSERIRE A POSTERIORI Titolo previsto: Il dominio </w:t>
            </w:r>
            <w:proofErr w:type="spellStart"/>
            <w:r>
              <w:rPr>
                <w:b/>
                <w:bCs/>
                <w:color w:val="FFFFFF"/>
                <w:sz w:val="18"/>
                <w:szCs w:val="18"/>
              </w:rPr>
              <w:t>welfaristico</w:t>
            </w:r>
            <w:proofErr w:type="spellEnd"/>
            <w:r>
              <w:rPr>
                <w:b/>
                <w:bCs/>
                <w:color w:val="FFFFFF"/>
                <w:sz w:val="18"/>
                <w:szCs w:val="18"/>
              </w:rPr>
              <w:t xml:space="preserve">: la spesa assistenziale non previdenziale ridotta — Puglia CODICE CANVA-FRIENDLY (scheda di generazione) Tipo di grafico: diagramma a barre orizzontali raggruppate per i tre scenari di copertura, ciascuna barra scomposta nelle due componenti del beneficio (indennità e prestazioni per la disabilità; misure di sostegno al reddito), con etichetta del totale di dominio e annotazione della distinzione dalle prestazioni previdenziali del dominio pensionistico. Lettura: tre gruppi di barre (Conservativo, Intermedio, Espansivo) la cui lunghezza complessiva corrisponde al beneficio totale del dominio (5, 7 e 10 milioni); la scomposizione mostra il peso prevalente delle prestazioni per la disabilità. Palette: componente prestazioni per la disabilità in blu </w:t>
            </w:r>
            <w:proofErr w:type="spellStart"/>
            <w:r>
              <w:rPr>
                <w:b/>
                <w:bCs/>
                <w:color w:val="FFFFFF"/>
                <w:sz w:val="18"/>
                <w:szCs w:val="18"/>
              </w:rPr>
              <w:t>navy</w:t>
            </w:r>
            <w:proofErr w:type="spellEnd"/>
            <w:r>
              <w:rPr>
                <w:b/>
                <w:bCs/>
                <w:color w:val="FFFFFF"/>
                <w:sz w:val="18"/>
                <w:szCs w:val="18"/>
              </w:rPr>
              <w:t xml:space="preserve"> #16264B; componente sostegno al reddito in blu medio #244272; etichetta del totale di dominio in oro #C49A48; griglia in grigio #D8D8D8.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etichette degli scenari </w:t>
            </w:r>
            <w:proofErr w:type="spellStart"/>
            <w:r>
              <w:rPr>
                <w:b/>
                <w:bCs/>
                <w:color w:val="FFFFFF"/>
                <w:sz w:val="18"/>
                <w:szCs w:val="18"/>
              </w:rPr>
              <w:t>Bold</w:t>
            </w:r>
            <w:proofErr w:type="spellEnd"/>
            <w:r>
              <w:rPr>
                <w:b/>
                <w:bCs/>
                <w:color w:val="FFFFFF"/>
                <w:sz w:val="18"/>
                <w:szCs w:val="18"/>
              </w:rPr>
              <w:t xml:space="preserve">, valori Medium, annotazione sulla distinzione previdenziale/assistenziale Regular corsivo.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xml:space="preserve">. Valori da rappresentare: Conservativo — prestazioni per la disabilità ~3; sostegno al reddito ~2; totale ~5. Intermedio — ~4; ~3; totale ~7. Espansivo — ~6; ~4; totale ~10. Variante 3D (consigliata): barre a rilievo isometrico con le due componenti impilate in profondità; annotazione grafica che distingue le prestazioni assistenziali (questo dominio) dalle prestazioni previdenziali (dominio pensionistico) e dall’assistenza informale (dominio assistenzialistico). Fonte (piè di figura): Elaborazione dello studio; dati sulla spesa assistenziale non previdenziale; graduazione GRADE da intermedia a bassa per la forte mediazione del contesto socio-economico. La figura deve rendere evidente la duplice distinzione del dominio </w:t>
            </w:r>
            <w:proofErr w:type="spellStart"/>
            <w:r>
              <w:rPr>
                <w:b/>
                <w:bCs/>
                <w:color w:val="FFFFFF"/>
                <w:sz w:val="18"/>
                <w:szCs w:val="18"/>
              </w:rPr>
              <w:t>welfaristico</w:t>
            </w:r>
            <w:proofErr w:type="spellEnd"/>
            <w:r>
              <w:rPr>
                <w:b/>
                <w:bCs/>
                <w:color w:val="FFFFFF"/>
                <w:sz w:val="18"/>
                <w:szCs w:val="18"/>
              </w:rPr>
              <w:t>: dalle prestazioni previdenziali del dominio pensionistico e dall’assistenza informale del dominio assistenzialistico; e che esso coglie le sole prestazioni assistenziali formali non contributive.</w:t>
            </w:r>
          </w:p>
          <w:p w14:paraId="55F380EB" w14:textId="77777777" w:rsidR="007C4598" w:rsidRDefault="00000000">
            <w:pPr>
              <w:spacing w:before="120" w:after="60"/>
              <w:jc w:val="center"/>
            </w:pPr>
            <w:r>
              <w:rPr>
                <w:noProof/>
              </w:rPr>
              <w:drawing>
                <wp:inline distT="0" distB="0" distL="0" distR="0" wp14:anchorId="1355D666" wp14:editId="5F0ED07C">
                  <wp:extent cx="8229600" cy="4629150"/>
                  <wp:effectExtent l="0" t="0" r="0" b="0"/>
                  <wp:docPr id="144" name="Infografica44" descr="Il dominio welfaristico: spesa assistenziale ridot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Infografica44"/>
                          <pic:cNvPicPr>
                            <a:picLocks noChangeAspect="1" noChangeArrowheads="1"/>
                          </pic:cNvPicPr>
                        </pic:nvPicPr>
                        <pic:blipFill>
                          <a:blip r:embed="rId77">
                            <a:extLst>
                              <a:ext uri="{96DAC541-7B7A-43D3-8B79-37D633B846F1}">
                                <asvg:svgBlip xmlns:asvg="http://schemas.microsoft.com/office/drawing/2016/SVG/main" r:embed="rId78"/>
                              </a:ext>
                            </a:extLst>
                          </a:blip>
                          <a:stretch>
                            <a:fillRect/>
                          </a:stretch>
                        </pic:blipFill>
                        <pic:spPr bwMode="auto">
                          <a:xfrm>
                            <a:off x="0" y="0"/>
                            <a:ext cx="8229600" cy="4629150"/>
                          </a:xfrm>
                          <a:prstGeom prst="rect">
                            <a:avLst/>
                          </a:prstGeom>
                          <a:noFill/>
                          <a:ln>
                            <a:noFill/>
                          </a:ln>
                        </pic:spPr>
                      </pic:pic>
                    </a:graphicData>
                  </a:graphic>
                </wp:inline>
              </w:drawing>
            </w:r>
          </w:p>
          <w:p w14:paraId="79A59FAB" w14:textId="77777777" w:rsidR="007C4598" w:rsidRDefault="00000000">
            <w:pPr>
              <w:spacing w:before="40" w:after="200"/>
              <w:jc w:val="center"/>
            </w:pPr>
            <w:r>
              <w:rPr>
                <w:i/>
                <w:color w:val="2E5A8F"/>
                <w:sz w:val="16"/>
                <w:szCs w:val="16"/>
              </w:rPr>
              <w:t xml:space="preserve">Fig. 9.E — Il dominio </w:t>
            </w:r>
            <w:proofErr w:type="spellStart"/>
            <w:r>
              <w:rPr>
                <w:i/>
                <w:color w:val="2E5A8F"/>
                <w:sz w:val="16"/>
                <w:szCs w:val="16"/>
              </w:rPr>
              <w:t>welfaristico</w:t>
            </w:r>
            <w:proofErr w:type="spellEnd"/>
            <w:r>
              <w:rPr>
                <w:i/>
                <w:color w:val="2E5A8F"/>
                <w:sz w:val="16"/>
                <w:szCs w:val="16"/>
              </w:rPr>
              <w:t>: spesa assistenziale ridotta. Elaborazione dello studio · Luigi De Michele · Giugno 2026.</w:t>
            </w:r>
          </w:p>
        </w:tc>
      </w:tr>
    </w:tbl>
    <w:p w14:paraId="1D68433F" w14:textId="77777777" w:rsidR="007C4598" w:rsidRDefault="007C4598"/>
    <w:p w14:paraId="43E898A9" w14:textId="77777777" w:rsidR="007C4598" w:rsidRDefault="00000000">
      <w:pPr>
        <w:pStyle w:val="Titolo2"/>
        <w:spacing w:before="200" w:after="100"/>
      </w:pPr>
      <w:r>
        <w:rPr>
          <w:sz w:val="22"/>
          <w:szCs w:val="22"/>
        </w:rPr>
        <w:t xml:space="preserve">9.5.5  La graduazione, i confini e la duplice distinzione del dominio </w:t>
      </w:r>
      <w:proofErr w:type="spellStart"/>
      <w:r>
        <w:rPr>
          <w:sz w:val="22"/>
          <w:szCs w:val="22"/>
        </w:rPr>
        <w:t>welfaristico</w:t>
      </w:r>
      <w:proofErr w:type="spellEnd"/>
    </w:p>
    <w:p w14:paraId="4D355DE4" w14:textId="77777777" w:rsidR="007C4598" w:rsidRDefault="007C4598"/>
    <w:p w14:paraId="135FCD25" w14:textId="77777777" w:rsidR="007C4598" w:rsidRDefault="00000000">
      <w:pPr>
        <w:jc w:val="both"/>
      </w:pPr>
      <w:r>
        <w:t xml:space="preserve">La solidità della stima del dominio </w:t>
      </w:r>
      <w:proofErr w:type="spellStart"/>
      <w:r>
        <w:t>welfaristico</w:t>
      </w:r>
      <w:proofErr w:type="spellEnd"/>
      <w:r>
        <w:t xml:space="preserve"> va dichiarata. L’anello clinico-preventivo è sostenuto da evidenza da moderata ad alta per l’efficacia clinica, ma da evidenza più variabile per la specifica prevenzione delle condizioni di disabilità ed esclusione; l’anello funzionale-assistenziale, da evidenza di qualità da moderata a bassa, fortemente mediata dal contesto socio-economico; l’anello economico riguarda una grandezza di spesa prossima ai risparmi diretti ma gravante su un bilancio distinto. La graduazione complessiva del dominio è da intermedia a bassa, e si traduce in bande prudenziali ampie.</w:t>
      </w:r>
      <w:r>
        <w:rPr>
          <w:color w:val="555555"/>
          <w:sz w:val="16"/>
          <w:szCs w:val="16"/>
          <w:vertAlign w:val="superscript"/>
        </w:rPr>
        <w:t>[18]</w:t>
      </w:r>
      <w:r>
        <w:t xml:space="preserve"> La stima centrale va letta come punto mediano di un intervallo, e la sua prudenza riflette la difficoltà di isolare, nella spesa assistenziale, la quota attribuibile al disagio psichico prevenibile da quella determinata da fattori socio-economici indipendenti.</w:t>
      </w:r>
    </w:p>
    <w:p w14:paraId="5D4DCBB2" w14:textId="77777777" w:rsidR="007C4598" w:rsidRDefault="007C4598"/>
    <w:p w14:paraId="0C8C61E8" w14:textId="77777777" w:rsidR="007C4598" w:rsidRDefault="00000000">
      <w:pPr>
        <w:jc w:val="both"/>
      </w:pPr>
      <w:r>
        <w:t xml:space="preserve">Da questa graduazione discendono i confini e la duplice regola di non duplicazione del dominio </w:t>
      </w:r>
      <w:proofErr w:type="spellStart"/>
      <w:r>
        <w:t>welfaristico</w:t>
      </w:r>
      <w:proofErr w:type="spellEnd"/>
      <w:r>
        <w:t xml:space="preserve">, che ne costituisce il tratto caratteristico. In primo luogo, il beneficio </w:t>
      </w:r>
      <w:proofErr w:type="spellStart"/>
      <w:r>
        <w:t>welfaristico</w:t>
      </w:r>
      <w:proofErr w:type="spellEnd"/>
      <w:r>
        <w:t xml:space="preserve"> è una grandezza indiretta che grava sul bilancio assistenziale dello Stato, distinta dai risparmi sanitari diretti della parte ottava, che gravano sul bilancio sanitario regionale. In secondo luogo, esso coglie le sole prestazioni assistenziali non previdenziali, fondate sul bisogno, e non include in alcun punto le prestazioni previdenziali di invalidità e inabilità, fondate sulla contribuzione, integralmente attribuite al dominio pensionistico: la distinzione tra base assistenziale e base contributiva separa nettamente i due domini.</w:t>
      </w:r>
      <w:r>
        <w:rPr>
          <w:color w:val="555555"/>
          <w:sz w:val="16"/>
          <w:szCs w:val="16"/>
          <w:vertAlign w:val="superscript"/>
        </w:rPr>
        <w:t>[19]</w:t>
      </w:r>
      <w:r>
        <w:t xml:space="preserve"> In terzo luogo, esso coglie le sole prestazioni assistenziali formali, erogate dallo Stato, e non include l’assistenza informale prestata dai familiari, attribuita al dominio assistenzialistico: la distinzione tra assistenza formale e informale separa i due domini. La duplice distinzione — dalle prestazioni previdenziali e dall’assistenza informale — è ciò che definisce con precisione il perimetro del dominio </w:t>
      </w:r>
      <w:proofErr w:type="spellStart"/>
      <w:r>
        <w:t>welfaristico</w:t>
      </w:r>
      <w:proofErr w:type="spellEnd"/>
      <w:r>
        <w:t xml:space="preserve"> e ne garantisce la non sovrapposizione.</w:t>
      </w:r>
    </w:p>
    <w:p w14:paraId="0094A686" w14:textId="77777777" w:rsidR="007C4598" w:rsidRDefault="007C4598"/>
    <w:p w14:paraId="61C520B8" w14:textId="77777777" w:rsidR="007C4598" w:rsidRDefault="00000000">
      <w:pPr>
        <w:jc w:val="both"/>
      </w:pPr>
      <w:r>
        <w:t xml:space="preserve">La verifica documentale del dominio </w:t>
      </w:r>
      <w:proofErr w:type="spellStart"/>
      <w:r>
        <w:t>welfaristico</w:t>
      </w:r>
      <w:proofErr w:type="spellEnd"/>
      <w:r>
        <w:t xml:space="preserve"> segue un’agenda precisa. Essa richiede l’acquisizione dei dati regionali sulla spesa per le indennità e le prestazioni assistenziali per la disabilità e sulle misure di sostegno al reddito, disaggregati per causa nella misura in cui ciò è possibile, indispensabili per stimare la componente riconducibile al disagio psichico; e l’elaborazione di parametri sulla relazione tra disagio psichico, compromissione dell’autonomia ed esclusione economica, necessari per isolare tale componente dalla spesa determinata da fattori non psichici. L’acquisizione di questi dati, prevista nella fase di consolidamento, consentirà di restringere la banda del beneficio </w:t>
      </w:r>
      <w:proofErr w:type="spellStart"/>
      <w:r>
        <w:t>welfaristico</w:t>
      </w:r>
      <w:proofErr w:type="spellEnd"/>
      <w:r>
        <w:t xml:space="preserve"> e di precisarne la stima, tenuto conto della particolare difficoltà di attribuzione in un contesto di disagio sociale diffuso.</w:t>
      </w:r>
      <w:r>
        <w:rPr>
          <w:color w:val="555555"/>
          <w:sz w:val="16"/>
          <w:szCs w:val="16"/>
          <w:vertAlign w:val="superscript"/>
        </w:rPr>
        <w:t>[20]</w:t>
      </w:r>
      <w:r>
        <w:t xml:space="preserve"> Esauriti i primi cinque domini, che coprono la produzione, la previdenza, l’assistenza informale e il welfare formale, la rinegoziazione può ora muovere verso i domini della prevenzione, della giustizia e dell’amministrazione, oggetto della tranche successiva.</w:t>
      </w:r>
    </w:p>
    <w:p w14:paraId="62851BF8" w14:textId="77777777" w:rsidR="007C4598" w:rsidRDefault="007C4598"/>
    <w:p w14:paraId="278ED854" w14:textId="77777777" w:rsidR="007C4598" w:rsidRDefault="00000000">
      <w:pPr>
        <w:pStyle w:val="Titolo1"/>
        <w:pageBreakBefore/>
      </w:pPr>
      <w:r>
        <w:rPr>
          <w:sz w:val="22"/>
          <w:szCs w:val="22"/>
        </w:rPr>
        <w:t xml:space="preserve">9.6  Il dominio </w:t>
      </w:r>
      <w:proofErr w:type="spellStart"/>
      <w:r>
        <w:rPr>
          <w:sz w:val="22"/>
          <w:szCs w:val="22"/>
        </w:rPr>
        <w:t>prevenzionalistico</w:t>
      </w:r>
      <w:proofErr w:type="spellEnd"/>
    </w:p>
    <w:p w14:paraId="2E0DE330" w14:textId="77777777" w:rsidR="007C4598" w:rsidRDefault="007C4598"/>
    <w:p w14:paraId="65D165A7" w14:textId="77777777" w:rsidR="007C4598" w:rsidRDefault="00000000">
      <w:pPr>
        <w:jc w:val="both"/>
      </w:pPr>
      <w:r>
        <w:rPr>
          <w:i/>
          <w:iCs/>
        </w:rPr>
        <w:t xml:space="preserve">Il sesto dominio del perimetro integrale è il </w:t>
      </w:r>
      <w:proofErr w:type="spellStart"/>
      <w:r>
        <w:rPr>
          <w:i/>
          <w:iCs/>
        </w:rPr>
        <w:t>prevenzionalistico</w:t>
      </w:r>
      <w:proofErr w:type="spellEnd"/>
      <w:r>
        <w:rPr>
          <w:i/>
          <w:iCs/>
        </w:rPr>
        <w:t xml:space="preserve">, e condivide con il produttivistico la natura di dominio in parte trasversale, che impone un trattamento attento alla non duplicazione. La prevenzione, infatti, non è soltanto un dominio tra gli altri, ma il meccanismo stesso attraverso cui la riforma genera la maggior parte dei propri benefici: l’intercettazione precoce del disagio comune è, per definizione, un atto di prevenzione, e il valore che ne deriva — minori ricoveri, minore perdita di produttività, minore uscita dal lavoro — è già contabilizzato nei risparmi diretti della parte ottava e nei domini lavorativo e pensionistico. Per evitare il doppio conteggio, il dominio </w:t>
      </w:r>
      <w:proofErr w:type="spellStart"/>
      <w:r>
        <w:rPr>
          <w:i/>
          <w:iCs/>
        </w:rPr>
        <w:t>prevenzionalistico</w:t>
      </w:r>
      <w:proofErr w:type="spellEnd"/>
      <w:r>
        <w:rPr>
          <w:i/>
          <w:iCs/>
        </w:rPr>
        <w:t xml:space="preserve"> è trattato, come il produttivistico, non come addendo che si somma ai benefici già attribuiti, ma come ambito che ne isola la sola componente residua: il valore prospettico dei costi futuri evitati attraverso la prevenzione delle ricadute e della cronicizzazione, non già colto come risparmio o beneficio presente dagli altri domini. La voce ricostruisce il contesto della prevenzione lungo i suoi livelli, ne isola i meccanismi residui, ne traccia la catena causale, ne stima la componente residua per scenario e ne dichiara, con il rigore richiesto, i confini e la non sovrapposizione.</w:t>
      </w:r>
    </w:p>
    <w:p w14:paraId="2D35A0DE" w14:textId="77777777" w:rsidR="007C4598" w:rsidRDefault="007C4598"/>
    <w:p w14:paraId="7D693F62" w14:textId="77777777" w:rsidR="007C4598" w:rsidRDefault="00000000">
      <w:pPr>
        <w:pStyle w:val="Titolo2"/>
        <w:spacing w:before="200" w:after="100"/>
      </w:pPr>
      <w:r>
        <w:rPr>
          <w:sz w:val="22"/>
          <w:szCs w:val="22"/>
        </w:rPr>
        <w:t>9.6.1  Il contesto: i livelli della prevenzione e il loro valore</w:t>
      </w:r>
    </w:p>
    <w:p w14:paraId="49B19188" w14:textId="77777777" w:rsidR="007C4598" w:rsidRDefault="007C4598"/>
    <w:p w14:paraId="3C28DCB5" w14:textId="77777777" w:rsidR="007C4598" w:rsidRDefault="00000000">
      <w:pPr>
        <w:jc w:val="both"/>
      </w:pPr>
      <w:r>
        <w:t>La prevenzione si articola, secondo la classificazione consolidata, in tre livelli, che corrispondono a tre momenti distinti dell’intervento sul disagio. La prevenzione primaria mira a evitare l’insorgenza stessa del disturbo, agendo sui fattori di rischio prima che la condizione si manifesti; nel campo del disagio psichico essa comprende la promozione del benessere, l’alfabetizzazione psicologica e l’intervento sui determinanti sociali, ed è prevalentemente di natura collettiva e di lungo periodo. La prevenzione secondaria mira a intercettare il disturbo nei suoi stadi iniziali e a impedirne l’evoluzione, agendo dopo l’insorgenza ma prima della cronicizzazione; è il livello su cui lo Psicologo di Base opera in modo più diretto, attraverso l’intercettazione precoce nelle cure primarie. La prevenzione terziaria mira a contenere le conseguenze del disturbo già manifesto e a prevenirne la progressione verso la cronicizzazione e la disabilità, agendo sui casi conclamati per limitarne l’aggravamento.</w:t>
      </w:r>
    </w:p>
    <w:p w14:paraId="06A7DE7B" w14:textId="77777777" w:rsidR="007C4598" w:rsidRDefault="007C4598"/>
    <w:p w14:paraId="710EB62D" w14:textId="77777777" w:rsidR="007C4598" w:rsidRDefault="00000000">
      <w:pPr>
        <w:jc w:val="both"/>
      </w:pPr>
      <w:r>
        <w:t xml:space="preserve">Il valore economico della prevenzione risiede nella sua capacità di evitare costi futuri: il disturbo prevenuto o intercettato precocemente non genera i costi — sanitari, di produttività, previdenziali, assistenziali — che il disturbo lasciato evolvere avrebbe generato. Questo valore, tuttavia, pone un problema di attribuzione che è il cuore del trattamento del dominio </w:t>
      </w:r>
      <w:proofErr w:type="spellStart"/>
      <w:r>
        <w:t>prevenzionalistico</w:t>
      </w:r>
      <w:proofErr w:type="spellEnd"/>
      <w:r>
        <w:t xml:space="preserve">. La maggior parte del valore della prevenzione, infatti, si manifesta come riduzione di costi che gli altri domini hanno già contabilizzato: i minori ricoveri evitati dalla prevenzione sono già nei risparmi diretti della parte ottava, la minore perdita di produttività è già nel dominio lavorativo, la minore uscita dal lavoro è già nel dominio pensionistico. Attribuire al dominio </w:t>
      </w:r>
      <w:proofErr w:type="spellStart"/>
      <w:r>
        <w:t>prevenzionalistico</w:t>
      </w:r>
      <w:proofErr w:type="spellEnd"/>
      <w:r>
        <w:t xml:space="preserve"> l’intero valore della prevenzione significherebbe contare una seconda volta benefici già attribuiti. La sola componente che il dominio </w:t>
      </w:r>
      <w:proofErr w:type="spellStart"/>
      <w:r>
        <w:t>prevenzionalistico</w:t>
      </w:r>
      <w:proofErr w:type="spellEnd"/>
      <w:r>
        <w:t xml:space="preserve"> può legittimamente quantificare è dunque quella residua: il valore prospettico dei costi futuri evitati che non si manifesta come risparmio o beneficio presente, e che gli altri domini non hanno colto.</w:t>
      </w:r>
    </w:p>
    <w:p w14:paraId="5C6FBD9A" w14:textId="77777777" w:rsidR="007C4598" w:rsidRDefault="007C4598"/>
    <w:p w14:paraId="45C9B44E" w14:textId="77777777" w:rsidR="007C4598" w:rsidRDefault="00000000">
      <w:pPr>
        <w:jc w:val="both"/>
      </w:pPr>
      <w:r>
        <w:t xml:space="preserve">Questa componente residua è duplice, e corrisponde ai due livelli di prevenzione su cui lo Psicologo di Base opera. La prima parte è costituita dal valore prospettico della prevenzione secondaria: il costo futuro delle ricadute e delle riacutizzazioni evitate attraverso il consolidamento del miglioramento clinico, costo che si proietta negli anni successivi e che non è colto dal risparmio diretto del presente. La seconda parte è costituita dal valore prospettico della prevenzione terziaria: il costo futuro della cronicizzazione e della progressione verso la disabilità evitate, costo che si proietta nel lungo periodo e che eccede la quota già colta dai domini lavorativo e pensionistico. È la somma di queste due componenti prospettiche residue — opportunamente attualizzate e nettate di quanto già contabilizzato altrove — che costituisce la grandezza che il dominio </w:t>
      </w:r>
      <w:proofErr w:type="spellStart"/>
      <w:r>
        <w:t>prevenzionalistico</w:t>
      </w:r>
      <w:proofErr w:type="spellEnd"/>
      <w:r>
        <w:t xml:space="preserve"> quantifica, con la prudenza imposta dalla natura prospettica e residuale della stima.</w:t>
      </w:r>
    </w:p>
    <w:p w14:paraId="6616FBBC" w14:textId="77777777" w:rsidR="007C4598" w:rsidRDefault="007C4598"/>
    <w:p w14:paraId="1AC44E9D" w14:textId="77777777" w:rsidR="007C4598" w:rsidRDefault="00000000">
      <w:pPr>
        <w:pStyle w:val="Titolo2"/>
        <w:spacing w:before="200" w:after="100"/>
      </w:pPr>
      <w:r>
        <w:rPr>
          <w:sz w:val="22"/>
          <w:szCs w:val="22"/>
        </w:rPr>
        <w:t>9.6.2  I meccanismi residui: prevenzione secondaria e terziaria</w:t>
      </w:r>
    </w:p>
    <w:p w14:paraId="7808A56A" w14:textId="77777777" w:rsidR="007C4598" w:rsidRDefault="007C4598"/>
    <w:p w14:paraId="7EBEBF2D" w14:textId="77777777" w:rsidR="007C4598" w:rsidRDefault="00000000">
      <w:pPr>
        <w:jc w:val="both"/>
      </w:pPr>
      <w:r>
        <w:t xml:space="preserve">Il dominio </w:t>
      </w:r>
      <w:proofErr w:type="spellStart"/>
      <w:r>
        <w:t>prevenzionalistico</w:t>
      </w:r>
      <w:proofErr w:type="spellEnd"/>
      <w:r>
        <w:t>, nella sua componente residua, opera attraverso due meccanismi prospettici. Il primo meccanismo è la riduzione dei costi futuri delle ricadute e delle riacutizzazioni. Il consolidamento del miglioramento clinico, conseguente alla presa in carico precoce e al monitoraggio nel tempo, riduce la probabilità che il disturbo, apparentemente risolto, si ripresenti in forma di ricaduta o di riacutizzazione negli anni successivi; il valore che ne deriva è quello dei costi futuri — sanitari, di produttività e sociali — che la ricaduta evitata avrebbe generato, attualizzati al presente. Questo meccanismo coglie un valore prospettico, distinto dal risparmio del presente, e ne quantifica la sola quota non già implicitamente inclusa nelle stime di regime degli altri domini.</w:t>
      </w:r>
    </w:p>
    <w:p w14:paraId="76B9224C" w14:textId="77777777" w:rsidR="007C4598" w:rsidRDefault="007C4598"/>
    <w:p w14:paraId="3765AEAD" w14:textId="77777777" w:rsidR="007C4598" w:rsidRDefault="00000000">
      <w:pPr>
        <w:jc w:val="both"/>
      </w:pPr>
      <w:r>
        <w:t>Il secondo meccanismo è la riduzione dei costi futuri della cronicizzazione e della progressione verso la disabilità. La prevenzione dell’evoluzione del disturbo da forma acuta a forma cronica, conseguente all’intervento tempestivo, riduce la probabilità che il disturbo progredisca verso gli stadi di disabilità stabile che generano i costi maggiori e più duraturi; il valore che ne deriva è quello dei costi futuri della cronicizzazione evitata, attualizzati al presente, nella quota che eccede quanto già colto dai domini lavorativo e pensionistico per l’uscita dal lavoro e la perdita di produttività. I due meccanismi convergono verso il valore prospettico residuo della prevenzione, e ne colgono le sole componenti — ricadute e cronicizzazione future — che si proiettano negli anni successivi e che non sono già contabilizzate come benefici presenti dagli altri domini. La natura prospettica e residuale di entrambi i meccanismi impone una stima particolarmente prudente, attualizzata e nettata.</w:t>
      </w:r>
    </w:p>
    <w:p w14:paraId="52EB006F" w14:textId="77777777" w:rsidR="007C4598" w:rsidRDefault="007C4598"/>
    <w:p w14:paraId="1C7C7725" w14:textId="77777777" w:rsidR="007C4598" w:rsidRDefault="00000000">
      <w:pPr>
        <w:pStyle w:val="Titolo2"/>
        <w:spacing w:before="200" w:after="100"/>
      </w:pPr>
      <w:r>
        <w:rPr>
          <w:sz w:val="22"/>
          <w:szCs w:val="22"/>
        </w:rPr>
        <w:t xml:space="preserve">9.6.3  La catena causale del beneficio </w:t>
      </w:r>
      <w:proofErr w:type="spellStart"/>
      <w:r>
        <w:rPr>
          <w:sz w:val="22"/>
          <w:szCs w:val="22"/>
        </w:rPr>
        <w:t>prevenzionalistico</w:t>
      </w:r>
      <w:proofErr w:type="spellEnd"/>
      <w:r>
        <w:rPr>
          <w:sz w:val="22"/>
          <w:szCs w:val="22"/>
        </w:rPr>
        <w:t xml:space="preserve"> residuo</w:t>
      </w:r>
    </w:p>
    <w:p w14:paraId="6DF39198" w14:textId="77777777" w:rsidR="007C4598" w:rsidRDefault="007C4598"/>
    <w:p w14:paraId="3425552D" w14:textId="77777777" w:rsidR="007C4598" w:rsidRDefault="00000000">
      <w:pPr>
        <w:jc w:val="both"/>
      </w:pPr>
      <w:r>
        <w:t xml:space="preserve">La formazione del beneficio </w:t>
      </w:r>
      <w:proofErr w:type="spellStart"/>
      <w:r>
        <w:t>prevenzionalistico</w:t>
      </w:r>
      <w:proofErr w:type="spellEnd"/>
      <w:r>
        <w:t xml:space="preserve"> residuo segue una catena causale di natura prospettica, i cui anelli si proiettano nel tempo. Il primo anello è clinico: l’intercettazione precoce e il monitoraggio nel tempo consolidano il miglioramento e prevengono ricadute e progressione. Questo anello è sostenuto da evidenza da moderata ad alta per l’efficacia della presa in carico, e da evidenza più variabile per la specifica capacità di prevenzione delle ricadute nel lungo periodo, che dipende dalla continuità del monitoraggio. Il secondo anello è prospettico-economico: la prevenzione di ricadute e progressione evita costi futuri, che si proiettano negli anni successivi e che devono essere attualizzati al presente. Questo anello introduce l’incertezza propria delle proiezioni di lungo periodo, accentuata dalla necessità di attualizzazione e dalla difficoltà di stimare la quota di costi futuri non già implicitamente inclusa nelle stime di regime.</w:t>
      </w:r>
    </w:p>
    <w:p w14:paraId="17417AD7" w14:textId="77777777" w:rsidR="007C4598" w:rsidRDefault="007C4598"/>
    <w:p w14:paraId="46123544" w14:textId="77777777" w:rsidR="007C4598" w:rsidRDefault="00000000">
      <w:pPr>
        <w:jc w:val="both"/>
      </w:pPr>
      <w:r>
        <w:t xml:space="preserve">Il terzo anello è quello della non duplicazione: il valore prospettico residuo deve essere nettato di quanto già contabilizzato dagli altri domini, operazione che richiede di distinguere la componente genuinamente prospettica e residuale dalla componente già colta come beneficio presente. La graduazione complessiva del beneficio </w:t>
      </w:r>
      <w:proofErr w:type="spellStart"/>
      <w:r>
        <w:t>prevenzionalistico</w:t>
      </w:r>
      <w:proofErr w:type="spellEnd"/>
      <w:r>
        <w:t xml:space="preserve"> residuo è da intermedia a bassa, in ragione della natura prospettica della stima e della delicatezza dell’operazione di </w:t>
      </w:r>
      <w:proofErr w:type="spellStart"/>
      <w:r>
        <w:t>netting</w:t>
      </w:r>
      <w:proofErr w:type="spellEnd"/>
      <w:r>
        <w:t>; e si traduce in bande prudenziali ampie e in una stima centrale contenuta. La catena è governata, in modo ancora più stringente che negli altri domini, dalla regola di non duplicazione: essa coglie esclusivamente il valore prospettico dei costi futuri evitati, e non include in alcun punto i benefici presenti già attribuiti ai risparmi diretti della parte ottava e ai domini lavorativo e pensionistico. È questa esclusione che impedisce al dominio di duplicare il valore della prevenzione, gran parte del quale è già contabilizzato come beneficio presente altrove.</w:t>
      </w:r>
    </w:p>
    <w:p w14:paraId="43923D28" w14:textId="77777777" w:rsidR="007C4598" w:rsidRDefault="007C4598"/>
    <w:p w14:paraId="5C40FDFF" w14:textId="77777777" w:rsidR="007C4598" w:rsidRDefault="00000000">
      <w:pPr>
        <w:pStyle w:val="Titolo2"/>
        <w:spacing w:before="200" w:after="100"/>
      </w:pPr>
      <w:r>
        <w:rPr>
          <w:sz w:val="22"/>
          <w:szCs w:val="22"/>
        </w:rPr>
        <w:t xml:space="preserve">9.6.4  La quantificazione del dominio </w:t>
      </w:r>
      <w:proofErr w:type="spellStart"/>
      <w:r>
        <w:rPr>
          <w:sz w:val="22"/>
          <w:szCs w:val="22"/>
        </w:rPr>
        <w:t>prevenzionalistico</w:t>
      </w:r>
      <w:proofErr w:type="spellEnd"/>
      <w:r>
        <w:rPr>
          <w:sz w:val="22"/>
          <w:szCs w:val="22"/>
        </w:rPr>
        <w:t xml:space="preserve"> residuo</w:t>
      </w:r>
    </w:p>
    <w:p w14:paraId="445D1101" w14:textId="77777777" w:rsidR="007C4598" w:rsidRDefault="007C4598"/>
    <w:p w14:paraId="41622662" w14:textId="77777777" w:rsidR="007C4598" w:rsidRDefault="00000000">
      <w:pPr>
        <w:jc w:val="both"/>
      </w:pPr>
      <w:r>
        <w:t xml:space="preserve">La quantificazione del dominio </w:t>
      </w:r>
      <w:proofErr w:type="spellStart"/>
      <w:r>
        <w:t>prevenzionalistico</w:t>
      </w:r>
      <w:proofErr w:type="spellEnd"/>
      <w:r>
        <w:t xml:space="preserve"> si limita, per le ragioni esposte, alla sola componente prospettica residua, attualizzata e nettata di quanto già contabilizzato. La tabella che segue ricostruisce le due forme della componente residua e i margini su cui il dominio opera.</w:t>
      </w:r>
    </w:p>
    <w:p w14:paraId="6D676154"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2F7035A9"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20DCAA7" w14:textId="77777777" w:rsidR="007C4598" w:rsidRDefault="00000000">
            <w:pPr>
              <w:spacing w:after="40"/>
            </w:pPr>
            <w:r>
              <w:rPr>
                <w:b/>
                <w:bCs/>
                <w:color w:val="FFFFFF"/>
                <w:sz w:val="18"/>
                <w:szCs w:val="18"/>
              </w:rPr>
              <w:t>Livello di prevenzione (componente residua)</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6243B2A" w14:textId="77777777" w:rsidR="007C4598" w:rsidRDefault="00000000">
            <w:pPr>
              <w:spacing w:after="40"/>
            </w:pPr>
            <w:r>
              <w:rPr>
                <w:b/>
                <w:bCs/>
                <w:color w:val="FFFFFF"/>
                <w:sz w:val="18"/>
                <w:szCs w:val="18"/>
              </w:rPr>
              <w:t>Grandezza di ancoraggio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6FE9392" w14:textId="77777777" w:rsidR="007C4598" w:rsidRDefault="00000000">
            <w:pPr>
              <w:spacing w:after="40"/>
            </w:pPr>
            <w:r>
              <w:rPr>
                <w:b/>
                <w:bCs/>
                <w:color w:val="FFFFFF"/>
                <w:sz w:val="18"/>
                <w:szCs w:val="18"/>
              </w:rPr>
              <w:t>Componente residua attribuibile al dominio (non già altrove)</w:t>
            </w:r>
          </w:p>
        </w:tc>
      </w:tr>
      <w:tr w:rsidR="007C4598" w14:paraId="130277AE"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EC76444" w14:textId="77777777" w:rsidR="007C4598" w:rsidRDefault="00000000">
            <w:pPr>
              <w:spacing w:after="40"/>
            </w:pPr>
            <w:r>
              <w:t>Prevenzione secondaria (ricadute e riacutizzazioni)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25E76AB" w14:textId="77777777" w:rsidR="007C4598" w:rsidRDefault="00000000">
            <w:pPr>
              <w:spacing w:after="40"/>
            </w:pPr>
            <w:r>
              <w:t>costo futuro attualizzato delle ricadute evitate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CFB629A" w14:textId="77777777" w:rsidR="007C4598" w:rsidRDefault="00000000">
            <w:pPr>
              <w:spacing w:after="40"/>
            </w:pPr>
            <w:r>
              <w:t>la quota di costo futuro evitato non già colta dai risparmi diretti del presente</w:t>
            </w:r>
          </w:p>
        </w:tc>
      </w:tr>
      <w:tr w:rsidR="007C4598" w14:paraId="4E922876"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0B5F77F" w14:textId="77777777" w:rsidR="007C4598" w:rsidRDefault="00000000">
            <w:pPr>
              <w:spacing w:after="40"/>
            </w:pPr>
            <w:r>
              <w:t>Prevenzione terziaria (cronicizzazione e progressione)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FE4A033" w14:textId="77777777" w:rsidR="007C4598" w:rsidRDefault="00000000">
            <w:pPr>
              <w:spacing w:after="40"/>
            </w:pPr>
            <w:r>
              <w:t>costo futuro attualizzato della cronicizzazione evitata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0E28EEE" w14:textId="77777777" w:rsidR="007C4598" w:rsidRDefault="00000000">
            <w:pPr>
              <w:spacing w:after="40"/>
            </w:pPr>
            <w:r>
              <w:t>la quota di progressione evitata non già colta dai domini lavorativo e pensionistico</w:t>
            </w:r>
          </w:p>
        </w:tc>
      </w:tr>
    </w:tbl>
    <w:p w14:paraId="58271533" w14:textId="77777777" w:rsidR="007C4598" w:rsidRDefault="007C4598"/>
    <w:p w14:paraId="6E6539AA" w14:textId="77777777" w:rsidR="007C4598" w:rsidRDefault="00000000">
      <w:pPr>
        <w:jc w:val="both"/>
      </w:pPr>
      <w:r>
        <w:rPr>
          <w:i/>
          <w:iCs/>
        </w:rPr>
        <w:t>Tabella 9.11 — Le forme della componente prospettica residua della prevenzione e i margini di attribuzione. Le grandezze sono ricostruite sulle fonti disponibili e saranno sostituite dai dati certificati non appena acquisiti; le componenti residue riguardano i soli costi futuri evitati non già contabilizzati come benefici presenti dagli altri domini, e sono attualizzate al presente.</w:t>
      </w:r>
    </w:p>
    <w:p w14:paraId="3C621D6D" w14:textId="77777777" w:rsidR="007C4598" w:rsidRDefault="007C4598"/>
    <w:p w14:paraId="1B0FC361" w14:textId="77777777" w:rsidR="007C4598" w:rsidRDefault="00000000">
      <w:pPr>
        <w:jc w:val="both"/>
      </w:pPr>
      <w:r>
        <w:t xml:space="preserve">Sulla base di questo quadro, la stima della componente residua del dominio </w:t>
      </w:r>
      <w:proofErr w:type="spellStart"/>
      <w:r>
        <w:t>prevenzionalistico</w:t>
      </w:r>
      <w:proofErr w:type="spellEnd"/>
      <w:r>
        <w:t xml:space="preserve"> è articolata nelle due forme e per ciascuno dei tre scenari di copertura. Entrambe le componenti sono di entità contenuta, in ragione della natura prospettica e residuale della grandezza e della prudenza imposta dall’attualizzazione e dal </w:t>
      </w:r>
      <w:proofErr w:type="spellStart"/>
      <w:r>
        <w:t>netting</w:t>
      </w:r>
      <w:proofErr w:type="spellEnd"/>
      <w:r>
        <w:t>. La tabella che segue espone la stima per componente e per scenario.</w:t>
      </w:r>
    </w:p>
    <w:p w14:paraId="46C71F7A"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5A3CA1BC"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00F70D9" w14:textId="77777777" w:rsidR="007C4598" w:rsidRDefault="00000000">
            <w:pPr>
              <w:spacing w:after="40"/>
            </w:pPr>
            <w:r>
              <w:rPr>
                <w:b/>
                <w:bCs/>
                <w:color w:val="FFFFFF"/>
                <w:sz w:val="18"/>
                <w:szCs w:val="18"/>
              </w:rPr>
              <w:t xml:space="preserve">Componente del beneficio </w:t>
            </w:r>
            <w:proofErr w:type="spellStart"/>
            <w:r>
              <w:rPr>
                <w:b/>
                <w:bCs/>
                <w:color w:val="FFFFFF"/>
                <w:sz w:val="18"/>
                <w:szCs w:val="18"/>
              </w:rPr>
              <w:t>prevenzionalistico</w:t>
            </w:r>
            <w:proofErr w:type="spellEnd"/>
            <w:r>
              <w:rPr>
                <w:b/>
                <w:bCs/>
                <w:color w:val="FFFFFF"/>
                <w:sz w:val="18"/>
                <w:szCs w:val="18"/>
              </w:rPr>
              <w:t xml:space="preserve"> residuo (mln €/anno)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B691364" w14:textId="77777777" w:rsidR="007C4598" w:rsidRDefault="00000000">
            <w:pPr>
              <w:spacing w:after="40"/>
            </w:pPr>
            <w:r>
              <w:rPr>
                <w:b/>
                <w:bCs/>
                <w:color w:val="FFFFFF"/>
                <w:sz w:val="18"/>
                <w:szCs w:val="18"/>
              </w:rPr>
              <w:t>Conservativo (~450)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919C603" w14:textId="77777777" w:rsidR="007C4598" w:rsidRDefault="00000000">
            <w:pPr>
              <w:spacing w:after="40"/>
            </w:pPr>
            <w:r>
              <w:rPr>
                <w:b/>
                <w:bCs/>
                <w:color w:val="FFFFFF"/>
                <w:sz w:val="18"/>
                <w:szCs w:val="18"/>
              </w:rPr>
              <w:t>Intermedio (~700)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CCE1D09" w14:textId="77777777" w:rsidR="007C4598" w:rsidRDefault="00000000">
            <w:pPr>
              <w:spacing w:after="40"/>
            </w:pPr>
            <w:r>
              <w:rPr>
                <w:b/>
                <w:bCs/>
                <w:color w:val="FFFFFF"/>
                <w:sz w:val="18"/>
                <w:szCs w:val="18"/>
              </w:rPr>
              <w:t>Espansivo (~900)</w:t>
            </w:r>
          </w:p>
        </w:tc>
      </w:tr>
      <w:tr w:rsidR="007C4598" w14:paraId="6C26ABDB"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3157D5D" w14:textId="77777777" w:rsidR="007C4598" w:rsidRDefault="00000000">
            <w:pPr>
              <w:spacing w:after="40"/>
            </w:pPr>
            <w:r>
              <w:t>Prevenzione secondaria: ricadute e riacutizzazioni evitate (residuo)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A775158" w14:textId="77777777" w:rsidR="007C4598" w:rsidRDefault="00000000">
            <w:pPr>
              <w:spacing w:after="40"/>
            </w:pPr>
            <w:r>
              <w:t>~2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E7880C6" w14:textId="77777777" w:rsidR="007C4598" w:rsidRDefault="00000000">
            <w:pPr>
              <w:spacing w:after="40"/>
            </w:pPr>
            <w:r>
              <w:t>~3</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FF103AC" w14:textId="77777777" w:rsidR="007C4598" w:rsidRDefault="00000000">
            <w:pPr>
              <w:spacing w:after="40"/>
            </w:pPr>
            <w:r>
              <w:t>~5</w:t>
            </w:r>
          </w:p>
        </w:tc>
      </w:tr>
      <w:tr w:rsidR="007C4598" w14:paraId="576CF45C"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29BF09D" w14:textId="77777777" w:rsidR="007C4598" w:rsidRDefault="00000000">
            <w:pPr>
              <w:spacing w:after="40"/>
            </w:pPr>
            <w:r>
              <w:t>Prevenzione terziaria: cronicizzazione e progressione evitate (residuo)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36A7AD8" w14:textId="77777777" w:rsidR="007C4598" w:rsidRDefault="00000000">
            <w:pPr>
              <w:spacing w:after="40"/>
            </w:pPr>
            <w:r>
              <w:t>~2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6F79912" w14:textId="77777777" w:rsidR="007C4598" w:rsidRDefault="00000000">
            <w:pPr>
              <w:spacing w:after="40"/>
            </w:pPr>
            <w:r>
              <w:t>~3</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3B810E5" w14:textId="77777777" w:rsidR="007C4598" w:rsidRDefault="00000000">
            <w:pPr>
              <w:spacing w:after="40"/>
            </w:pPr>
            <w:r>
              <w:t>~4</w:t>
            </w:r>
          </w:p>
        </w:tc>
      </w:tr>
      <w:tr w:rsidR="007C4598" w14:paraId="517CF8BD"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9E75F17" w14:textId="77777777" w:rsidR="007C4598" w:rsidRDefault="00000000">
            <w:pPr>
              <w:spacing w:after="40"/>
            </w:pPr>
            <w:r>
              <w:t xml:space="preserve">Beneficio </w:t>
            </w:r>
            <w:proofErr w:type="spellStart"/>
            <w:r>
              <w:t>prevenzionalistico</w:t>
            </w:r>
            <w:proofErr w:type="spellEnd"/>
            <w:r>
              <w:t xml:space="preserve"> residuo del dominio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C37BDE4" w14:textId="77777777" w:rsidR="007C4598" w:rsidRDefault="00000000">
            <w:pPr>
              <w:spacing w:after="40"/>
            </w:pPr>
            <w:r>
              <w:t>~4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17C80B6" w14:textId="77777777" w:rsidR="007C4598" w:rsidRDefault="00000000">
            <w:pPr>
              <w:spacing w:after="40"/>
            </w:pPr>
            <w:r>
              <w:t>~6</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0629864" w14:textId="77777777" w:rsidR="007C4598" w:rsidRDefault="00000000">
            <w:pPr>
              <w:spacing w:after="40"/>
            </w:pPr>
            <w:r>
              <w:t>~9</w:t>
            </w:r>
          </w:p>
        </w:tc>
      </w:tr>
    </w:tbl>
    <w:p w14:paraId="425F3E48" w14:textId="77777777" w:rsidR="007C4598" w:rsidRDefault="007C4598"/>
    <w:p w14:paraId="5AE51EE8" w14:textId="77777777" w:rsidR="007C4598" w:rsidRDefault="00000000">
      <w:pPr>
        <w:jc w:val="both"/>
      </w:pPr>
      <w:r>
        <w:rPr>
          <w:i/>
          <w:iCs/>
        </w:rPr>
        <w:t xml:space="preserve">Tabella 9.12 — Stima prudenziale della componente residua del dominio </w:t>
      </w:r>
      <w:proofErr w:type="spellStart"/>
      <w:r>
        <w:rPr>
          <w:i/>
          <w:iCs/>
        </w:rPr>
        <w:t>prevenzionalistico</w:t>
      </w:r>
      <w:proofErr w:type="spellEnd"/>
      <w:r>
        <w:rPr>
          <w:i/>
          <w:iCs/>
        </w:rPr>
        <w:t xml:space="preserve"> per scenario. Le cifre sono bande prudenziali arrotondate e attualizzate; l’ultima riga è la somma delle due componenti residue. Il valore è la sola componente prospettica non già attribuita ai risparmi diretti del presente e ai domini lavorativo e pensionistico.</w:t>
      </w:r>
    </w:p>
    <w:p w14:paraId="22DF8073" w14:textId="77777777" w:rsidR="007C4598" w:rsidRDefault="007C4598"/>
    <w:p w14:paraId="734F9145" w14:textId="77777777" w:rsidR="007C4598" w:rsidRDefault="00000000">
      <w:pPr>
        <w:jc w:val="both"/>
      </w:pPr>
      <w:r>
        <w:t xml:space="preserve">Il beneficio </w:t>
      </w:r>
      <w:proofErr w:type="spellStart"/>
      <w:r>
        <w:t>prevenzionalistico</w:t>
      </w:r>
      <w:proofErr w:type="spellEnd"/>
      <w:r>
        <w:t xml:space="preserve"> residuo è dunque stimato in un ordine di grandezza compreso tra circa quattro milioni di euro l’anno nello scenario conservativo e circa nove milioni nello scenario espansivo, con un valore intermedio dell’ordine di sei milioni. La modestia della cifra, come per il dominio produttivistico, non indica la scarsa rilevanza della prevenzione, che è al contrario il meccanismo centrale della riforma, ma riflette il rigore della regola di non duplicazione: la gran parte del valore della prevenzione è già contabilizzata come beneficio presente nei risparmi diretti e nei domini lavorativo e pensionistico, e ciò che il dominio </w:t>
      </w:r>
      <w:proofErr w:type="spellStart"/>
      <w:r>
        <w:t>prevenzionalistico</w:t>
      </w:r>
      <w:proofErr w:type="spellEnd"/>
      <w:r>
        <w:t xml:space="preserve"> aggiunge è soltanto la quota prospettica residua, dei costi futuri evitati, non altrimenti colta. La funzione del dominio </w:t>
      </w:r>
      <w:proofErr w:type="spellStart"/>
      <w:r>
        <w:t>prevenzionalistico</w:t>
      </w:r>
      <w:proofErr w:type="spellEnd"/>
      <w:r>
        <w:t xml:space="preserve"> nell’economia della parte non è dunque quella di aggiungere una grandezza cospicua, ma quella di catturare la dimensione temporale del valore della prevenzione — i costi che si manifesterebbero negli anni futuri — che le stime di regime degli altri domini non colgono pienamente, e di riconoscere così il carattere intrinsecamente preventivo dell’intera riforma senza duplicarne il valore.</w:t>
      </w:r>
    </w:p>
    <w:p w14:paraId="4E84E792"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782257B4"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BB4AE45" w14:textId="77777777" w:rsidR="007C4598" w:rsidRDefault="00000000">
            <w:pPr>
              <w:spacing w:after="40"/>
            </w:pPr>
            <w:r>
              <w:rPr>
                <w:b/>
                <w:bCs/>
                <w:color w:val="FFFFFF"/>
                <w:sz w:val="18"/>
                <w:szCs w:val="18"/>
              </w:rPr>
              <w:t xml:space="preserve">◆ SEGNAPOSTO INFOGRAFICA — FIG. 9.F · DA INSERIRE A POSTERIORI Titolo previsto: Il dominio </w:t>
            </w:r>
            <w:proofErr w:type="spellStart"/>
            <w:r>
              <w:rPr>
                <w:b/>
                <w:bCs/>
                <w:color w:val="FFFFFF"/>
                <w:sz w:val="18"/>
                <w:szCs w:val="18"/>
              </w:rPr>
              <w:t>prevenzionalistico</w:t>
            </w:r>
            <w:proofErr w:type="spellEnd"/>
            <w:r>
              <w:rPr>
                <w:b/>
                <w:bCs/>
                <w:color w:val="FFFFFF"/>
                <w:sz w:val="18"/>
                <w:szCs w:val="18"/>
              </w:rPr>
              <w:t xml:space="preserve">: il valore prospettico residuo della prevenzione CODICE CANVA-FRIENDLY (scheda di generazione) Tipo di grafico: diagramma temporale che distingue il valore presente della prevenzione, già contabilizzato dagli altri domini, dal valore prospettico residuo dei costi futuri evitati, attribuito al dominio </w:t>
            </w:r>
            <w:proofErr w:type="spellStart"/>
            <w:r>
              <w:rPr>
                <w:b/>
                <w:bCs/>
                <w:color w:val="FFFFFF"/>
                <w:sz w:val="18"/>
                <w:szCs w:val="18"/>
              </w:rPr>
              <w:t>prevenzionalistico</w:t>
            </w:r>
            <w:proofErr w:type="spellEnd"/>
            <w:r>
              <w:rPr>
                <w:b/>
                <w:bCs/>
                <w:color w:val="FFFFFF"/>
                <w:sz w:val="18"/>
                <w:szCs w:val="18"/>
              </w:rPr>
              <w:t xml:space="preserve">, lungo un orizzonte pluriennale. Lettura: un asse temporale orizzontale (dal presente agli anni futuri); l’area del valore presente, ampia e campita nei colori degli altri domini, è posta sull’anno corrente; l’area del valore prospettico residuo, più contenuta e campita nel colore del dominio </w:t>
            </w:r>
            <w:proofErr w:type="spellStart"/>
            <w:r>
              <w:rPr>
                <w:b/>
                <w:bCs/>
                <w:color w:val="FFFFFF"/>
                <w:sz w:val="18"/>
                <w:szCs w:val="18"/>
              </w:rPr>
              <w:t>prevenzionalistico</w:t>
            </w:r>
            <w:proofErr w:type="spellEnd"/>
            <w:r>
              <w:rPr>
                <w:b/>
                <w:bCs/>
                <w:color w:val="FFFFFF"/>
                <w:sz w:val="18"/>
                <w:szCs w:val="18"/>
              </w:rPr>
              <w:t xml:space="preserve">, si proietta sugli anni futuri ed è evidenziata in oro. Palette: valore presente già contabilizzato in blu </w:t>
            </w:r>
            <w:proofErr w:type="spellStart"/>
            <w:r>
              <w:rPr>
                <w:b/>
                <w:bCs/>
                <w:color w:val="FFFFFF"/>
                <w:sz w:val="18"/>
                <w:szCs w:val="18"/>
              </w:rPr>
              <w:t>navy</w:t>
            </w:r>
            <w:proofErr w:type="spellEnd"/>
            <w:r>
              <w:rPr>
                <w:b/>
                <w:bCs/>
                <w:color w:val="FFFFFF"/>
                <w:sz w:val="18"/>
                <w:szCs w:val="18"/>
              </w:rPr>
              <w:t xml:space="preserve"> #16264B (tono attenuato); valore prospettico residuo in blu #2E5AA0 con evidenziazione oro #C49A48; linea dell’orizzonte temporale in grigio #D8D8D8.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etichette temporali Medium, nota sul </w:t>
            </w:r>
            <w:proofErr w:type="spellStart"/>
            <w:r>
              <w:rPr>
                <w:b/>
                <w:bCs/>
                <w:color w:val="FFFFFF"/>
                <w:sz w:val="18"/>
                <w:szCs w:val="18"/>
              </w:rPr>
              <w:t>netting</w:t>
            </w:r>
            <w:proofErr w:type="spellEnd"/>
            <w:r>
              <w:rPr>
                <w:b/>
                <w:bCs/>
                <w:color w:val="FFFFFF"/>
                <w:sz w:val="18"/>
                <w:szCs w:val="18"/>
              </w:rPr>
              <w:t xml:space="preserve"> e sull’attualizzazione Regular.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xml:space="preserve">. Valori da rappresentare (scenario intermedio): valore presente già contabilizzato altrove (illustrativo, non sommato); valore prospettico residuo ~6 (prevenzione secondaria ~3; prevenzione terziaria ~3) distribuito sugli anni futuri e attualizzato. Variante 3D (consigliata): superficie a rilievo che si estende in profondità lungo l’asse temporale; il residuo prospettico, in primo piano e bordato d’oro, distinto dal valore presente posto sullo sfondo in tono attenuato. Fonte (piè di figura): Elaborazione dello studio; la figura ha funzione di controllo della non duplicazione temporale; graduazione GRADE da intermedia a bassa per la natura prospettica. La figura deve rendere evidente che il dominio </w:t>
            </w:r>
            <w:proofErr w:type="spellStart"/>
            <w:r>
              <w:rPr>
                <w:b/>
                <w:bCs/>
                <w:color w:val="FFFFFF"/>
                <w:sz w:val="18"/>
                <w:szCs w:val="18"/>
              </w:rPr>
              <w:t>prevenzionalistico</w:t>
            </w:r>
            <w:proofErr w:type="spellEnd"/>
            <w:r>
              <w:rPr>
                <w:b/>
                <w:bCs/>
                <w:color w:val="FFFFFF"/>
                <w:sz w:val="18"/>
                <w:szCs w:val="18"/>
              </w:rPr>
              <w:t xml:space="preserve"> cattura la sola dimensione temporale futura del valore della prevenzione, distinta dal valore presente già contabilizzato dagli altri domini, e che la prevenzione è il meccanismo dell’intera riforma più che un addendo a sé stante.</w:t>
            </w:r>
          </w:p>
          <w:p w14:paraId="3D8E6BED" w14:textId="77777777" w:rsidR="007C4598" w:rsidRDefault="00000000">
            <w:pPr>
              <w:spacing w:before="120" w:after="60"/>
              <w:jc w:val="center"/>
            </w:pPr>
            <w:r>
              <w:rPr>
                <w:noProof/>
              </w:rPr>
              <w:drawing>
                <wp:inline distT="0" distB="0" distL="0" distR="0" wp14:anchorId="5660FF2F" wp14:editId="622A9B9E">
                  <wp:extent cx="8229600" cy="4629150"/>
                  <wp:effectExtent l="0" t="0" r="0" b="0"/>
                  <wp:docPr id="145" name="Infografica45" descr="Il dominio prevenzionalistico: valore prospettico residu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Infografica45"/>
                          <pic:cNvPicPr>
                            <a:picLocks noChangeAspect="1" noChangeArrowheads="1"/>
                          </pic:cNvPicPr>
                        </pic:nvPicPr>
                        <pic:blipFill>
                          <a:blip r:embed="rId79">
                            <a:extLst>
                              <a:ext uri="{96DAC541-7B7A-43D3-8B79-37D633B846F1}">
                                <asvg:svgBlip xmlns:asvg="http://schemas.microsoft.com/office/drawing/2016/SVG/main" r:embed="rId80"/>
                              </a:ext>
                            </a:extLst>
                          </a:blip>
                          <a:stretch>
                            <a:fillRect/>
                          </a:stretch>
                        </pic:blipFill>
                        <pic:spPr bwMode="auto">
                          <a:xfrm>
                            <a:off x="0" y="0"/>
                            <a:ext cx="8229600" cy="4629150"/>
                          </a:xfrm>
                          <a:prstGeom prst="rect">
                            <a:avLst/>
                          </a:prstGeom>
                          <a:noFill/>
                          <a:ln>
                            <a:noFill/>
                          </a:ln>
                        </pic:spPr>
                      </pic:pic>
                    </a:graphicData>
                  </a:graphic>
                </wp:inline>
              </w:drawing>
            </w:r>
          </w:p>
          <w:p w14:paraId="1BCF3B4A" w14:textId="77777777" w:rsidR="007C4598" w:rsidRDefault="00000000">
            <w:pPr>
              <w:spacing w:before="40" w:after="200"/>
              <w:jc w:val="center"/>
            </w:pPr>
            <w:r>
              <w:rPr>
                <w:i/>
                <w:color w:val="2E5A8F"/>
                <w:sz w:val="16"/>
                <w:szCs w:val="16"/>
              </w:rPr>
              <w:t xml:space="preserve">Fig. 9.F — Il dominio </w:t>
            </w:r>
            <w:proofErr w:type="spellStart"/>
            <w:r>
              <w:rPr>
                <w:i/>
                <w:color w:val="2E5A8F"/>
                <w:sz w:val="16"/>
                <w:szCs w:val="16"/>
              </w:rPr>
              <w:t>prevenzionalistico</w:t>
            </w:r>
            <w:proofErr w:type="spellEnd"/>
            <w:r>
              <w:rPr>
                <w:i/>
                <w:color w:val="2E5A8F"/>
                <w:sz w:val="16"/>
                <w:szCs w:val="16"/>
              </w:rPr>
              <w:t>: valore prospettico residuo. Elaborazione dello studio · Luigi De Michele · Giugno 2026.</w:t>
            </w:r>
          </w:p>
        </w:tc>
      </w:tr>
    </w:tbl>
    <w:p w14:paraId="588B7BB7" w14:textId="77777777" w:rsidR="007C4598" w:rsidRDefault="007C4598"/>
    <w:p w14:paraId="7A1607E6" w14:textId="77777777" w:rsidR="007C4598" w:rsidRDefault="00000000">
      <w:pPr>
        <w:pStyle w:val="Titolo2"/>
        <w:spacing w:before="200" w:after="100"/>
      </w:pPr>
      <w:r>
        <w:rPr>
          <w:sz w:val="22"/>
          <w:szCs w:val="22"/>
        </w:rPr>
        <w:t xml:space="preserve">9.6.5  La graduazione, i confini e la non duplicazione del dominio </w:t>
      </w:r>
      <w:proofErr w:type="spellStart"/>
      <w:r>
        <w:rPr>
          <w:sz w:val="22"/>
          <w:szCs w:val="22"/>
        </w:rPr>
        <w:t>prevenzionalistico</w:t>
      </w:r>
      <w:proofErr w:type="spellEnd"/>
    </w:p>
    <w:p w14:paraId="3A39FC64" w14:textId="77777777" w:rsidR="007C4598" w:rsidRDefault="007C4598"/>
    <w:p w14:paraId="5D944924" w14:textId="77777777" w:rsidR="007C4598" w:rsidRDefault="00000000">
      <w:pPr>
        <w:jc w:val="both"/>
      </w:pPr>
      <w:r>
        <w:t xml:space="preserve">La solidità della stima del dominio </w:t>
      </w:r>
      <w:proofErr w:type="spellStart"/>
      <w:r>
        <w:t>prevenzionalistico</w:t>
      </w:r>
      <w:proofErr w:type="spellEnd"/>
      <w:r>
        <w:t xml:space="preserve"> residuo va dichiarata con franchezza. L’anello clinico è sostenuto da evidenza da moderata ad alta per l’efficacia della presa in carico; ma l’anello prospettico-economico è sostenuto da evidenza di qualità inferiore, in ragione dell’incertezza propria delle proiezioni di lungo periodo e della necessità di attualizzazione; e l’anello della non duplicazione richiede un’operazione di </w:t>
      </w:r>
      <w:proofErr w:type="spellStart"/>
      <w:r>
        <w:t>netting</w:t>
      </w:r>
      <w:proofErr w:type="spellEnd"/>
      <w:r>
        <w:t xml:space="preserve"> delicata, che distingue il valore prospettico residuo dal valore presente già contabilizzato. La graduazione complessiva del dominio è da intermedia a bassa, e si traduce in bande prudenziali ampie e in una stima centrale contenuta.</w:t>
      </w:r>
      <w:r>
        <w:rPr>
          <w:color w:val="555555"/>
          <w:sz w:val="16"/>
          <w:szCs w:val="16"/>
          <w:vertAlign w:val="superscript"/>
        </w:rPr>
        <w:t>[21]</w:t>
      </w:r>
      <w:r>
        <w:t xml:space="preserve"> La stima del dominio va letta come un ordine di grandezza prudenziale della componente prospettica residua, e non come una misura precisa.</w:t>
      </w:r>
    </w:p>
    <w:p w14:paraId="1CC6C87E" w14:textId="77777777" w:rsidR="007C4598" w:rsidRDefault="007C4598"/>
    <w:p w14:paraId="11063828" w14:textId="77777777" w:rsidR="007C4598" w:rsidRDefault="00000000">
      <w:pPr>
        <w:jc w:val="both"/>
      </w:pPr>
      <w:r>
        <w:t xml:space="preserve">Da questa graduazione discendono i confini e le regole di non duplicazione del dominio </w:t>
      </w:r>
      <w:proofErr w:type="spellStart"/>
      <w:r>
        <w:t>prevenzionalistico</w:t>
      </w:r>
      <w:proofErr w:type="spellEnd"/>
      <w:r>
        <w:t xml:space="preserve">, tra le più stringenti della parte. In primo luogo, il beneficio </w:t>
      </w:r>
      <w:proofErr w:type="spellStart"/>
      <w:r>
        <w:t>prevenzionalistico</w:t>
      </w:r>
      <w:proofErr w:type="spellEnd"/>
      <w:r>
        <w:t xml:space="preserve"> residuo è una grandezza indiretta, non sommata ai risparmi sanitari diretti della parte ottava. In secondo luogo, e in modo decisivo, esso coglie esclusivamente il valore prospettico dei costi futuri evitati, e non include in alcun punto i benefici presenti della prevenzione, già contabilizzati nei risparmi diretti della parte ottava — i ricoveri e gli accessi evitati nel presente — e nei domini lavorativo e pensionistico — la produttività conservata e l’uscita evitata nel presente. È questa esclusione che impedisce al dominio di duplicare il valore della prevenzione, gran parte del quale è già colto come beneficio presente.</w:t>
      </w:r>
      <w:r>
        <w:rPr>
          <w:color w:val="555555"/>
          <w:sz w:val="16"/>
          <w:szCs w:val="16"/>
          <w:vertAlign w:val="superscript"/>
        </w:rPr>
        <w:t>[22]</w:t>
      </w:r>
      <w:r>
        <w:t xml:space="preserve"> In terzo luogo, il valore prospettico residuo è attualizzato al presente secondo i criteri del telaio, e nettato della quota già implicitamente inclusa nelle stime di regime degli altri domini. La specificità del dominio </w:t>
      </w:r>
      <w:proofErr w:type="spellStart"/>
      <w:r>
        <w:t>prevenzionalistico</w:t>
      </w:r>
      <w:proofErr w:type="spellEnd"/>
      <w:r>
        <w:t xml:space="preserve"> è dunque quella di catturare la sola dimensione temporale futura del valore della prevenzione, riconoscendone il carattere centrale per la riforma senza duplicarne il valore presente.</w:t>
      </w:r>
    </w:p>
    <w:p w14:paraId="36A51AB8" w14:textId="77777777" w:rsidR="007C4598" w:rsidRDefault="007C4598"/>
    <w:p w14:paraId="76FEC38E" w14:textId="77777777" w:rsidR="007C4598" w:rsidRDefault="00000000">
      <w:pPr>
        <w:jc w:val="both"/>
      </w:pPr>
      <w:r>
        <w:t xml:space="preserve">La verifica documentale del dominio </w:t>
      </w:r>
      <w:proofErr w:type="spellStart"/>
      <w:r>
        <w:t>prevenzionalistico</w:t>
      </w:r>
      <w:proofErr w:type="spellEnd"/>
      <w:r>
        <w:t xml:space="preserve"> segue un’agenda mirata alla sua natura prospettica. Essa richiede l’elaborazione di parametri sulla prevenzione delle ricadute e della cronicizzazione attribuibile alla presa in carico precoce e al monitoraggio nel tempo, desumibili dalla letteratura sull’efficacia di lungo periodo e dai modelli di decorso del disturbo;</w:t>
      </w:r>
      <w:r>
        <w:rPr>
          <w:color w:val="555555"/>
          <w:sz w:val="16"/>
          <w:szCs w:val="16"/>
          <w:vertAlign w:val="superscript"/>
        </w:rPr>
        <w:t>[23]</w:t>
      </w:r>
      <w:r>
        <w:t xml:space="preserve"> e la definizione dei criteri di attualizzazione e di </w:t>
      </w:r>
      <w:proofErr w:type="spellStart"/>
      <w:r>
        <w:t>netting</w:t>
      </w:r>
      <w:proofErr w:type="spellEnd"/>
      <w:r>
        <w:t xml:space="preserve"> necessari a isolare la componente prospettica residua da quella presente già contabilizzata. L’acquisizione di questi parametri, prevista nella fase di consolidamento e strettamente collegata alla modellazione di lungo periodo della parte undicesima, consentirà di precisare la stima della componente residua. Stabilito il valore prospettico residuo della prevenzione, la rinegoziazione può ora muovere verso un dominio di natura affatto diversa, il criminologico, che richiede, più di ogni altro, cautela interpretativa e rigore nell’evitare ogni rappresentazione stigmatizzante.</w:t>
      </w:r>
    </w:p>
    <w:p w14:paraId="26A12010" w14:textId="77777777" w:rsidR="007C4598" w:rsidRDefault="007C4598"/>
    <w:p w14:paraId="0E57DADC" w14:textId="77777777" w:rsidR="007C4598" w:rsidRDefault="00000000">
      <w:pPr>
        <w:pStyle w:val="Titolo1"/>
        <w:pageBreakBefore/>
      </w:pPr>
      <w:r>
        <w:rPr>
          <w:sz w:val="22"/>
          <w:szCs w:val="22"/>
        </w:rPr>
        <w:t>9.7  Il dominio criminologico</w:t>
      </w:r>
    </w:p>
    <w:p w14:paraId="5B73E39E" w14:textId="77777777" w:rsidR="007C4598" w:rsidRDefault="007C4598"/>
    <w:p w14:paraId="07EFF8FF" w14:textId="77777777" w:rsidR="007C4598" w:rsidRDefault="00000000">
      <w:pPr>
        <w:jc w:val="both"/>
      </w:pPr>
      <w:r>
        <w:rPr>
          <w:i/>
          <w:iCs/>
        </w:rPr>
        <w:t>Il settimo dominio del perimetro integrale è il criminologico, e richiede, più di ogni altro, una premessa interpretativa rigorosa, perché il suo terreno è particolarmente esposto al rischio di rappresentazioni inesatte e stigmatizzanti. Occorre affermare con chiarezza, in apertura, ciò che la letteratura scientifica documenta in modo solido: la grande maggioranza delle persone affette da disturbi psichici non è coinvolta in alcuna forma di devianza, e il disturbo mentale non è, di per sé, causa di comportamenti devianti o violenti. La relazione tra disagio psichico e contatto con il sistema giudiziario, ove esista, è una relazione indiretta, mediata da fattori quali la mancanza di sostegno e di cura, l’esclusione sociale, la concomitanza di altri fattori di disagio, e riguarda una frazione piccola e specifica di situazioni, prevalentemente connesse a disturbi gravi non trattati e non al disagio comune. Il dominio criminologico non misura, dunque, un nesso tra malattia e crimine, che la scienza smentisce, ma il valore della prevenzione, attraverso la cura, di quella frazione piccola e mediata di situazioni in cui il disagio non intercettato si associa, per il tramite dell’esclusione e dell’abbandono, a un contatto con il circuito penale che la presa in carico avrebbe potuto evitare. La voce ricostruisce, con questa cautela, il contesto, ne isola i meccanismi, ne traccia la catena causale, ne stima il beneficio per scenario e ne dichiara la graduazione, necessariamente bassa, e i confini.</w:t>
      </w:r>
    </w:p>
    <w:p w14:paraId="1C3004E3" w14:textId="77777777" w:rsidR="007C4598" w:rsidRDefault="007C4598"/>
    <w:p w14:paraId="79383F6B" w14:textId="77777777" w:rsidR="007C4598" w:rsidRDefault="00000000">
      <w:pPr>
        <w:pStyle w:val="Titolo2"/>
        <w:spacing w:before="200" w:after="100"/>
      </w:pPr>
      <w:r>
        <w:rPr>
          <w:sz w:val="22"/>
          <w:szCs w:val="22"/>
        </w:rPr>
        <w:t>9.7.1  Il contesto: una relazione indiretta, mediata e di frazione limitata</w:t>
      </w:r>
    </w:p>
    <w:p w14:paraId="7DE5EC98" w14:textId="77777777" w:rsidR="007C4598" w:rsidRDefault="007C4598"/>
    <w:p w14:paraId="78B285AA" w14:textId="77777777" w:rsidR="007C4598" w:rsidRDefault="00000000">
      <w:pPr>
        <w:jc w:val="both"/>
      </w:pPr>
      <w:r>
        <w:t>La corretta comprensione del dominio criminologico esige che si sgombri preliminarmente il campo da un fraintendimento diffuso e dannoso. La rappresentazione che associa il disturbo mentale alla pericolosità e alla devianza è priva di fondamento scientifico e socialmente nociva, perché alimenta lo stigma che costituisce esso stesso una delle barriere all’accesso alle cure. La letteratura criminologica ed epidemiologica documenta in modo concorde che le persone affette da disturbi psichici hanno, nella stragrande maggioranza dei casi, comportamenti del tutto analoghi a quelli della popolazione generale, e che esse sono, semmai, più frequentemente vittime che autrici di atti di violenza. Qualunque trattazione del dominio criminologico deve muovere da questa affermazione, e mantenerla come criterio interpretativo costante, per non concorrere alla diffusione di una rappresentazione falsa e stigmatizzante.</w:t>
      </w:r>
    </w:p>
    <w:p w14:paraId="73BED419" w14:textId="77777777" w:rsidR="007C4598" w:rsidRDefault="007C4598"/>
    <w:p w14:paraId="7ADBC155" w14:textId="77777777" w:rsidR="007C4598" w:rsidRDefault="00000000">
      <w:pPr>
        <w:jc w:val="both"/>
      </w:pPr>
      <w:r>
        <w:t>Ciò premesso, la letteratura documenta altresì l’esistenza di una relazione indiretta e mediata tra una specifica condizione — il disturbo grave non trattato, accompagnato da esclusione sociale, abbandono e concomitanza di altri fattori di disagio — e una maggiore probabilità di contatto con il sistema giudiziario, contatto che assume spesso la forma della detenzione di persone con disturbi psichici non adeguatamente prese in carico, o del loro reingresso nel circuito penale in assenza di percorsi di cura e reinserimento. Questa relazione non discende dal disturbo in quanto tale, ma dalla sua mancata intercettazione e dal contesto di abbandono che la accompagna; essa riguarda una frazione piccola del fenomeno complessivo, e si concentra sui disturbi gravi e sulle situazioni di esclusione, non sul disagio comune della popolazione generale. È su questa frazione piccola e mediata che la riforma può incidere, non attraverso un controllo della devianza, ma attraverso la cura e il sostegno che prevengono l’abbandono e l’esclusione da cui quella frazione di contatti con il circuito penale trae origine.</w:t>
      </w:r>
    </w:p>
    <w:p w14:paraId="5B94DCA1" w14:textId="77777777" w:rsidR="007C4598" w:rsidRDefault="007C4598"/>
    <w:p w14:paraId="78E0E4FA" w14:textId="77777777" w:rsidR="007C4598" w:rsidRDefault="00000000">
      <w:pPr>
        <w:jc w:val="both"/>
      </w:pPr>
      <w:r>
        <w:t>La connessione tra questa frazione e il primo livello psicologico opera, dunque, attraverso due vie distinte e complementari. La prima è l’intercettazione precoce del disagio, che, prendendo in carico la persona nei suoi stadi iniziali e accompagnandola verso le cure appropriate, previene quella traiettoria di abbandono, esclusione e aggravamento che, nella frazione piccola dei casi gravi non trattati, può condurre al contatto con il circuito penale. La seconda è il sostegno al reinserimento e la diversione verso percorsi di cura, che, per le persone già entrate in contatto con il sistema giudiziario, riducono la probabilità di reingresso offrendo un’alternativa di cura all’abbandono. Lo Psicologo di Base, intercettando il disagio nelle cure primarie e contribuendo ai percorsi di reinserimento, agisce su entrambe le vie; e il valore che ne deriva — i costi della giustizia e della detenzione evitati nella frazione piccola e mediata dei casi in cui la cura previene il contatto o il reingresso — è il beneficio che il dominio criminologico misura, con la consapevolezza costante della natura limitata, indiretta e mediata della relazione.</w:t>
      </w:r>
    </w:p>
    <w:p w14:paraId="66BD3883" w14:textId="77777777" w:rsidR="007C4598" w:rsidRDefault="007C4598"/>
    <w:p w14:paraId="042DF6CD" w14:textId="77777777" w:rsidR="007C4598" w:rsidRDefault="00000000">
      <w:pPr>
        <w:pStyle w:val="Titolo2"/>
        <w:spacing w:before="200" w:after="100"/>
      </w:pPr>
      <w:r>
        <w:rPr>
          <w:sz w:val="22"/>
          <w:szCs w:val="22"/>
        </w:rPr>
        <w:t>9.7.2  I meccanismi: prevenzione attraverso la cura e riduzione della recidiva</w:t>
      </w:r>
    </w:p>
    <w:p w14:paraId="7261B797" w14:textId="77777777" w:rsidR="007C4598" w:rsidRDefault="007C4598"/>
    <w:p w14:paraId="29CD00A3" w14:textId="77777777" w:rsidR="007C4598" w:rsidRDefault="00000000">
      <w:pPr>
        <w:jc w:val="both"/>
      </w:pPr>
      <w:r>
        <w:t>Il dominio criminologico opera attraverso due meccanismi, entrambi fondati sulla cura e sul sostegno, non sul controllo. Il primo meccanismo è la prevenzione, attraverso l’intercettazione precoce, della frazione di contatti con il circuito penale riconducibile all’abbandono dei casi gravi non trattati. La presa in carico precoce, accompagnando la persona verso le cure e prevenendo la traiettoria di esclusione e aggravamento, riduce la probabilità che, nella frazione piccola dei casi in cui ciò accade, il disagio non intercettato si associ a un contatto con il sistema giudiziario; il valore che ne deriva è quello dei costi della giustizia e della detenzione evitati in quella frazione. Il meccanismo agisce sulla frazione piccola e mediata, e il suo valore è di conseguenza contenuto, ma reale.</w:t>
      </w:r>
    </w:p>
    <w:p w14:paraId="389E2C88" w14:textId="77777777" w:rsidR="007C4598" w:rsidRDefault="007C4598"/>
    <w:p w14:paraId="271F238A" w14:textId="77777777" w:rsidR="007C4598" w:rsidRDefault="00000000">
      <w:pPr>
        <w:jc w:val="both"/>
      </w:pPr>
      <w:r>
        <w:t>Il secondo meccanismo è la riduzione della recidiva attraverso la diversione verso percorsi di cura e il sostegno al reinserimento. Per le persone con disturbi psichici già entrate in contatto con il sistema giudiziario, l’offerta di un percorso di cura e di reinserimento, in alternativa al mero passaggio nel circuito penale, riduce la probabilità di reingresso, interrompendo il ciclo di abbandono e recidiva che l’assenza di cura alimenta; il valore che ne deriva è quello dei costi del reingresso evitati e del reinserimento riuscito. I due meccanismi convergono verso la riduzione dei costi della giustizia connessi alla frazione piccola e mediata di situazioni in cui il disagio non curato si associa al contatto con il circuito penale, e ne colgono componenti distinte — la prevenzione del primo contatto e la riduzione del reingresso — entrambe fondate sulla cura e sul sostegno, e di entità contenuta in ragione della limitatezza della frazione su cui agiscono.</w:t>
      </w:r>
    </w:p>
    <w:p w14:paraId="70A33F92" w14:textId="77777777" w:rsidR="007C4598" w:rsidRDefault="007C4598"/>
    <w:p w14:paraId="41CAA718" w14:textId="77777777" w:rsidR="007C4598" w:rsidRDefault="00000000">
      <w:pPr>
        <w:pStyle w:val="Titolo2"/>
        <w:spacing w:before="200" w:after="100"/>
      </w:pPr>
      <w:r>
        <w:rPr>
          <w:sz w:val="22"/>
          <w:szCs w:val="22"/>
        </w:rPr>
        <w:t>9.7.3  La catena causale del beneficio criminologico</w:t>
      </w:r>
    </w:p>
    <w:p w14:paraId="16792282" w14:textId="77777777" w:rsidR="007C4598" w:rsidRDefault="007C4598"/>
    <w:p w14:paraId="402D8016" w14:textId="77777777" w:rsidR="007C4598" w:rsidRDefault="00000000">
      <w:pPr>
        <w:jc w:val="both"/>
      </w:pPr>
      <w:r>
        <w:t>La formazione del beneficio criminologico segue una catena causale particolarmente lunga e incerta, i cui anelli riflettono la natura indiretta e mediata della relazione. Il primo anello è clinico-sociale: l’intercettazione precoce e il sostegno prevengono la traiettoria di abbandono ed esclusione che, nella frazione piccola dei casi gravi non trattati, si associa al contatto con il circuito penale. Questo anello è sostenuto da evidenza di qualità variabile, perché la relazione tra cura e prevenzione del contatto penale è mediata da molteplici fattori sociali. Il secondo anello è quello che lega la prevenzione del contatto e del reingresso ai costi della giustizia evitati. Questo anello è sostenuto da evidenza di qualità bassa, in ragione della lunghezza della catena, della limitatezza della frazione e della difficoltà di attribuire al solo intervento di cura un esito determinato da una pluralità di fattori sociali ed economici.</w:t>
      </w:r>
    </w:p>
    <w:p w14:paraId="2C97A1F0" w14:textId="77777777" w:rsidR="007C4598" w:rsidRDefault="007C4598"/>
    <w:p w14:paraId="502C34C6" w14:textId="77777777" w:rsidR="007C4598" w:rsidRDefault="00000000">
      <w:pPr>
        <w:jc w:val="both"/>
      </w:pPr>
      <w:r>
        <w:t>Il terzo anello è economico: i contatti con il circuito penale e i reingressi evitati si traducono in minori costi della giustizia e della detenzione per il bilancio dello Stato. La graduazione complessiva del beneficio criminologico è bassa, tra le più basse della parte, in ragione della lunghezza della catena causale, della limitatezza e della natura mediata della frazione su cui il dominio agisce, e della difficoltà di attribuzione; e si traduce in bande prudenziali ampie e in una stima centrale contenuta. La catena è governata, oltre che dalla regola di non duplicazione, dal vincolo interpretativo costante: essa non misura un nesso tra malattia e crimine, ma il valore della cura nel prevenire, in una frazione piccola e mediata di situazioni, l’abbandono da cui un contatto con il circuito penale può trarre origine. La cautela interpretativa non è un’aggiunta retorica, ma una condizione della correttezza scientifica della stima, che riguarda una frazione limitata e una relazione indiretta, e che va letta esclusivamente in questa luce.</w:t>
      </w:r>
    </w:p>
    <w:p w14:paraId="4AF17FCC" w14:textId="77777777" w:rsidR="007C4598" w:rsidRDefault="007C4598"/>
    <w:p w14:paraId="2DC09638" w14:textId="77777777" w:rsidR="007C4598" w:rsidRDefault="00000000">
      <w:pPr>
        <w:pStyle w:val="Titolo2"/>
        <w:spacing w:before="200" w:after="100"/>
      </w:pPr>
      <w:r>
        <w:rPr>
          <w:sz w:val="22"/>
          <w:szCs w:val="22"/>
        </w:rPr>
        <w:t>9.7.4  La quantificazione del dominio criminologico</w:t>
      </w:r>
    </w:p>
    <w:p w14:paraId="504FA567" w14:textId="77777777" w:rsidR="007C4598" w:rsidRDefault="007C4598"/>
    <w:p w14:paraId="1A895010" w14:textId="77777777" w:rsidR="007C4598" w:rsidRDefault="00000000">
      <w:pPr>
        <w:jc w:val="both"/>
      </w:pPr>
      <w:r>
        <w:t>La quantificazione del dominio criminologico procede secondo il metodo in cinque passaggi, applicato con particolare prudenza alla frazione piccola e mediata su cui il dominio agisce. La tabella che segue ricostruisce le due forme del costo connesso e i margini su cui il dominio opera, nella consapevolezza costante della natura limitata e indiretta della relazione.</w:t>
      </w:r>
    </w:p>
    <w:p w14:paraId="20D14204"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5C4969E1"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6DE62E1" w14:textId="77777777" w:rsidR="007C4598" w:rsidRDefault="00000000">
            <w:pPr>
              <w:spacing w:after="40"/>
            </w:pPr>
            <w:r>
              <w:rPr>
                <w:b/>
                <w:bCs/>
                <w:color w:val="FFFFFF"/>
                <w:sz w:val="18"/>
                <w:szCs w:val="18"/>
              </w:rPr>
              <w:t>Forma del costo connesso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C8419E4" w14:textId="77777777" w:rsidR="007C4598" w:rsidRDefault="00000000">
            <w:pPr>
              <w:spacing w:after="40"/>
            </w:pPr>
            <w:r>
              <w:rPr>
                <w:b/>
                <w:bCs/>
                <w:color w:val="FFFFFF"/>
                <w:sz w:val="18"/>
                <w:szCs w:val="18"/>
              </w:rPr>
              <w:t>Grandezza di ancoraggio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2E23CF6" w14:textId="77777777" w:rsidR="007C4598" w:rsidRDefault="00000000">
            <w:pPr>
              <w:spacing w:after="40"/>
            </w:pPr>
            <w:r>
              <w:rPr>
                <w:b/>
                <w:bCs/>
                <w:color w:val="FFFFFF"/>
                <w:sz w:val="18"/>
                <w:szCs w:val="18"/>
              </w:rPr>
              <w:t>Componente attribuibile (frazione piccola, indiretta e mediata)</w:t>
            </w:r>
          </w:p>
        </w:tc>
      </w:tr>
      <w:tr w:rsidR="007C4598" w14:paraId="44E6653F"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76FC5A4" w14:textId="77777777" w:rsidR="007C4598" w:rsidRDefault="00000000">
            <w:pPr>
              <w:spacing w:after="40"/>
            </w:pPr>
            <w:r>
              <w:t>Costi della giustizia e della detenzione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5FDE371" w14:textId="77777777" w:rsidR="007C4598" w:rsidRDefault="00000000">
            <w:pPr>
              <w:spacing w:after="40"/>
            </w:pPr>
            <w:r>
              <w:t>costi del circuito penale nella quota mediata dall’abbandono dei casi gravi non trattati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80B4F19" w14:textId="77777777" w:rsidR="007C4598" w:rsidRDefault="00000000">
            <w:pPr>
              <w:spacing w:after="40"/>
            </w:pPr>
            <w:r>
              <w:t>la frazione piccola prevenibile dall’intercettazione precoce e dal sostegno</w:t>
            </w:r>
          </w:p>
        </w:tc>
      </w:tr>
      <w:tr w:rsidR="007C4598" w14:paraId="5CC09917"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5C702B1" w14:textId="77777777" w:rsidR="007C4598" w:rsidRDefault="00000000">
            <w:pPr>
              <w:spacing w:after="40"/>
            </w:pPr>
            <w:r>
              <w:t>Recidiva e reingresso nel circuito penale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EBF3437" w14:textId="77777777" w:rsidR="007C4598" w:rsidRDefault="00000000">
            <w:pPr>
              <w:spacing w:after="40"/>
            </w:pPr>
            <w:r>
              <w:t>costi del reingresso nella quota associata all’assenza di cura e reinserimento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842FBBF" w14:textId="77777777" w:rsidR="007C4598" w:rsidRDefault="00000000">
            <w:pPr>
              <w:spacing w:after="40"/>
            </w:pPr>
            <w:r>
              <w:t>la quota riducibile dalla diversione verso percorsi di cura e dal reinserimento</w:t>
            </w:r>
          </w:p>
        </w:tc>
      </w:tr>
    </w:tbl>
    <w:p w14:paraId="63BDE4DD" w14:textId="77777777" w:rsidR="007C4598" w:rsidRDefault="007C4598"/>
    <w:p w14:paraId="0701E681" w14:textId="77777777" w:rsidR="007C4598" w:rsidRDefault="00000000">
      <w:pPr>
        <w:jc w:val="both"/>
      </w:pPr>
      <w:r>
        <w:rPr>
          <w:i/>
          <w:iCs/>
        </w:rPr>
        <w:t>Tabella 9.13 — Le forme del costo della giustizia connesse alla frazione piccola e mediata e i margini di prevenzione. Le grandezze riguardano una frazione limitata e una relazione indiretta, mediata dall’abbandono e dall’esclusione, non un nesso tra disturbo e devianza, che la letteratura smentisce; saranno precisate dai dati certificati nella fase di consolidamento.</w:t>
      </w:r>
    </w:p>
    <w:p w14:paraId="6EF48BC6" w14:textId="77777777" w:rsidR="007C4598" w:rsidRDefault="007C4598"/>
    <w:p w14:paraId="36A30B83" w14:textId="77777777" w:rsidR="007C4598" w:rsidRDefault="00000000">
      <w:pPr>
        <w:jc w:val="both"/>
      </w:pPr>
      <w:r>
        <w:t>Sulla base di questo quadro, e con la prudenza imposta dalla limitatezza della frazione, la stima del beneficio criminologico è articolata nelle due componenti e per ciascuno dei tre scenari di copertura. Entrambe le componenti sono di entità contenuta, in ragione della limitatezza della frazione su cui il dominio agisce e della bassa qualità dell’evidenza. La tabella che segue espone la stima per componente e per scenario.</w:t>
      </w:r>
    </w:p>
    <w:p w14:paraId="27FD7FAD"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79A9604A"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317D695" w14:textId="77777777" w:rsidR="007C4598" w:rsidRDefault="00000000">
            <w:pPr>
              <w:spacing w:after="40"/>
            </w:pPr>
            <w:r>
              <w:rPr>
                <w:b/>
                <w:bCs/>
                <w:color w:val="FFFFFF"/>
                <w:sz w:val="18"/>
                <w:szCs w:val="18"/>
              </w:rPr>
              <w:t>Componente del beneficio criminologico (mln €/anno)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48FD797" w14:textId="77777777" w:rsidR="007C4598" w:rsidRDefault="00000000">
            <w:pPr>
              <w:spacing w:after="40"/>
            </w:pPr>
            <w:r>
              <w:rPr>
                <w:b/>
                <w:bCs/>
                <w:color w:val="FFFFFF"/>
                <w:sz w:val="18"/>
                <w:szCs w:val="18"/>
              </w:rPr>
              <w:t>Conservativo (~450)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D4E7DF2" w14:textId="77777777" w:rsidR="007C4598" w:rsidRDefault="00000000">
            <w:pPr>
              <w:spacing w:after="40"/>
            </w:pPr>
            <w:r>
              <w:rPr>
                <w:b/>
                <w:bCs/>
                <w:color w:val="FFFFFF"/>
                <w:sz w:val="18"/>
                <w:szCs w:val="18"/>
              </w:rPr>
              <w:t>Intermedio (~700)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7426855" w14:textId="77777777" w:rsidR="007C4598" w:rsidRDefault="00000000">
            <w:pPr>
              <w:spacing w:after="40"/>
            </w:pPr>
            <w:r>
              <w:rPr>
                <w:b/>
                <w:bCs/>
                <w:color w:val="FFFFFF"/>
                <w:sz w:val="18"/>
                <w:szCs w:val="18"/>
              </w:rPr>
              <w:t>Espansivo (~900)</w:t>
            </w:r>
          </w:p>
        </w:tc>
      </w:tr>
      <w:tr w:rsidR="007C4598" w14:paraId="5BBDFC7A"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1DFE7CC" w14:textId="77777777" w:rsidR="007C4598" w:rsidRDefault="00000000">
            <w:pPr>
              <w:spacing w:after="40"/>
            </w:pPr>
            <w:r>
              <w:t>Riduzione dei costi della giustizia (frazione mediata e prevenibile)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5CC731F" w14:textId="77777777" w:rsidR="007C4598" w:rsidRDefault="00000000">
            <w:pPr>
              <w:spacing w:after="40"/>
            </w:pPr>
            <w:r>
              <w:t>~2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F694965" w14:textId="77777777" w:rsidR="007C4598" w:rsidRDefault="00000000">
            <w:pPr>
              <w:spacing w:after="40"/>
            </w:pPr>
            <w:r>
              <w:t>~3</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5319F6E" w14:textId="77777777" w:rsidR="007C4598" w:rsidRDefault="00000000">
            <w:pPr>
              <w:spacing w:after="40"/>
            </w:pPr>
            <w:r>
              <w:t>~5</w:t>
            </w:r>
          </w:p>
        </w:tc>
      </w:tr>
      <w:tr w:rsidR="007C4598" w14:paraId="67E6AC27"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28BB308" w14:textId="77777777" w:rsidR="007C4598" w:rsidRDefault="00000000">
            <w:pPr>
              <w:spacing w:after="40"/>
            </w:pPr>
            <w:r>
              <w:t>Riduzione della recidiva (diversione verso la cura e reinserimento)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4600429" w14:textId="77777777" w:rsidR="007C4598" w:rsidRDefault="00000000">
            <w:pPr>
              <w:spacing w:after="40"/>
            </w:pPr>
            <w:r>
              <w:t>~2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28C72F5" w14:textId="77777777" w:rsidR="007C4598" w:rsidRDefault="00000000">
            <w:pPr>
              <w:spacing w:after="40"/>
            </w:pPr>
            <w:r>
              <w:t>~2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1230794" w14:textId="77777777" w:rsidR="007C4598" w:rsidRDefault="00000000">
            <w:pPr>
              <w:spacing w:after="40"/>
            </w:pPr>
            <w:r>
              <w:t>~3</w:t>
            </w:r>
          </w:p>
        </w:tc>
      </w:tr>
      <w:tr w:rsidR="007C4598" w14:paraId="520F818B"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76749E2" w14:textId="77777777" w:rsidR="007C4598" w:rsidRDefault="00000000">
            <w:pPr>
              <w:spacing w:after="40"/>
            </w:pPr>
            <w:r>
              <w:t>Beneficio criminologico indiretto del dominio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08A2449" w14:textId="77777777" w:rsidR="007C4598" w:rsidRDefault="00000000">
            <w:pPr>
              <w:spacing w:after="40"/>
            </w:pPr>
            <w:r>
              <w:t>~4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E9F05C4" w14:textId="77777777" w:rsidR="007C4598" w:rsidRDefault="00000000">
            <w:pPr>
              <w:spacing w:after="40"/>
            </w:pPr>
            <w:r>
              <w:t>~5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5AD3D25" w14:textId="77777777" w:rsidR="007C4598" w:rsidRDefault="00000000">
            <w:pPr>
              <w:spacing w:after="40"/>
            </w:pPr>
            <w:r>
              <w:t>~8</w:t>
            </w:r>
          </w:p>
        </w:tc>
      </w:tr>
    </w:tbl>
    <w:p w14:paraId="37E987D0" w14:textId="77777777" w:rsidR="007C4598" w:rsidRDefault="007C4598"/>
    <w:p w14:paraId="150C19FF" w14:textId="77777777" w:rsidR="007C4598" w:rsidRDefault="00000000">
      <w:pPr>
        <w:jc w:val="both"/>
      </w:pPr>
      <w:r>
        <w:rPr>
          <w:i/>
          <w:iCs/>
        </w:rPr>
        <w:t>Tabella 9.14 — Stima prudenziale del beneficio del dominio criminologico per scenario. Le cifre sono bande prudenziali arrotondate e riferite a una frazione piccola e mediata; l’ultima riga è la somma delle due componenti. Il valore grava sul bilancio della giustizia, è distinto dai risparmi sanitari diretti, e va letto esclusivamente come prevenzione, attraverso la cura, dell’abbandono da cui un contatto penale può trarre origine.</w:t>
      </w:r>
    </w:p>
    <w:p w14:paraId="0C4E008A" w14:textId="77777777" w:rsidR="007C4598" w:rsidRDefault="007C4598"/>
    <w:p w14:paraId="27776AC0" w14:textId="77777777" w:rsidR="007C4598" w:rsidRDefault="00000000">
      <w:pPr>
        <w:jc w:val="both"/>
      </w:pPr>
      <w:r>
        <w:t>Il beneficio criminologico indiretto è dunque stimato in un ordine di grandezza compreso tra circa quattro milioni di euro l’anno nello scenario conservativo e circa otto milioni nello scenario espansivo, con un valore intermedio dell’ordine di cinque milioni. La modestia della cifra riflette fedelmente la natura del fenomeno: la frazione di costi della giustizia riconducibile, per il tramite dell’abbandono e dell’esclusione, al disagio non curato è piccola, perché piccola è la frazione di persone con disturbi psichici che entra in contatto con il sistema giudiziario, e contenuta è di conseguenza la grandezza che la riforma può prevenire. La stima va letta, lo si ribadisce un’ultima volta, esclusivamente nei termini corretti: non come misura di un nesso tra malattia e crimine, che non esiste, ma come stima prudenziale del valore della cura nel prevenire, in una frazione limitata e mediata di situazioni, l’abbandono da cui un contatto con il circuito penale può trarre origine, e nel sostenere il reinserimento di chi vi sia già entrato. Letta in qualunque altro modo, la cifra sarebbe non solo inesatta, ma dannosa, perché concorrerebbe alla diffusione dello stigma che essa, correttamente intesa, contribuisce invece a combattere attraverso la cura.</w:t>
      </w:r>
    </w:p>
    <w:p w14:paraId="2B471F91"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0753C504"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292D304" w14:textId="77777777" w:rsidR="007C4598" w:rsidRDefault="00000000">
            <w:pPr>
              <w:spacing w:after="40"/>
            </w:pPr>
            <w:r>
              <w:rPr>
                <w:b/>
                <w:bCs/>
                <w:color w:val="FFFFFF"/>
                <w:sz w:val="18"/>
                <w:szCs w:val="18"/>
              </w:rPr>
              <w:t xml:space="preserve">◆ SEGNAPOSTO INFOGRAFICA — FIG. 9.G · DA INSERIRE A POSTERIORI Titolo previsto: Il dominio criminologico: una frazione piccola e mediata, prevenuta attraverso la cura CODICE CANVA-FRIENDLY (scheda di generazione) Tipo di grafico: diagramma di proporzione che colloca la frazione piccola di costi della giustizia attribuibile, in modo mediato, all’abbandono dei casi gravi non trattati entro l’insieme molto più ampio dei costi della giustizia complessivi, evidenziando la limitatezza della frazione e la sua natura mediata. Lettura: un’area complessiva, ampia e in tono neutro, rappresenta i costi della giustizia nel loro insieme; una porzione molto piccola, evidenziata, rappresenta la frazione mediata e prevenibile; un’annotazione esplicita ricorda che la grande maggioranza delle persone con disturbi psichici non ha alcun contatto con il sistema giudiziario e che la relazione è indiretta e mediata dall’abbandono, non causale. Palette: insieme complessivo dei costi della giustizia in grigio neutro #D8D8D8; frazione mediata e prevenibile in blu </w:t>
            </w:r>
            <w:proofErr w:type="spellStart"/>
            <w:r>
              <w:rPr>
                <w:b/>
                <w:bCs/>
                <w:color w:val="FFFFFF"/>
                <w:sz w:val="18"/>
                <w:szCs w:val="18"/>
              </w:rPr>
              <w:t>navy</w:t>
            </w:r>
            <w:proofErr w:type="spellEnd"/>
            <w:r>
              <w:rPr>
                <w:b/>
                <w:bCs/>
                <w:color w:val="FFFFFF"/>
                <w:sz w:val="18"/>
                <w:szCs w:val="18"/>
              </w:rPr>
              <w:t xml:space="preserve"> #16264B con evidenziazione oro #C49A48; annotazione interpretativa in blu #244272.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annotazione interpretativa Medium corsivo (in evidenza), valori Regular.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Valori da rappresentare (scenario intermedio): frazione mediata e prevenibile ~5 milioni (giustizia ~3; recidiva ~2), rappresentata come porzione piccola entro l’insieme molto più ampio dei costi complessivi della giustizia. Variante 3D (consigliata): la frazione piccola sollevata a rilievo e bordata d’oro sopra l’insieme complessivo posto in piano e in tono neutro, a rendere visivamente la limitatezza della frazione; in nessun caso rappresentazioni che associno il disturbo alla pericolosità. Fonte (piè di figura): Elaborazione dello studio; la figura va letta esclusivamente come prevenzione attraverso la cura di una frazione piccola e mediata; graduazione GRADE bassa. La figura deve rendere evidente, prima di ogni cifra, la limitatezza della frazione e la natura indiretta e mediata della relazione, e deve includere l’annotazione esplicita che la grande maggioranza delle persone con disturbi psichici non ha alcun contatto con il sistema giudiziario, per non concorrere in alcun modo allo stigma.</w:t>
            </w:r>
          </w:p>
          <w:p w14:paraId="35B63C63" w14:textId="77777777" w:rsidR="007C4598" w:rsidRDefault="00000000">
            <w:pPr>
              <w:spacing w:before="120" w:after="60"/>
              <w:jc w:val="center"/>
            </w:pPr>
            <w:r>
              <w:rPr>
                <w:noProof/>
              </w:rPr>
              <w:drawing>
                <wp:inline distT="0" distB="0" distL="0" distR="0" wp14:anchorId="17A0EBAB" wp14:editId="137DCED9">
                  <wp:extent cx="8229600" cy="4629150"/>
                  <wp:effectExtent l="0" t="0" r="0" b="0"/>
                  <wp:docPr id="146" name="Infografica46" descr="Il dominio criminologico: frazione piccola e medi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nfografica46"/>
                          <pic:cNvPicPr>
                            <a:picLocks noChangeAspect="1" noChangeArrowheads="1"/>
                          </pic:cNvPicPr>
                        </pic:nvPicPr>
                        <pic:blipFill>
                          <a:blip r:embed="rId81">
                            <a:extLst>
                              <a:ext uri="{96DAC541-7B7A-43D3-8B79-37D633B846F1}">
                                <asvg:svgBlip xmlns:asvg="http://schemas.microsoft.com/office/drawing/2016/SVG/main" r:embed="rId82"/>
                              </a:ext>
                            </a:extLst>
                          </a:blip>
                          <a:stretch>
                            <a:fillRect/>
                          </a:stretch>
                        </pic:blipFill>
                        <pic:spPr bwMode="auto">
                          <a:xfrm>
                            <a:off x="0" y="0"/>
                            <a:ext cx="8229600" cy="4629150"/>
                          </a:xfrm>
                          <a:prstGeom prst="rect">
                            <a:avLst/>
                          </a:prstGeom>
                          <a:noFill/>
                          <a:ln>
                            <a:noFill/>
                          </a:ln>
                        </pic:spPr>
                      </pic:pic>
                    </a:graphicData>
                  </a:graphic>
                </wp:inline>
              </w:drawing>
            </w:r>
          </w:p>
          <w:p w14:paraId="2B376614" w14:textId="77777777" w:rsidR="007C4598" w:rsidRDefault="00000000">
            <w:pPr>
              <w:spacing w:before="40" w:after="200"/>
              <w:jc w:val="center"/>
            </w:pPr>
            <w:r>
              <w:rPr>
                <w:i/>
                <w:color w:val="2E5A8F"/>
                <w:sz w:val="16"/>
                <w:szCs w:val="16"/>
              </w:rPr>
              <w:t>Fig. 9.G — Il dominio criminologico: frazione piccola e mediata. Elaborazione dello studio · Luigi De Michele · Giugno 2026.</w:t>
            </w:r>
          </w:p>
        </w:tc>
      </w:tr>
    </w:tbl>
    <w:p w14:paraId="33B9E353" w14:textId="77777777" w:rsidR="007C4598" w:rsidRDefault="007C4598"/>
    <w:p w14:paraId="7D52BBD1" w14:textId="77777777" w:rsidR="007C4598" w:rsidRDefault="00000000">
      <w:pPr>
        <w:pStyle w:val="Titolo2"/>
        <w:spacing w:before="200" w:after="100"/>
      </w:pPr>
      <w:r>
        <w:rPr>
          <w:sz w:val="22"/>
          <w:szCs w:val="22"/>
        </w:rPr>
        <w:t>9.7.5  La graduazione, i confini e la cautela interpretativa del dominio criminologico</w:t>
      </w:r>
    </w:p>
    <w:p w14:paraId="69FC4ADE" w14:textId="77777777" w:rsidR="007C4598" w:rsidRDefault="007C4598"/>
    <w:p w14:paraId="0ED10FED" w14:textId="77777777" w:rsidR="007C4598" w:rsidRDefault="00000000">
      <w:pPr>
        <w:jc w:val="both"/>
      </w:pPr>
      <w:r>
        <w:t>La solidità della stima del dominio criminologico va dichiarata con la massima franchezza, ed è bassa. L’anello clinico-sociale è sostenuto da evidenza di qualità variabile; l’anello che lega la cura alla prevenzione del contatto penale, da evidenza di qualità bassa, in ragione della lunghezza della catena e della natura mediata della relazione; l’anello economico è soggetto alla difficoltà di attribuire al solo intervento di cura un esito multifattoriale. La graduazione complessiva del dominio è bassa, tra le più basse della parte, e si traduce in bande prudenziali ampie e in una stima centrale deliberatamente contenuta.</w:t>
      </w:r>
      <w:r>
        <w:rPr>
          <w:color w:val="555555"/>
          <w:sz w:val="16"/>
          <w:szCs w:val="16"/>
          <w:vertAlign w:val="superscript"/>
        </w:rPr>
        <w:t>[24]</w:t>
      </w:r>
      <w:r>
        <w:t xml:space="preserve"> La stima del dominio va letta come un ordine di grandezza prudenziale di una frazione piccola e mediata, e non come una misura precisa di una relazione che, nella sua natura, sfugge alla quantificazione puntuale.</w:t>
      </w:r>
    </w:p>
    <w:p w14:paraId="055CB272" w14:textId="77777777" w:rsidR="007C4598" w:rsidRDefault="007C4598"/>
    <w:p w14:paraId="50366D7F" w14:textId="77777777" w:rsidR="007C4598" w:rsidRDefault="00000000">
      <w:pPr>
        <w:jc w:val="both"/>
      </w:pPr>
      <w:r>
        <w:t>Da questa graduazione, e soprattutto dalla natura del dominio, discendono confini particolarmente rigorosi, di cui il primo è interpretativo prima che contabile. Il vincolo interpretativo costante impone che il dominio sia inteso esclusivamente come prevenzione, attraverso la cura, dell’abbandono da cui un contatto penale può trarre origine in una frazione piccola e mediata di situazioni, e mai come misura di un nesso tra disturbo e devianza, che la scienza smentisce e che lo stigma alimenta.</w:t>
      </w:r>
      <w:r>
        <w:rPr>
          <w:color w:val="555555"/>
          <w:sz w:val="16"/>
          <w:szCs w:val="16"/>
          <w:vertAlign w:val="superscript"/>
        </w:rPr>
        <w:t>[25]</w:t>
      </w:r>
      <w:r>
        <w:t xml:space="preserve"> Quanto ai confini contabili, il beneficio criminologico è una grandezza indiretta che grava sul bilancio della giustizia, distinta dai risparmi sanitari diretti della parte ottava e dagli altri domini. Esso non si sovrappone al dominio </w:t>
      </w:r>
      <w:proofErr w:type="spellStart"/>
      <w:r>
        <w:t>welfaristico</w:t>
      </w:r>
      <w:proofErr w:type="spellEnd"/>
      <w:r>
        <w:t>, perché riguarda i costi della giustizia e non le prestazioni assistenziali; né ai domini produttivi, perché riguarda i costi del circuito penale e non la produttività. La separazione del dominio criminologico dagli altri è dunque netta sul piano contabile, ma la sua specificità risiede soprattutto nel vincolo interpretativo, che ne governa la lettura prima ancora della collocazione.</w:t>
      </w:r>
    </w:p>
    <w:p w14:paraId="53136FD0" w14:textId="77777777" w:rsidR="007C4598" w:rsidRDefault="007C4598"/>
    <w:p w14:paraId="2BB54DC3" w14:textId="77777777" w:rsidR="007C4598" w:rsidRDefault="00000000">
      <w:pPr>
        <w:jc w:val="both"/>
      </w:pPr>
      <w:r>
        <w:t>La verifica documentale del dominio criminologico segue un’agenda che ne rispetta la natura delicata. Essa richiede l’acquisizione di dati e studi sulla presenza di persone con disturbi psichici non adeguatamente presi in carico nel circuito penale e detentivo regionale, e sull’efficacia dei percorsi di diversione verso la cura e di reinserimento nel ridurre il reingresso; dati che vanno trattati con cautela e nel rispetto della dignità delle persone, e che riguardano una frazione limitata del fenomeno complessivo.</w:t>
      </w:r>
      <w:r>
        <w:rPr>
          <w:color w:val="555555"/>
          <w:sz w:val="16"/>
          <w:szCs w:val="16"/>
          <w:vertAlign w:val="superscript"/>
        </w:rPr>
        <w:t>[26]</w:t>
      </w:r>
      <w:r>
        <w:t xml:space="preserve"> L’acquisizione di questi dati, prevista nella fase di consolidamento, consentirà di precisare la stima della frazione, mantenendo sempre il vincolo interpretativo che ne governa la lettura. Stabilito, con la dovuta cautela, il valore della frazione mediata su cui il dominio criminologico agisce, la rinegoziazione può ora muovere verso un dominio di natura amministrativa, il burocratico, che misura il valore della semplificazione dei percorsi.</w:t>
      </w:r>
    </w:p>
    <w:p w14:paraId="65750B74" w14:textId="77777777" w:rsidR="007C4598" w:rsidRDefault="007C4598"/>
    <w:p w14:paraId="56454445" w14:textId="77777777" w:rsidR="007C4598" w:rsidRDefault="00000000">
      <w:pPr>
        <w:pStyle w:val="Titolo1"/>
        <w:pageBreakBefore/>
      </w:pPr>
      <w:r>
        <w:rPr>
          <w:sz w:val="22"/>
          <w:szCs w:val="22"/>
        </w:rPr>
        <w:t>9.8  Il dominio burocratico</w:t>
      </w:r>
    </w:p>
    <w:p w14:paraId="3A58F0D2" w14:textId="77777777" w:rsidR="007C4598" w:rsidRDefault="007C4598"/>
    <w:p w14:paraId="011B7565" w14:textId="77777777" w:rsidR="007C4598" w:rsidRDefault="00000000">
      <w:pPr>
        <w:jc w:val="both"/>
      </w:pPr>
      <w:r>
        <w:rPr>
          <w:i/>
          <w:iCs/>
        </w:rPr>
        <w:t>L’ottavo dominio del perimetro integrale è il burocratico, e misura il valore che la riforma genera attraverso la semplificazione dei percorsi amministrativi e la maggiore efficienza della gestione. Il disagio psichico non intercettato genera, oltre ai costi sanitari, di produttività e sociali sin qui esaminati, un costo amministrativo: la moltiplicazione degli adempimenti, delle certificazioni, dei passaggi tra servizi e degli iter burocratici che la frammentazione della presa in carico comporta, e che gravano tanto sulle amministrazioni quanto sui cittadini. La presa in carico al primo livello, offrendo un punto di accesso e di coordinamento prossimo e integrato, semplifica questi percorsi, riduce gli adempimenti e attenua la frammentazione, generando un beneficio di natura amministrativa. La voce ricostruisce il contesto dell’onere amministrativo connesso al disagio, ne isola i meccanismi, ne traccia la catena causale, ne stima il beneficio per scenario, contenuto ma reale, e ne dichiara la graduazione e i confini.</w:t>
      </w:r>
    </w:p>
    <w:p w14:paraId="157353A6" w14:textId="77777777" w:rsidR="007C4598" w:rsidRDefault="007C4598"/>
    <w:p w14:paraId="045CC460" w14:textId="77777777" w:rsidR="007C4598" w:rsidRDefault="00000000">
      <w:pPr>
        <w:pStyle w:val="Titolo2"/>
        <w:spacing w:before="200" w:after="100"/>
      </w:pPr>
      <w:r>
        <w:rPr>
          <w:sz w:val="22"/>
          <w:szCs w:val="22"/>
        </w:rPr>
        <w:t>9.8.1  Il contesto: l’onere amministrativo del disagio non intercettato</w:t>
      </w:r>
    </w:p>
    <w:p w14:paraId="75E65746" w14:textId="77777777" w:rsidR="007C4598" w:rsidRDefault="007C4598"/>
    <w:p w14:paraId="20AF0A10" w14:textId="77777777" w:rsidR="007C4598" w:rsidRDefault="00000000">
      <w:pPr>
        <w:jc w:val="both"/>
      </w:pPr>
      <w:r>
        <w:t>La presa in carico del disagio psichico, quando avviene in modo frammentato e tardivo, comporta un onere amministrativo che si aggiunge ai costi sostanziali. Il cittadino che, in assenza di un punto di accesso prossimo e integrato, deve rivolgersi a una pluralità di servizi non coordinati, affronta una sequenza di adempimenti, certificazioni, prenotazioni e passaggi che moltiplicano il tempo e il costo della presa in carico, e che gravano anche sulle amministrazioni chiamate a gestirli. Questo onere amministrativo è una componente reale, ancorché contenuta, del costo del disagio non adeguatamente intercettato, e si manifesta tanto come costo per le amministrazioni — il tempo del personale dedicato agli adempimenti, la gestione della frammentazione — quanto come costo per i cittadini, in termini di tempo e di difficoltà di accesso. In Puglia, dove la frammentazione dei servizi e la carenza di punti di accesso integrati sono particolarmente avvertite, l’onere amministrativo connesso al disagio è di entità non trascurabile, e la riforma può comprimerlo attraverso la semplificazione e l’integrazione.</w:t>
      </w:r>
    </w:p>
    <w:p w14:paraId="7621B9A3" w14:textId="77777777" w:rsidR="007C4598" w:rsidRDefault="007C4598"/>
    <w:p w14:paraId="06DB9A67" w14:textId="77777777" w:rsidR="007C4598" w:rsidRDefault="00000000">
      <w:pPr>
        <w:jc w:val="both"/>
      </w:pPr>
      <w:r>
        <w:t>L’onere amministrativo si manifesta in due forme principali. La prima è costituita dagli adempimenti e dalle certificazioni che la presa in carico frammentata comporta: le richieste, le attestazioni, i passaggi documentali e gli iter che si moltiplicano quando la presa in carico non dispone di un punto di coordinamento prossimo, e che assorbono tempo del personale amministrativo e dei cittadini. La seconda è costituita dalla frammentazione amministrativa, ossia dal costo della gestione non integrata tra i diversi servizi che si occupano, separatamente, della medesima persona, con duplicazioni, sovrapposizioni e mancanza di coordinamento che generano inefficienza. È la somma di queste due forme — gli adempimenti moltiplicati e la frammentazione gestionale — che costituisce la grandezza di ancoraggio del dominio burocratico, e che la riforma può comprimere offrendo un punto di accesso e di coordinamento integrato al primo livello.</w:t>
      </w:r>
    </w:p>
    <w:p w14:paraId="31BF2262" w14:textId="77777777" w:rsidR="007C4598" w:rsidRDefault="007C4598"/>
    <w:p w14:paraId="0C96CF97" w14:textId="77777777" w:rsidR="007C4598" w:rsidRDefault="00000000">
      <w:pPr>
        <w:jc w:val="both"/>
      </w:pPr>
      <w:r>
        <w:t>La connessione tra questo onere e il primo livello psicologico opera attraverso la funzione di punto di accesso e di coordinamento prossimo che lo Psicologo di Base, integrato nelle cure primarie, svolge. Offrendo un punto di intercettazione e di presa in carico iniziale prossimo al cittadino e coordinato con gli altri servizi, il primo livello psicologico riduce la necessità di rivolgersi a una pluralità di servizi non coordinati, semplifica gli adempimenti e attenua la frammentazione; il cittadino dispone di un riferimento prossimo che lo orienta e lo accompagna, e le amministrazioni gestiscono in modo più integrato la presa in carico. Lo Psicologo di Base, in questa funzione, agisce come fattore di semplificazione e di integrazione amministrativa; e il valore che ne deriva — gli adempimenti ridotti e la frammentazione attenuata — è il beneficio che il dominio burocratico misura. Tale beneficio si distribuisce sulle amministrazioni, che riducono il tempo dedicato agli adempimenti, e sui cittadini, che accedono più agevolmente.</w:t>
      </w:r>
    </w:p>
    <w:p w14:paraId="10A679FF" w14:textId="77777777" w:rsidR="007C4598" w:rsidRDefault="007C4598"/>
    <w:p w14:paraId="5DA2F092" w14:textId="77777777" w:rsidR="007C4598" w:rsidRDefault="00000000">
      <w:pPr>
        <w:pStyle w:val="Titolo2"/>
        <w:spacing w:before="200" w:after="100"/>
      </w:pPr>
      <w:r>
        <w:rPr>
          <w:sz w:val="22"/>
          <w:szCs w:val="22"/>
        </w:rPr>
        <w:t>9.8.2  I meccanismi: semplificazione degli adempimenti e gestione integrata</w:t>
      </w:r>
    </w:p>
    <w:p w14:paraId="4EF3EF13" w14:textId="77777777" w:rsidR="007C4598" w:rsidRDefault="007C4598"/>
    <w:p w14:paraId="7F27842A" w14:textId="77777777" w:rsidR="007C4598" w:rsidRDefault="00000000">
      <w:pPr>
        <w:jc w:val="both"/>
      </w:pPr>
      <w:r>
        <w:t>Il dominio burocratico opera attraverso due meccanismi, corrispondenti alle due forme dell’onere e accomunati dalla semplificazione e dall’integrazione. Il primo meccanismo è la riduzione degli adempimenti e la semplificazione dei percorsi. La funzione di punto di accesso prossimo e coordinato, offrendo un riferimento iniziale che orienta e accompagna il cittadino, riduce la moltiplicazione degli adempimenti, delle certificazioni e dei passaggi che la presa in carico frammentata comporta; il valore che ne deriva è quello del tempo del personale amministrativo e dei cittadini risparmiato. Il meccanismo agisce sulla riduzione del numero e della complessità degli iter, e il suo valore è quello dell’efficienza amministrativa guadagnata.</w:t>
      </w:r>
    </w:p>
    <w:p w14:paraId="2A063E6A" w14:textId="77777777" w:rsidR="007C4598" w:rsidRDefault="007C4598"/>
    <w:p w14:paraId="4C95256D" w14:textId="77777777" w:rsidR="007C4598" w:rsidRDefault="00000000">
      <w:pPr>
        <w:jc w:val="both"/>
      </w:pPr>
      <w:r>
        <w:t>Il secondo meccanismo è la gestione integrata e la riduzione della frammentazione. Il coordinamento al primo livello tra i diversi servizi che si occupano della persona, conseguente alla funzione di integrazione dello Psicologo di Base, riduce le duplicazioni, le sovrapposizioni e la mancanza di coordinamento che la gestione frammentata comporta; il valore che ne deriva è quello della maggiore efficienza della gestione integrata. I due meccanismi convergono verso la semplificazione amministrativa e l’integrazione gestionale, e ne colgono componenti distinte — la riduzione degli adempimenti e la riduzione della frammentazione — di entità contenuta ma reale, riferite a un valore di efficienza amministrativa distinto dai risparmi sostanziali colti dagli altri domini.</w:t>
      </w:r>
    </w:p>
    <w:p w14:paraId="10C993ED" w14:textId="77777777" w:rsidR="007C4598" w:rsidRDefault="007C4598"/>
    <w:p w14:paraId="203CAFF6" w14:textId="77777777" w:rsidR="007C4598" w:rsidRDefault="00000000">
      <w:pPr>
        <w:pStyle w:val="Titolo2"/>
        <w:spacing w:before="200" w:after="100"/>
      </w:pPr>
      <w:r>
        <w:rPr>
          <w:sz w:val="22"/>
          <w:szCs w:val="22"/>
        </w:rPr>
        <w:t>9.8.3  La catena causale del beneficio burocratico</w:t>
      </w:r>
    </w:p>
    <w:p w14:paraId="53372112" w14:textId="77777777" w:rsidR="007C4598" w:rsidRDefault="007C4598"/>
    <w:p w14:paraId="04FC8BEE" w14:textId="77777777" w:rsidR="007C4598" w:rsidRDefault="00000000">
      <w:pPr>
        <w:jc w:val="both"/>
      </w:pPr>
      <w:r>
        <w:t>La formazione del beneficio burocratico segue una catena causale relativamente breve. Il primo anello è organizzativo: la funzione di punto di accesso prossimo e coordinato semplifica i percorsi e integra la gestione. Questo anello è sostenuto da evidenza coerente, di natura prevalentemente organizzativa, sull’effetto di semplificazione dei punti di accesso integrati. Il secondo anello è amministrativo-economico: la semplificazione e l’integrazione si traducono in minore tempo del personale dedicato agli adempimenti e in maggiore efficienza gestionale. Questo anello è sostenuto da evidenza di qualità variabile, perché la traduzione della semplificazione in valore economico dipende dalla misurazione del tempo amministrativo risparmiato, non sempre agevole.</w:t>
      </w:r>
    </w:p>
    <w:p w14:paraId="6790DB83" w14:textId="77777777" w:rsidR="007C4598" w:rsidRDefault="007C4598"/>
    <w:p w14:paraId="3B421751" w14:textId="77777777" w:rsidR="007C4598" w:rsidRDefault="00000000">
      <w:pPr>
        <w:jc w:val="both"/>
      </w:pPr>
      <w:r>
        <w:t>La graduazione complessiva del beneficio burocratico è intermedia per l’anello organizzativo e più incerta per la quantificazione economica, e si traduce in bande prudenziali e in una stima centrale contenuta, coerente con la natura amministrativa e non sostanziale del beneficio. La catena è governata dalla regola di non duplicazione, che nel dominio burocratico assume una forma specifica: il beneficio burocratico riguarda l’efficienza amministrativa — il tempo dedicato agli adempimenti e alla gestione — e non i risparmi sostanziali sui costi dei servizi, già colti dagli altri domini; la distinzione tra efficienza amministrativa e risparmio sostanziale separa il dominio burocratico dagli altri. Il dominio coglie, in altri termini, il costo del processo amministrativo, distinto dal costo della prestazione, e ne misura la riduzione conseguente alla semplificazione e all’integrazione.</w:t>
      </w:r>
    </w:p>
    <w:p w14:paraId="71855963" w14:textId="77777777" w:rsidR="007C4598" w:rsidRDefault="007C4598"/>
    <w:p w14:paraId="23C31870" w14:textId="77777777" w:rsidR="007C4598" w:rsidRDefault="00000000">
      <w:pPr>
        <w:pStyle w:val="Titolo2"/>
        <w:spacing w:before="200" w:after="100"/>
      </w:pPr>
      <w:r>
        <w:rPr>
          <w:sz w:val="22"/>
          <w:szCs w:val="22"/>
        </w:rPr>
        <w:t>9.8.4  La quantificazione del dominio burocratico</w:t>
      </w:r>
    </w:p>
    <w:p w14:paraId="0E8D42B4" w14:textId="77777777" w:rsidR="007C4598" w:rsidRDefault="007C4598"/>
    <w:p w14:paraId="5C44A7D7" w14:textId="77777777" w:rsidR="007C4598" w:rsidRDefault="00000000">
      <w:pPr>
        <w:jc w:val="both"/>
      </w:pPr>
      <w:r>
        <w:t>La quantificazione del dominio burocratico procede secondo il metodo in cinque passaggi, applicato alle due forme dell’onere amministrativo. La tabella che segue ricostruisce le due forme e i margini su cui il dominio opera.</w:t>
      </w:r>
    </w:p>
    <w:p w14:paraId="50E7C2A3"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298ADE50"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622D7C1" w14:textId="77777777" w:rsidR="007C4598" w:rsidRDefault="00000000">
            <w:pPr>
              <w:spacing w:after="40"/>
            </w:pPr>
            <w:r>
              <w:rPr>
                <w:b/>
                <w:bCs/>
                <w:color w:val="FFFFFF"/>
                <w:sz w:val="18"/>
                <w:szCs w:val="18"/>
              </w:rPr>
              <w:t>Forma dell’onere amministrativo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1BC0092" w14:textId="77777777" w:rsidR="007C4598" w:rsidRDefault="00000000">
            <w:pPr>
              <w:spacing w:after="40"/>
            </w:pPr>
            <w:r>
              <w:rPr>
                <w:b/>
                <w:bCs/>
                <w:color w:val="FFFFFF"/>
                <w:sz w:val="18"/>
                <w:szCs w:val="18"/>
              </w:rPr>
              <w:t>Grandezza di ancoraggio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46ECBBE" w14:textId="77777777" w:rsidR="007C4598" w:rsidRDefault="00000000">
            <w:pPr>
              <w:spacing w:after="40"/>
            </w:pPr>
            <w:r>
              <w:rPr>
                <w:b/>
                <w:bCs/>
                <w:color w:val="FFFFFF"/>
                <w:sz w:val="18"/>
                <w:szCs w:val="18"/>
              </w:rPr>
              <w:t>Componente comprimibile dal primo livello psicologico</w:t>
            </w:r>
          </w:p>
        </w:tc>
      </w:tr>
      <w:tr w:rsidR="007C4598" w14:paraId="10EB0142"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F7F75EF" w14:textId="77777777" w:rsidR="007C4598" w:rsidRDefault="00000000">
            <w:pPr>
              <w:spacing w:after="40"/>
            </w:pPr>
            <w:r>
              <w:t>Adempimenti e certificazioni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7DC279D" w14:textId="77777777" w:rsidR="007C4598" w:rsidRDefault="00000000">
            <w:pPr>
              <w:spacing w:after="40"/>
            </w:pPr>
            <w:r>
              <w:t>costo del tempo amministrativo e dei cittadini per gli iter della presa in carico frammentata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3E8B16B" w14:textId="77777777" w:rsidR="007C4598" w:rsidRDefault="00000000">
            <w:pPr>
              <w:spacing w:after="40"/>
            </w:pPr>
            <w:r>
              <w:t>la quota riducibile dalla semplificazione dei percorsi e dal punto di accesso prossimo</w:t>
            </w:r>
          </w:p>
        </w:tc>
      </w:tr>
      <w:tr w:rsidR="007C4598" w14:paraId="64BEE381"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29BFAF9" w14:textId="77777777" w:rsidR="007C4598" w:rsidRDefault="00000000">
            <w:pPr>
              <w:spacing w:after="40"/>
            </w:pPr>
            <w:r>
              <w:t>Frammentazione amministrativa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4F7EC8F" w14:textId="77777777" w:rsidR="007C4598" w:rsidRDefault="00000000">
            <w:pPr>
              <w:spacing w:after="40"/>
            </w:pPr>
            <w:r>
              <w:t>costo della gestione non integrata tra i servizi (duplicazioni, sovrapposizioni)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63B1C71" w14:textId="77777777" w:rsidR="007C4598" w:rsidRDefault="00000000">
            <w:pPr>
              <w:spacing w:after="40"/>
            </w:pPr>
            <w:r>
              <w:t>la quota riducibile dalla gestione integrata e dal coordinamento al primo livello</w:t>
            </w:r>
          </w:p>
        </w:tc>
      </w:tr>
    </w:tbl>
    <w:p w14:paraId="0A2ABE82" w14:textId="77777777" w:rsidR="007C4598" w:rsidRDefault="007C4598"/>
    <w:p w14:paraId="24DB3142" w14:textId="77777777" w:rsidR="007C4598" w:rsidRDefault="00000000">
      <w:pPr>
        <w:jc w:val="both"/>
      </w:pPr>
      <w:r>
        <w:rPr>
          <w:i/>
          <w:iCs/>
        </w:rPr>
        <w:t>Tabella 9.15 — Le forme dell’onere amministrativo connesso alla presa in carico frammentata e i margini di compressione. Le grandezze sono ricostruite sulle fonti disponibili e saranno sostituite dai dati certificati non appena acquisiti; le componenti comprimibili riguardano il costo del processo amministrativo, distinto dal costo della prestazione colto dagli altri domini.</w:t>
      </w:r>
    </w:p>
    <w:p w14:paraId="07FD7504" w14:textId="77777777" w:rsidR="007C4598" w:rsidRDefault="007C4598"/>
    <w:p w14:paraId="217ECB3C" w14:textId="77777777" w:rsidR="007C4598" w:rsidRDefault="00000000">
      <w:pPr>
        <w:jc w:val="both"/>
      </w:pPr>
      <w:r>
        <w:t>Sulla base di questo quadro, la stima del beneficio burocratico è articolata nelle due componenti e per ciascuno dei tre scenari di copertura. La componente della riduzione degli adempimenti costituisce la quota maggiore del beneficio; la componente dell’efficienza della gestione integrata costituisce la quota minore. La tabella che segue espone la stima per componente e per scenario.</w:t>
      </w:r>
    </w:p>
    <w:p w14:paraId="184779CB"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4E445ECC"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9180EAE" w14:textId="77777777" w:rsidR="007C4598" w:rsidRDefault="00000000">
            <w:pPr>
              <w:spacing w:after="40"/>
            </w:pPr>
            <w:r>
              <w:rPr>
                <w:b/>
                <w:bCs/>
                <w:color w:val="FFFFFF"/>
                <w:sz w:val="18"/>
                <w:szCs w:val="18"/>
              </w:rPr>
              <w:t>Componente del beneficio burocratico (mln €/anno)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AF7E9F2" w14:textId="77777777" w:rsidR="007C4598" w:rsidRDefault="00000000">
            <w:pPr>
              <w:spacing w:after="40"/>
            </w:pPr>
            <w:r>
              <w:rPr>
                <w:b/>
                <w:bCs/>
                <w:color w:val="FFFFFF"/>
                <w:sz w:val="18"/>
                <w:szCs w:val="18"/>
              </w:rPr>
              <w:t>Conservativo (~450)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3D6E6B9" w14:textId="77777777" w:rsidR="007C4598" w:rsidRDefault="00000000">
            <w:pPr>
              <w:spacing w:after="40"/>
            </w:pPr>
            <w:r>
              <w:rPr>
                <w:b/>
                <w:bCs/>
                <w:color w:val="FFFFFF"/>
                <w:sz w:val="18"/>
                <w:szCs w:val="18"/>
              </w:rPr>
              <w:t>Intermedio (~700)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65DF9C9" w14:textId="77777777" w:rsidR="007C4598" w:rsidRDefault="00000000">
            <w:pPr>
              <w:spacing w:after="40"/>
            </w:pPr>
            <w:r>
              <w:rPr>
                <w:b/>
                <w:bCs/>
                <w:color w:val="FFFFFF"/>
                <w:sz w:val="18"/>
                <w:szCs w:val="18"/>
              </w:rPr>
              <w:t>Espansivo (~900)</w:t>
            </w:r>
          </w:p>
        </w:tc>
      </w:tr>
      <w:tr w:rsidR="007C4598" w14:paraId="42A3915A"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FF59C97" w14:textId="77777777" w:rsidR="007C4598" w:rsidRDefault="00000000">
            <w:pPr>
              <w:spacing w:after="40"/>
            </w:pPr>
            <w:r>
              <w:t>Riduzione degli adempimenti e semplificazione dei percorsi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C851695" w14:textId="77777777" w:rsidR="007C4598" w:rsidRDefault="00000000">
            <w:pPr>
              <w:spacing w:after="40"/>
            </w:pPr>
            <w:r>
              <w:t>~1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8C04825" w14:textId="77777777" w:rsidR="007C4598" w:rsidRDefault="00000000">
            <w:pPr>
              <w:spacing w:after="40"/>
            </w:pPr>
            <w:r>
              <w:t>~2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39C6A37" w14:textId="77777777" w:rsidR="007C4598" w:rsidRDefault="00000000">
            <w:pPr>
              <w:spacing w:after="40"/>
            </w:pPr>
            <w:r>
              <w:t>~3</w:t>
            </w:r>
          </w:p>
        </w:tc>
      </w:tr>
      <w:tr w:rsidR="007C4598" w14:paraId="1D600BFE"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80C0D94" w14:textId="77777777" w:rsidR="007C4598" w:rsidRDefault="00000000">
            <w:pPr>
              <w:spacing w:after="40"/>
            </w:pPr>
            <w:r>
              <w:t>Efficienza amministrativa e gestione integrata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1719F1D" w14:textId="77777777" w:rsidR="007C4598" w:rsidRDefault="00000000">
            <w:pPr>
              <w:spacing w:after="40"/>
            </w:pPr>
            <w:r>
              <w:t>~1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EF1E5CB" w14:textId="77777777" w:rsidR="007C4598" w:rsidRDefault="00000000">
            <w:pPr>
              <w:spacing w:after="40"/>
            </w:pPr>
            <w:r>
              <w:t>~1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1095072" w14:textId="77777777" w:rsidR="007C4598" w:rsidRDefault="00000000">
            <w:pPr>
              <w:spacing w:after="40"/>
            </w:pPr>
            <w:r>
              <w:t>~1</w:t>
            </w:r>
          </w:p>
        </w:tc>
      </w:tr>
      <w:tr w:rsidR="007C4598" w14:paraId="21C56E47"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8B8DC4E" w14:textId="77777777" w:rsidR="007C4598" w:rsidRDefault="00000000">
            <w:pPr>
              <w:spacing w:after="40"/>
            </w:pPr>
            <w:r>
              <w:t>Beneficio burocratico indiretto del dominio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6E84553" w14:textId="77777777" w:rsidR="007C4598" w:rsidRDefault="00000000">
            <w:pPr>
              <w:spacing w:after="40"/>
            </w:pPr>
            <w:r>
              <w:t>~2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7B84258" w14:textId="77777777" w:rsidR="007C4598" w:rsidRDefault="00000000">
            <w:pPr>
              <w:spacing w:after="40"/>
            </w:pPr>
            <w:r>
              <w:t>~3</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2D5DE7E" w14:textId="77777777" w:rsidR="007C4598" w:rsidRDefault="00000000">
            <w:pPr>
              <w:spacing w:after="40"/>
            </w:pPr>
            <w:r>
              <w:t>~4</w:t>
            </w:r>
          </w:p>
        </w:tc>
      </w:tr>
    </w:tbl>
    <w:p w14:paraId="2E245FDA" w14:textId="77777777" w:rsidR="007C4598" w:rsidRDefault="007C4598"/>
    <w:p w14:paraId="447E01AA" w14:textId="77777777" w:rsidR="007C4598" w:rsidRDefault="00000000">
      <w:pPr>
        <w:jc w:val="both"/>
      </w:pPr>
      <w:r>
        <w:rPr>
          <w:i/>
          <w:iCs/>
        </w:rPr>
        <w:t>Tabella 9.16 — Stima prudenziale del beneficio del dominio burocratico per scenario. Le cifre sono bande prudenziali arrotondate; l’ultima riga è la somma delle due componenti. Il valore riguarda l’efficienza amministrativa — il costo del processo — distinta dai risparmi sostanziali sui costi delle prestazioni colti dagli altri domini, e dai risparmi sanitari diretti della parte ottava.</w:t>
      </w:r>
    </w:p>
    <w:p w14:paraId="3112BDEF" w14:textId="77777777" w:rsidR="007C4598" w:rsidRDefault="007C4598"/>
    <w:p w14:paraId="370D583C" w14:textId="77777777" w:rsidR="007C4598" w:rsidRDefault="00000000">
      <w:pPr>
        <w:jc w:val="both"/>
      </w:pPr>
      <w:r>
        <w:t>Il beneficio burocratico indiretto è dunque stimato in un ordine di grandezza compreso tra circa due milioni di euro l’anno nello scenario conservativo e circa quattro milioni nello scenario espansivo, con un valore intermedio dell’ordine di tre milioni. La modestia della cifra è coerente con la natura del beneficio, che riguarda l’efficienza del processo amministrativo e non i risparmi sostanziali sui costi delle prestazioni: il valore della semplificazione degli adempimenti e dell’integrazione gestionale, pur reale, è di ordine inferiore rispetto a quello della produttività conservata o dell’uscita dal lavoro evitata, perché incide sul costo del processo e non sul costo della sostanza. Il dominio burocratico cattura, tuttavia, una dimensione genuina del valore della riforma — la riduzione del peso amministrativo che la frammentazione impone alle amministrazioni e ai cittadini — che, per quanto contenuta, completa il quadro del costo del disagio non intercettato, e che assume rilievo particolare in un contesto, come quello pugliese, in cui la frammentazione e la complessità amministrativa sono fonte di inefficienza avvertita.</w:t>
      </w:r>
    </w:p>
    <w:p w14:paraId="15FECA8B"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660D32AE"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AACFAAE" w14:textId="77777777" w:rsidR="007C4598" w:rsidRDefault="00000000">
            <w:pPr>
              <w:spacing w:after="40"/>
            </w:pPr>
            <w:r>
              <w:rPr>
                <w:b/>
                <w:bCs/>
                <w:color w:val="FFFFFF"/>
                <w:sz w:val="18"/>
                <w:szCs w:val="18"/>
              </w:rPr>
              <w:t xml:space="preserve">◆ SEGNAPOSTO INFOGRAFICA — FIG. 9.H · DA INSERIRE A POSTERIORI Titolo previsto: Il dominio burocratico: la semplificazione dei percorsi amministrativi — Puglia CODICE CANVA-FRIENDLY (scheda di generazione) Tipo di grafico: diagramma di confronto tra due percorsi amministrativi schematici — il percorso frammentato (con molti passaggi, adempimenti e servizi non coordinati) e il percorso semplificato (con punto di accesso prossimo e gestione integrata) — affiancato da barre del beneficio per scenario. Lettura: a sinistra, due schemi di percorso a confronto, l’uno articolato in numerosi passaggi e l’altro raccolto attorno a un punto di accesso integrato, a illustrare la semplificazione; a destra, tre barre del beneficio totale per scenario (2, 3 e 4 milioni), scomposte nelle due componenti. Palette: percorso frammentato in grigio #D8D8D8; percorso semplificato e punto di accesso in blu </w:t>
            </w:r>
            <w:proofErr w:type="spellStart"/>
            <w:r>
              <w:rPr>
                <w:b/>
                <w:bCs/>
                <w:color w:val="FFFFFF"/>
                <w:sz w:val="18"/>
                <w:szCs w:val="18"/>
              </w:rPr>
              <w:t>navy</w:t>
            </w:r>
            <w:proofErr w:type="spellEnd"/>
            <w:r>
              <w:rPr>
                <w:b/>
                <w:bCs/>
                <w:color w:val="FFFFFF"/>
                <w:sz w:val="18"/>
                <w:szCs w:val="18"/>
              </w:rPr>
              <w:t xml:space="preserve"> #16264B; componenti del beneficio in blu medio #244272 e blu #2E5AA0; etichetta del totale in oro #C49A48.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etichette dei percorsi e degli scenari Medium, valori Regular.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Valori da rappresentare: Conservativo — adempimenti ~1; gestione integrata ~1; totale ~2. Intermedio — ~2; ~1; totale ~3. Espansivo — ~3; ~1; totale ~4. Variante 3D (consigliata): i due percorsi resi come reti di nodi a rilievo, l’uno disperso e l’altro convergente verso un nodo centrale (il punto di accesso); le barre del beneficio a rilievo isometrico accanto. Fonte (piè di figura): Elaborazione dello studio; il beneficio riguarda l’efficienza del processo amministrativo, distinta dai risparmi sostanziali; graduazione GRADE intermedia per l’anello organizzativo. La figura deve rendere evidente che il dominio burocratico riguarda l’efficienza del processo amministrativo — la semplificazione dei percorsi e l’integrazione gestionale — distinta dai risparmi sostanziali sui costi delle prestazioni colti dagli altri domini.</w:t>
            </w:r>
          </w:p>
          <w:p w14:paraId="0919CA4B" w14:textId="77777777" w:rsidR="007C4598" w:rsidRDefault="00000000">
            <w:pPr>
              <w:spacing w:before="120" w:after="60"/>
              <w:jc w:val="center"/>
            </w:pPr>
            <w:r>
              <w:rPr>
                <w:noProof/>
              </w:rPr>
              <w:drawing>
                <wp:inline distT="0" distB="0" distL="0" distR="0" wp14:anchorId="5C75187F" wp14:editId="1339ACC9">
                  <wp:extent cx="8229600" cy="4629150"/>
                  <wp:effectExtent l="0" t="0" r="0" b="0"/>
                  <wp:docPr id="147" name="Infografica47" descr="Il dominio burocratico: semplificazione percor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Infografica47"/>
                          <pic:cNvPicPr>
                            <a:picLocks noChangeAspect="1" noChangeArrowheads="1"/>
                          </pic:cNvPicPr>
                        </pic:nvPicPr>
                        <pic:blipFill>
                          <a:blip r:embed="rId83">
                            <a:extLst>
                              <a:ext uri="{96DAC541-7B7A-43D3-8B79-37D633B846F1}">
                                <asvg:svgBlip xmlns:asvg="http://schemas.microsoft.com/office/drawing/2016/SVG/main" r:embed="rId84"/>
                              </a:ext>
                            </a:extLst>
                          </a:blip>
                          <a:stretch>
                            <a:fillRect/>
                          </a:stretch>
                        </pic:blipFill>
                        <pic:spPr bwMode="auto">
                          <a:xfrm>
                            <a:off x="0" y="0"/>
                            <a:ext cx="8229600" cy="4629150"/>
                          </a:xfrm>
                          <a:prstGeom prst="rect">
                            <a:avLst/>
                          </a:prstGeom>
                          <a:noFill/>
                          <a:ln>
                            <a:noFill/>
                          </a:ln>
                        </pic:spPr>
                      </pic:pic>
                    </a:graphicData>
                  </a:graphic>
                </wp:inline>
              </w:drawing>
            </w:r>
          </w:p>
          <w:p w14:paraId="3D7253FF" w14:textId="77777777" w:rsidR="007C4598" w:rsidRDefault="00000000">
            <w:pPr>
              <w:spacing w:before="40" w:after="200"/>
              <w:jc w:val="center"/>
            </w:pPr>
            <w:r>
              <w:rPr>
                <w:i/>
                <w:color w:val="2E5A8F"/>
                <w:sz w:val="16"/>
                <w:szCs w:val="16"/>
              </w:rPr>
              <w:t>Fig. 9.H — Il dominio burocratico: semplificazione percorsi. Elaborazione dello studio · Luigi De Michele · Giugno 2026.</w:t>
            </w:r>
          </w:p>
        </w:tc>
      </w:tr>
    </w:tbl>
    <w:p w14:paraId="235E1D45" w14:textId="77777777" w:rsidR="007C4598" w:rsidRDefault="007C4598"/>
    <w:p w14:paraId="6C95B4A8" w14:textId="77777777" w:rsidR="007C4598" w:rsidRDefault="00000000">
      <w:pPr>
        <w:pStyle w:val="Titolo2"/>
        <w:spacing w:before="200" w:after="100"/>
      </w:pPr>
      <w:r>
        <w:rPr>
          <w:sz w:val="22"/>
          <w:szCs w:val="22"/>
        </w:rPr>
        <w:t>9.8.5  La graduazione, i confini e la non duplicazione del dominio burocratico</w:t>
      </w:r>
    </w:p>
    <w:p w14:paraId="46409401" w14:textId="77777777" w:rsidR="007C4598" w:rsidRDefault="007C4598"/>
    <w:p w14:paraId="367AD7AF" w14:textId="77777777" w:rsidR="007C4598" w:rsidRDefault="00000000">
      <w:pPr>
        <w:jc w:val="both"/>
      </w:pPr>
      <w:r>
        <w:t>La solidità della stima del dominio burocratico va dichiarata. L’anello organizzativo è sostenuto da evidenza coerente di natura prevalentemente organizzativa; l’anello amministrativo-economico, da evidenza di qualità variabile, in ragione della difficoltà di misurare il tempo amministrativo risparmiato. La graduazione complessiva del dominio è intermedia per l’effetto di semplificazione e più incerta per la sua quantificazione economica, e si traduce in bande prudenziali e in una stima centrale contenuta.</w:t>
      </w:r>
      <w:r>
        <w:rPr>
          <w:color w:val="555555"/>
          <w:sz w:val="16"/>
          <w:szCs w:val="16"/>
          <w:vertAlign w:val="superscript"/>
        </w:rPr>
        <w:t>[27]</w:t>
      </w:r>
      <w:r>
        <w:t xml:space="preserve"> La stima va letta come un ordine di grandezza prudenziale di un beneficio di efficienza amministrativa, di natura diversa e di ordine inferiore rispetto ai benefici sostanziali degli altri domini.</w:t>
      </w:r>
    </w:p>
    <w:p w14:paraId="21B12EF1" w14:textId="77777777" w:rsidR="007C4598" w:rsidRDefault="007C4598"/>
    <w:p w14:paraId="25628947" w14:textId="77777777" w:rsidR="007C4598" w:rsidRDefault="00000000">
      <w:pPr>
        <w:jc w:val="both"/>
      </w:pPr>
      <w:r>
        <w:t>Da questa graduazione discendono i confini e le regole di non duplicazione del dominio burocratico. In primo luogo, il beneficio burocratico è una grandezza indiretta di efficienza amministrativa, non sommata ai risparmi sanitari diretti della parte ottava. In secondo luogo, e in modo caratteristico, esso riguarda il costo del processo amministrativo — il tempo dedicato agli adempimenti e alla gestione — e non i risparmi sostanziali sui costi delle prestazioni, già colti dagli altri domini: la distinzione tra costo del processo e costo della prestazione separa il dominio burocratico dagli altri ed evita ogni duplicazione. In terzo luogo, esso non si sovrappone agli altri domini, perché coglie una dimensione — l’efficienza amministrativa — che nessun altro dominio misura. La specificità del dominio burocratico è dunque quella di catturare il valore del processo amministrativo semplificato, dimensione distinta e non duplicata, ancorché di entità contenuta.</w:t>
      </w:r>
    </w:p>
    <w:p w14:paraId="50392556" w14:textId="77777777" w:rsidR="007C4598" w:rsidRDefault="007C4598"/>
    <w:p w14:paraId="3B5A2517" w14:textId="77777777" w:rsidR="007C4598" w:rsidRDefault="00000000">
      <w:pPr>
        <w:jc w:val="both"/>
      </w:pPr>
      <w:r>
        <w:t>La verifica documentale del dominio burocratico segue un’agenda precisa. Essa richiede l’acquisizione di dati e analisi sul tempo amministrativo dedicato agli adempimenti e alla gestione della presa in carico del disagio psichico nei percorsi frammentati, e sull’effetto di semplificazione conseguente all’introduzione di punti di accesso prossimi e integrati; dati prevalentemente desumibili da analisi organizzative e di processo piuttosto che da fonti amministrative consolidate. L’acquisizione di questi dati, prevista nella fase di consolidamento, consentirà di precisare la stima del beneficio di efficienza amministrativa. Esauriti i primi otto domini, che coprono la produzione, la previdenza, l’assistenza, il welfare, la prevenzione, la giustizia e l’amministrazione, la rinegoziazione ha percorso i domini di maggiore consistenza economica e di più diretta monetizzabilità; la tranche successiva affronterà i domini di natura prevalentemente culturale, formativa e relazionale, il cui valore, pur reale, si lascia in misura minore ridurre alla misura monetaria.</w:t>
      </w:r>
    </w:p>
    <w:p w14:paraId="0C4DBCD3" w14:textId="77777777" w:rsidR="007C4598" w:rsidRDefault="007C4598"/>
    <w:p w14:paraId="1D51997C" w14:textId="77777777" w:rsidR="007C4598" w:rsidRDefault="00000000">
      <w:pPr>
        <w:pStyle w:val="Titolo1"/>
        <w:pageBreakBefore/>
      </w:pPr>
      <w:r>
        <w:rPr>
          <w:sz w:val="22"/>
          <w:szCs w:val="22"/>
        </w:rPr>
        <w:t>I domini a prevalente natura culturale, formativa e relazionale</w:t>
      </w:r>
    </w:p>
    <w:p w14:paraId="5E79F1AD" w14:textId="77777777" w:rsidR="007C4598" w:rsidRDefault="007C4598"/>
    <w:p w14:paraId="07396C91" w14:textId="77777777" w:rsidR="007C4598" w:rsidRDefault="00000000">
      <w:pPr>
        <w:jc w:val="both"/>
      </w:pPr>
      <w:r>
        <w:rPr>
          <w:i/>
          <w:iCs/>
        </w:rPr>
        <w:t>Esauriti gli otto domini di maggiore consistenza economica e di più diretta monetizzabilità, la rinegoziazione entra nel territorio dei domini la cui natura è prevalentemente culturale, formativa e relazionale. Per questi domini muta il criterio del trattamento: là dove i domini precedenti si prestavano a una stima monetaria corredata di bande, questi domini recano un valore reale ma in larga parte irriducibile alla misura monetaria, e la rinegoziazione li tratta secondo la loro natura, quantificando con grande prudenza la sola componente monetizzabile residua e descrivendo senza forzature la dimensione qualitativa, che ne costituisce spesso la parte maggiore. L’esclusione della dimensione qualitativa dalla somma monetaria non ne nega il valore, ma ne rispetta l’irriducibilità, e impedisce di attribuire una falsa precisione numerica a benefici la cui sostanza è di altra natura. I quattro domini di questa tranche — il culturale, il pedagogico e scolastico, l’accademico e l’industriale — sono percorsi con questo criterio: per ciascuno si distingue ciò che può essere prudenzialmente monetizzato da ciò che va riconosciuto nella sua dimensione qualitativa, e si dichiara, dominio per dominio, quale parte alimenta l’aggregato e quale resta fuori da esso pur contribuendo al valore complessivo della riforma.</w:t>
      </w:r>
    </w:p>
    <w:p w14:paraId="4106ADAC" w14:textId="77777777" w:rsidR="007C4598" w:rsidRDefault="007C4598"/>
    <w:p w14:paraId="384185C3" w14:textId="77777777" w:rsidR="007C4598" w:rsidRDefault="00000000">
      <w:pPr>
        <w:pStyle w:val="Titolo1"/>
        <w:pageBreakBefore/>
      </w:pPr>
      <w:r>
        <w:rPr>
          <w:sz w:val="22"/>
          <w:szCs w:val="22"/>
        </w:rPr>
        <w:t>9.9  Il dominio culturale</w:t>
      </w:r>
    </w:p>
    <w:p w14:paraId="44B5615B" w14:textId="77777777" w:rsidR="007C4598" w:rsidRDefault="007C4598"/>
    <w:p w14:paraId="7D64BFE3" w14:textId="77777777" w:rsidR="007C4598" w:rsidRDefault="00000000">
      <w:pPr>
        <w:jc w:val="both"/>
      </w:pPr>
      <w:r>
        <w:rPr>
          <w:i/>
          <w:iCs/>
        </w:rPr>
        <w:t>Il nono dominio del perimetro integrale è il culturale, e con esso si apre il territorio dei domini a prevalente natura qualitativa. Esso misura il valore che la presenza diffusa e prossima del primo livello psicologico genera sul piano della cultura collettiva del disagio: la riduzione dello stigma che circonda i disturbi mentali, e l’alfabetizzazione psicologica della popolazione, ossia la capacità diffusa di riconoscere il disagio, di comprenderne la natura e di rivolgersi tempestivamente alle cure. Lo stigma e l’analfabetismo psicologico costituiscono, infatti, barriere reali all’accesso alle cure, che ritardano la richiesta di aiuto e aggravano il decorso; la loro riduzione, conseguente alla normalizzazione del ricorso al primo livello psicologico, genera un beneficio in parte monetizzabile, attraverso la riduzione del ritardo nell’accesso, e in parte qualitativo, attraverso l’accrescimento della capacità collettiva di affrontare il disagio. La voce ricostruisce il contesto culturale del disagio, ne isola i meccanismi, ne traccia la catena causale, ne stima la sola componente monetizzabile residua per scenario, e ne dichiara la dimensione qualitativa e i confini.</w:t>
      </w:r>
    </w:p>
    <w:p w14:paraId="1D2273E2" w14:textId="77777777" w:rsidR="007C4598" w:rsidRDefault="007C4598"/>
    <w:p w14:paraId="4DC467B6" w14:textId="77777777" w:rsidR="007C4598" w:rsidRDefault="00000000">
      <w:pPr>
        <w:pStyle w:val="Titolo2"/>
        <w:spacing w:before="200" w:after="100"/>
      </w:pPr>
      <w:r>
        <w:rPr>
          <w:sz w:val="22"/>
          <w:szCs w:val="22"/>
        </w:rPr>
        <w:t>9.9.1  Il contesto: stigma e alfabetizzazione psicologica</w:t>
      </w:r>
    </w:p>
    <w:p w14:paraId="02CB9D51" w14:textId="77777777" w:rsidR="007C4598" w:rsidRDefault="007C4598"/>
    <w:p w14:paraId="585EEAFD" w14:textId="77777777" w:rsidR="007C4598" w:rsidRDefault="00000000">
      <w:pPr>
        <w:jc w:val="both"/>
      </w:pPr>
      <w:r>
        <w:t>Il disagio psichico è, tra le condizioni di salute, quella maggiormente circondata dallo stigma, ossia da un insieme di rappresentazioni negative, pregiudizi e atteggiamenti di distanza che gravano sulle persone che ne sono affette e che ne condizionano i comportamenti. Lo stigma opera su due piani: come stigma sociale, nelle rappresentazioni e negli atteggiamenti della collettività verso chi soffre di un disturbo mentale; e come stigma interiorizzato, nella stessa persona affetta, che, assorbendo le rappresentazioni negative, tende a nascondere il proprio disagio, a non riconoscerlo e a non chiedere aiuto. Entrambe le forme dello stigma costituiscono barriere all’accesso alle cure, perché ritardano o impediscono la richiesta di aiuto, e concorrono così ad aggravare il decorso del disturbo non intercettato. La riduzione dello stigma è dunque, oltre che un valore civile, una condizione dell’efficacia della presa in carico precoce, perché un disturbo non riconosciuto o nascosto per vergogna non può essere intercettato.</w:t>
      </w:r>
    </w:p>
    <w:p w14:paraId="4C69DF74" w14:textId="77777777" w:rsidR="007C4598" w:rsidRDefault="007C4598"/>
    <w:p w14:paraId="14AE3312" w14:textId="77777777" w:rsidR="007C4598" w:rsidRDefault="00000000">
      <w:pPr>
        <w:jc w:val="both"/>
      </w:pPr>
      <w:r>
        <w:t>All’alfabetizzazione psicologica si lega un secondo aspetto della cultura collettiva del disagio. Per alfabetizzazione psicologica si intende la capacità diffusa, nella popolazione, di riconoscere i segni del disagio psichico, di comprenderne la natura di condizione affrontabile e curabile, e di sapere a chi e come rivolgersi per ottenere aiuto. Una popolazione psicologicamente alfabetizzata riconosce precocemente il disagio, proprio e altrui, lo interpreta correttamente e si rivolge tempestivamente alle cure; una popolazione priva di tale alfabetizzazione non riconosce il disagio, lo interpreta erroneamente e ritarda o omette la richiesta di aiuto. L’alfabetizzazione psicologica è dunque, come la riduzione dello stigma, una condizione dell’intercettazione precoce, e il suo accrescimento costituisce un beneficio culturale della riforma. In Puglia, dove lo stigma e la scarsa alfabetizzazione psicologica concorrono al divario di trattamento, la presenza diffusa del primo livello psicologico può incidere su entrambi, normalizzando il ricorso alle cure e accrescendo la capacità collettiva di affrontare il disagio.</w:t>
      </w:r>
    </w:p>
    <w:p w14:paraId="79E9E96A" w14:textId="77777777" w:rsidR="007C4598" w:rsidRDefault="007C4598"/>
    <w:p w14:paraId="1DAC8A56" w14:textId="77777777" w:rsidR="007C4598" w:rsidRDefault="00000000">
      <w:pPr>
        <w:jc w:val="both"/>
      </w:pPr>
      <w:r>
        <w:t xml:space="preserve">La connessione tra questi aspetti culturali e il primo livello psicologico opera attraverso la normalizzazione del ricorso alle cure psicologiche che la loro presenza prossima e diffusa determina. Quando il ricorso allo psicologo diviene, attraverso la sua collocazione nelle cure primarie, un atto ordinario e prossimo come il ricorso al medico di base, lo stigma che circonda la richiesta di aiuto si attenua, e la popolazione, abituata alla presenza del primo livello psicologico, ne acquisisce gradualmente l’alfabetizzazione. Lo Psicologo di Base, per la sua sola presenza diffusa e prossima, agisce dunque come fattore di </w:t>
      </w:r>
      <w:proofErr w:type="spellStart"/>
      <w:r>
        <w:t>destigmatizzazione</w:t>
      </w:r>
      <w:proofErr w:type="spellEnd"/>
      <w:r>
        <w:t xml:space="preserve"> e di alfabetizzazione; e il valore che ne deriva — il ritardo nell’accesso ridotto e la capacità collettiva accresciuta — è il beneficio che il dominio culturale misura, in parte monetizzabile e in parte qualitativo. Tale beneficio si distribuisce sull’intera collettività, e si manifesta tanto come minore ritardo nelle cure quanto come accrescimento di un bene immateriale, la cultura collettiva del disagio.</w:t>
      </w:r>
    </w:p>
    <w:p w14:paraId="7F43BE42" w14:textId="77777777" w:rsidR="007C4598" w:rsidRDefault="007C4598"/>
    <w:p w14:paraId="64E6F2F2" w14:textId="77777777" w:rsidR="007C4598" w:rsidRDefault="00000000">
      <w:pPr>
        <w:pStyle w:val="Titolo2"/>
        <w:spacing w:before="200" w:after="100"/>
      </w:pPr>
      <w:r>
        <w:rPr>
          <w:sz w:val="22"/>
          <w:szCs w:val="22"/>
        </w:rPr>
        <w:t xml:space="preserve">9.9.2  I meccanismi: </w:t>
      </w:r>
      <w:proofErr w:type="spellStart"/>
      <w:r>
        <w:rPr>
          <w:sz w:val="22"/>
          <w:szCs w:val="22"/>
        </w:rPr>
        <w:t>destigmatizzazione</w:t>
      </w:r>
      <w:proofErr w:type="spellEnd"/>
      <w:r>
        <w:rPr>
          <w:sz w:val="22"/>
          <w:szCs w:val="22"/>
        </w:rPr>
        <w:t xml:space="preserve"> e accrescimento della capacità collettiva</w:t>
      </w:r>
    </w:p>
    <w:p w14:paraId="0B030941" w14:textId="77777777" w:rsidR="007C4598" w:rsidRDefault="007C4598"/>
    <w:p w14:paraId="0E86C634" w14:textId="77777777" w:rsidR="007C4598" w:rsidRDefault="00000000">
      <w:pPr>
        <w:jc w:val="both"/>
      </w:pPr>
      <w:r>
        <w:t xml:space="preserve">Il dominio culturale opera attraverso due meccanismi, l’uno con una componente monetizzabile e l’altro prevalentemente qualitativo. Il primo meccanismo è la riduzione del ritardo nell’accesso alle cure conseguente alla </w:t>
      </w:r>
      <w:proofErr w:type="spellStart"/>
      <w:r>
        <w:t>destigmatizzazione</w:t>
      </w:r>
      <w:proofErr w:type="spellEnd"/>
      <w:r>
        <w:t>. L’attenuazione dello stigma, sociale e interiorizzato, riduce il tempo che intercorre tra l’insorgenza del disagio e la richiesta di aiuto, perché la persona meno gravata dallo stigma riconosce e dichiara prima il proprio disagio; il valore che ne deriva è in parte monetizzabile, perché il minore ritardo nell’accesso si traduce in un decorso meno aggravato e in minori costi conseguenti. Questa componente monetizzabile è tuttavia residua, perché la gran parte del valore del minore ritardo è già colta dai domini sanitari e produttivi, e il dominio culturale ne quantifica soltanto la quota non altrimenti attribuita.</w:t>
      </w:r>
    </w:p>
    <w:p w14:paraId="636E6638" w14:textId="77777777" w:rsidR="007C4598" w:rsidRDefault="007C4598"/>
    <w:p w14:paraId="1D546E6D" w14:textId="77777777" w:rsidR="007C4598" w:rsidRDefault="00000000">
      <w:pPr>
        <w:jc w:val="both"/>
      </w:pPr>
      <w:r>
        <w:t>Il secondo meccanismo è l’accrescimento della capacità collettiva di riconoscere e affrontare il disagio, ossia dell’alfabetizzazione psicologica della popolazione. Questo meccanismo genera un valore prevalentemente qualitativo, perché la capacità collettiva di affrontare il disagio è un bene immateriale che si accumula nel tempo e che non si lascia agevolmente ridurre a una cifra: una popolazione più consapevole e più capace di affrontare il disagio è un valore reale per la collettività, ma il suo apporto economico è diffuso, indiretto e di difficile quantificazione puntuale. I due meccanismi convergono verso il miglioramento della cultura collettiva del disagio, e ne colgono componenti distinte — la riduzione del ritardo, in parte monetizzabile, e l’accrescimento della capacità collettiva, prevalentemente qualitativo — di cui solo la prima alimenta, nella sua quota residua, l’aggregato monetario, mentre la seconda è riconosciuta nella sua dimensione qualitativa.</w:t>
      </w:r>
    </w:p>
    <w:p w14:paraId="4B1D1DA5" w14:textId="77777777" w:rsidR="007C4598" w:rsidRDefault="007C4598"/>
    <w:p w14:paraId="370718CF" w14:textId="77777777" w:rsidR="007C4598" w:rsidRDefault="00000000">
      <w:pPr>
        <w:pStyle w:val="Titolo2"/>
        <w:spacing w:before="200" w:after="100"/>
      </w:pPr>
      <w:r>
        <w:rPr>
          <w:sz w:val="22"/>
          <w:szCs w:val="22"/>
        </w:rPr>
        <w:t>9.9.3  La catena causale e la quantificazione del dominio culturale</w:t>
      </w:r>
    </w:p>
    <w:p w14:paraId="264F9D2F" w14:textId="77777777" w:rsidR="007C4598" w:rsidRDefault="007C4598"/>
    <w:p w14:paraId="574DE1B3" w14:textId="77777777" w:rsidR="007C4598" w:rsidRDefault="00000000">
      <w:pPr>
        <w:jc w:val="both"/>
      </w:pPr>
      <w:r>
        <w:t xml:space="preserve">La formazione del beneficio culturale segue una catena causale di natura in parte diffusa. Il primo anello è culturale: la presenza prossima e diffusa del primo livello psicologico normalizza il ricorso alle cure, attenua lo stigma e accresce l’alfabetizzazione. Questo anello è sostenuto da evidenza coerente sull’effetto di normalizzazione della prossimità e della diffusione dei servizi. Il secondo anello, per la componente monetizzabile, lega la </w:t>
      </w:r>
      <w:proofErr w:type="spellStart"/>
      <w:r>
        <w:t>destigmatizzazione</w:t>
      </w:r>
      <w:proofErr w:type="spellEnd"/>
      <w:r>
        <w:t xml:space="preserve"> alla riduzione del ritardo nell’accesso e ai minori costi conseguenti; esso è sostenuto da evidenza di qualità variabile, e la sua quantificazione è residua. Per la componente qualitativa, la catena conduce all’accrescimento di un bene immateriale, la capacità collettiva, che non si traduce in una grandezza monetaria definita.</w:t>
      </w:r>
    </w:p>
    <w:p w14:paraId="61D870C2" w14:textId="77777777" w:rsidR="007C4598" w:rsidRDefault="007C4598"/>
    <w:p w14:paraId="476AAF6C" w14:textId="77777777" w:rsidR="007C4598" w:rsidRDefault="00000000">
      <w:pPr>
        <w:jc w:val="both"/>
      </w:pPr>
      <w:r>
        <w:t xml:space="preserve">La quantificazione del dominio culturale si limita, coerentemente con la sua natura, alla sola componente monetizzabile residua — la riduzione del ritardo nell’accesso dovuta alla </w:t>
      </w:r>
      <w:proofErr w:type="spellStart"/>
      <w:r>
        <w:t>destigmatizzazione</w:t>
      </w:r>
      <w:proofErr w:type="spellEnd"/>
      <w:r>
        <w:t xml:space="preserve"> — e riconosce la componente dell’alfabetizzazione psicologica nella sua dimensione qualitativa, senza monetizzarla. La tabella che segue distingue le due dimensioni del dominio.</w:t>
      </w:r>
    </w:p>
    <w:p w14:paraId="62D8A01E"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33C4CD23"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B838F98" w14:textId="77777777" w:rsidR="007C4598" w:rsidRDefault="00000000">
            <w:pPr>
              <w:spacing w:after="40"/>
            </w:pPr>
            <w:r>
              <w:rPr>
                <w:b/>
                <w:bCs/>
                <w:color w:val="FFFFFF"/>
                <w:sz w:val="18"/>
                <w:szCs w:val="18"/>
              </w:rPr>
              <w:t>Dimensione del dominio culturale</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12874E3" w14:textId="77777777" w:rsidR="007C4598" w:rsidRDefault="00000000">
            <w:pPr>
              <w:spacing w:after="40"/>
            </w:pPr>
            <w:r>
              <w:rPr>
                <w:b/>
                <w:bCs/>
                <w:color w:val="FFFFFF"/>
                <w:sz w:val="18"/>
                <w:szCs w:val="18"/>
              </w:rPr>
              <w:t>Natura della grandezza</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8190AEC" w14:textId="77777777" w:rsidR="007C4598" w:rsidRDefault="00000000">
            <w:pPr>
              <w:spacing w:after="40"/>
            </w:pPr>
            <w:r>
              <w:rPr>
                <w:b/>
                <w:bCs/>
                <w:color w:val="FFFFFF"/>
                <w:sz w:val="18"/>
                <w:szCs w:val="18"/>
              </w:rPr>
              <w:t>Trattamento nella rinegoziazione</w:t>
            </w:r>
          </w:p>
        </w:tc>
      </w:tr>
      <w:tr w:rsidR="007C4598" w14:paraId="0F286D76"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FFE838B" w14:textId="77777777" w:rsidR="007C4598" w:rsidRDefault="00000000">
            <w:pPr>
              <w:spacing w:after="40"/>
            </w:pPr>
            <w:r>
              <w:t>Stigma come barriera all’accesso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2093E72" w14:textId="77777777" w:rsidR="007C4598" w:rsidRDefault="00000000">
            <w:pPr>
              <w:spacing w:after="40"/>
            </w:pPr>
            <w:r>
              <w:t>ritardo nell’accesso alle cure dovuto allo stigma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7AD51D0" w14:textId="77777777" w:rsidR="007C4598" w:rsidRDefault="00000000">
            <w:pPr>
              <w:spacing w:after="40"/>
            </w:pPr>
            <w:r>
              <w:t>componente monetizzabile residua, quantificata con prudenza</w:t>
            </w:r>
          </w:p>
        </w:tc>
      </w:tr>
      <w:tr w:rsidR="007C4598" w14:paraId="2DCDCDAF"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CFC0AA1" w14:textId="77777777" w:rsidR="007C4598" w:rsidRDefault="00000000">
            <w:pPr>
              <w:spacing w:after="40"/>
            </w:pPr>
            <w:r>
              <w:t>Alfabetizzazione psicologica e capacità collettiva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C309643" w14:textId="77777777" w:rsidR="007C4598" w:rsidRDefault="00000000">
            <w:pPr>
              <w:spacing w:after="40"/>
            </w:pPr>
            <w:r>
              <w:t>bene immateriale della capacità collettiva di affrontare il disagio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F013EAA" w14:textId="77777777" w:rsidR="007C4598" w:rsidRDefault="00000000">
            <w:pPr>
              <w:spacing w:after="40"/>
            </w:pPr>
            <w:r>
              <w:t>dimensione qualitativa, riconosciuta ma non monetizzata</w:t>
            </w:r>
          </w:p>
        </w:tc>
      </w:tr>
    </w:tbl>
    <w:p w14:paraId="4B5888D1" w14:textId="77777777" w:rsidR="007C4598" w:rsidRDefault="007C4598"/>
    <w:p w14:paraId="1E859664" w14:textId="77777777" w:rsidR="007C4598" w:rsidRDefault="00000000">
      <w:pPr>
        <w:jc w:val="both"/>
      </w:pPr>
      <w:r>
        <w:rPr>
          <w:i/>
          <w:iCs/>
        </w:rPr>
        <w:t>Tabella 9.17 — Le due dimensioni del dominio culturale e il loro trattamento. Solo la componente dello stigma come barriera all’accesso è quantificata, nella sua quota monetizzabile residua; l’alfabetizzazione psicologica è riconosciuta nella sua dimensione qualitativa e non concorre all’aggregato monetario, pur contribuendo al valore complessivo della riforma.</w:t>
      </w:r>
    </w:p>
    <w:p w14:paraId="05E7335A" w14:textId="77777777" w:rsidR="007C4598" w:rsidRDefault="007C4598"/>
    <w:p w14:paraId="11A9BFF1" w14:textId="77777777" w:rsidR="007C4598" w:rsidRDefault="00000000">
      <w:pPr>
        <w:jc w:val="both"/>
      </w:pPr>
      <w:r>
        <w:t>La stima della sola componente monetizzabile residua del dominio culturale è esposta, per ciascuno scenario, nella tabella che segue, con la consapevolezza che essa rappresenta una parte soltanto del valore del dominio, la cui dimensione maggiore è qualitativa.</w:t>
      </w:r>
    </w:p>
    <w:p w14:paraId="38353587"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32D7E781"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C533FA0" w14:textId="77777777" w:rsidR="007C4598" w:rsidRDefault="00000000">
            <w:pPr>
              <w:spacing w:after="40"/>
            </w:pPr>
            <w:r>
              <w:rPr>
                <w:b/>
                <w:bCs/>
                <w:color w:val="FFFFFF"/>
                <w:sz w:val="18"/>
                <w:szCs w:val="18"/>
              </w:rPr>
              <w:t>Componente del beneficio culturale (mln €/anno)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0BCD72F" w14:textId="77777777" w:rsidR="007C4598" w:rsidRDefault="00000000">
            <w:pPr>
              <w:spacing w:after="40"/>
            </w:pPr>
            <w:r>
              <w:rPr>
                <w:b/>
                <w:bCs/>
                <w:color w:val="FFFFFF"/>
                <w:sz w:val="18"/>
                <w:szCs w:val="18"/>
              </w:rPr>
              <w:t>Conservativo (~450)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797FBDD" w14:textId="77777777" w:rsidR="007C4598" w:rsidRDefault="00000000">
            <w:pPr>
              <w:spacing w:after="40"/>
            </w:pPr>
            <w:r>
              <w:rPr>
                <w:b/>
                <w:bCs/>
                <w:color w:val="FFFFFF"/>
                <w:sz w:val="18"/>
                <w:szCs w:val="18"/>
              </w:rPr>
              <w:t>Intermedio (~700)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CA64CAA" w14:textId="77777777" w:rsidR="007C4598" w:rsidRDefault="00000000">
            <w:pPr>
              <w:spacing w:after="40"/>
            </w:pPr>
            <w:r>
              <w:rPr>
                <w:b/>
                <w:bCs/>
                <w:color w:val="FFFFFF"/>
                <w:sz w:val="18"/>
                <w:szCs w:val="18"/>
              </w:rPr>
              <w:t>Espansivo (~900)</w:t>
            </w:r>
          </w:p>
        </w:tc>
      </w:tr>
      <w:tr w:rsidR="007C4598" w14:paraId="2B12E7C1"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FD92039" w14:textId="77777777" w:rsidR="007C4598" w:rsidRDefault="00000000">
            <w:pPr>
              <w:spacing w:after="40"/>
            </w:pPr>
            <w:r>
              <w:t>Riduzione del ritardo nell’accesso dovuto allo stigma (residuo monetizzato)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7B5F4CF" w14:textId="77777777" w:rsidR="007C4598" w:rsidRDefault="00000000">
            <w:pPr>
              <w:spacing w:after="40"/>
            </w:pPr>
            <w:r>
              <w:t>~1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A7D9BB0" w14:textId="77777777" w:rsidR="007C4598" w:rsidRDefault="00000000">
            <w:pPr>
              <w:spacing w:after="40"/>
            </w:pPr>
            <w:r>
              <w:t>~2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FCA9DC1" w14:textId="77777777" w:rsidR="007C4598" w:rsidRDefault="00000000">
            <w:pPr>
              <w:spacing w:after="40"/>
            </w:pPr>
            <w:r>
              <w:t>~3</w:t>
            </w:r>
          </w:p>
        </w:tc>
      </w:tr>
      <w:tr w:rsidR="007C4598" w14:paraId="47D13EED"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F51AD82" w14:textId="77777777" w:rsidR="007C4598" w:rsidRDefault="00000000">
            <w:pPr>
              <w:spacing w:after="40"/>
            </w:pPr>
            <w:r>
              <w:t>Alfabetizzazione psicologica e capacità collettiva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B7A1843" w14:textId="77777777" w:rsidR="007C4598" w:rsidRDefault="00000000">
            <w:pPr>
              <w:spacing w:after="40"/>
            </w:pPr>
            <w:r>
              <w:t>qualitativo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601997C" w14:textId="77777777" w:rsidR="007C4598" w:rsidRDefault="00000000">
            <w:pPr>
              <w:spacing w:after="40"/>
            </w:pPr>
            <w:r>
              <w:t>qualitativo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669E70A" w14:textId="77777777" w:rsidR="007C4598" w:rsidRDefault="00000000">
            <w:pPr>
              <w:spacing w:after="40"/>
            </w:pPr>
            <w:r>
              <w:t>qualitativo</w:t>
            </w:r>
          </w:p>
        </w:tc>
      </w:tr>
      <w:tr w:rsidR="007C4598" w14:paraId="5E0FDDF2"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167F133" w14:textId="77777777" w:rsidR="007C4598" w:rsidRDefault="00000000">
            <w:pPr>
              <w:spacing w:after="40"/>
            </w:pPr>
            <w:r>
              <w:t>Beneficio culturale monetizzato del dominio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B9D08F8" w14:textId="77777777" w:rsidR="007C4598" w:rsidRDefault="00000000">
            <w:pPr>
              <w:spacing w:after="40"/>
            </w:pPr>
            <w:r>
              <w:t>~1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26DEAF5" w14:textId="77777777" w:rsidR="007C4598" w:rsidRDefault="00000000">
            <w:pPr>
              <w:spacing w:after="40"/>
            </w:pPr>
            <w:r>
              <w:t>~2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DDBA32E" w14:textId="77777777" w:rsidR="007C4598" w:rsidRDefault="00000000">
            <w:pPr>
              <w:spacing w:after="40"/>
            </w:pPr>
            <w:r>
              <w:t>~3</w:t>
            </w:r>
          </w:p>
        </w:tc>
      </w:tr>
    </w:tbl>
    <w:p w14:paraId="21C27CA2" w14:textId="77777777" w:rsidR="007C4598" w:rsidRDefault="007C4598"/>
    <w:p w14:paraId="3D342606" w14:textId="77777777" w:rsidR="007C4598" w:rsidRDefault="00000000">
      <w:pPr>
        <w:jc w:val="both"/>
      </w:pPr>
      <w:r>
        <w:rPr>
          <w:i/>
          <w:iCs/>
        </w:rPr>
        <w:t>Tabella 9.18 — Stima prudenziale della sola componente monetizzabile residua del dominio culturale per scenario. La componente dell’alfabetizzazione psicologica è qualitativa e non monetizzata; il beneficio monetizzato coincide con la sola riduzione residua del ritardo nell’accesso, ed è distinto dai benefici sanitari e produttivi già colti altrove.</w:t>
      </w:r>
    </w:p>
    <w:p w14:paraId="14A37F7C" w14:textId="77777777" w:rsidR="007C4598" w:rsidRDefault="007C4598"/>
    <w:p w14:paraId="5F5E8093" w14:textId="77777777" w:rsidR="007C4598" w:rsidRDefault="00000000">
      <w:pPr>
        <w:jc w:val="both"/>
      </w:pPr>
      <w:r>
        <w:t>Il beneficio culturale monetizzato è dunque stimato in un ordine di grandezza compreso tra circa un milione di euro l’anno nello scenario conservativo e circa tre milioni nello scenario espansivo, con un valore intermedio dell’ordine di due milioni. La modestia della cifra monetizzata riflette la natura prevalentemente qualitativa del dominio: il valore della riduzione dello stigma e dell’accrescimento dell’alfabetizzazione psicologica è reale e rilevante, ma si manifesta in larga parte come bene immateriale — una popolazione meno gravata dallo stigma e più capace di affrontare il disagio — che non si lascia ridurre a una cifra senza forzarne la natura. La cifra monetizzata coglie soltanto la quota residua della riduzione del ritardo nell’accesso non altrimenti attribuita; la dimensione maggiore del dominio, l’accrescimento della cultura collettiva del disagio, è riconosciuta qualitativamente e contribuisce al valore complessivo della riforma senza alimentare l’aggregato monetario. Questa scelta di non monetizzare ciò che è genuinamente qualitativo è essa stessa una garanzia di rigore, perché evita di attribuire una falsa precisione a un valore immateriale.</w:t>
      </w:r>
    </w:p>
    <w:p w14:paraId="47778103"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120F58C6"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E9D225C" w14:textId="77777777" w:rsidR="007C4598" w:rsidRDefault="00000000">
            <w:pPr>
              <w:spacing w:after="40"/>
            </w:pPr>
            <w:r>
              <w:rPr>
                <w:b/>
                <w:bCs/>
                <w:color w:val="FFFFFF"/>
                <w:sz w:val="18"/>
                <w:szCs w:val="18"/>
              </w:rPr>
              <w:t xml:space="preserve">◆ SEGNAPOSTO INFOGRAFICA — FIG. 9.I · DA INSERIRE A POSTERIORI Titolo previsto: Il dominio culturale: componente monetizzata residua e dimensione qualitativa CODICE CANVA-FRIENDLY (scheda di generazione) Tipo di grafico: diagramma misto che affianca una piccola barra della componente monetizzata residua (riduzione del ritardo dovuto allo stigma) a un’area qualitativa, non quantificata numericamente, che rappresenta l’accrescimento della capacità collettiva, a illustrare la prevalenza della dimensione qualitativa. Lettura: a sinistra, una barra contenuta per scenario (1, 2 e 3 milioni) rappresenta la sola componente monetizzata; a destra, un’area qualitativa, campita in tono uniforme e priva di scala numerica, rappresenta la dimensione dell’alfabetizzazione psicologica, esplicitamente non monetizzata. Palette: componente monetizzata in blu </w:t>
            </w:r>
            <w:proofErr w:type="spellStart"/>
            <w:r>
              <w:rPr>
                <w:b/>
                <w:bCs/>
                <w:color w:val="FFFFFF"/>
                <w:sz w:val="18"/>
                <w:szCs w:val="18"/>
              </w:rPr>
              <w:t>navy</w:t>
            </w:r>
            <w:proofErr w:type="spellEnd"/>
            <w:r>
              <w:rPr>
                <w:b/>
                <w:bCs/>
                <w:color w:val="FFFFFF"/>
                <w:sz w:val="18"/>
                <w:szCs w:val="18"/>
              </w:rPr>
              <w:t xml:space="preserve"> #16264B con etichetta oro #C49A48; area qualitativa in crema #F3EAD6 con bordo blu medio #244272 e dicitura «dimensione qualitativa, non monetizzata».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etichette degli scenari Medium, dicitura sulla dimensione qualitativa Regular corsivo.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Valori da rappresentare: componente monetizzata: Conservativo ~1; Intermedio ~2; Espansivo ~3. Area qualitativa: nessun valore numerico, rappresentazione simbolica dell’accrescimento della capacità collettiva. Variante 3D (consigliata): la barra monetizzata a rilievo; l’area qualitativa resa come campo diffuso e sfumato, privo di confini netti, a evocarne la natura immateriale e non quantificata. Fonte (piè di figura): Elaborazione dello studio; solo la componente dello stigma è monetizzata, nella sua quota residua; graduazione GRADE variabile per la componente monetizzata. La figura deve rendere evidente che il dominio culturale è prevalentemente qualitativo, e che la componente monetizzata, contenuta, coglie soltanto la riduzione residua del ritardo nell’accesso, mentre l’accrescimento della capacità collettiva è riconosciuto ma non ridotto a cifra.</w:t>
            </w:r>
          </w:p>
          <w:p w14:paraId="7D3C0E31" w14:textId="77777777" w:rsidR="007C4598" w:rsidRDefault="00000000">
            <w:pPr>
              <w:spacing w:before="120" w:after="60"/>
              <w:jc w:val="center"/>
            </w:pPr>
            <w:r>
              <w:rPr>
                <w:noProof/>
              </w:rPr>
              <w:drawing>
                <wp:inline distT="0" distB="0" distL="0" distR="0" wp14:anchorId="26A65D09" wp14:editId="574BD6B8">
                  <wp:extent cx="8229600" cy="4629150"/>
                  <wp:effectExtent l="0" t="0" r="0" b="0"/>
                  <wp:docPr id="148" name="Infografica48" descr="Il dominio culturale: componente monetizzata e dimensione qualit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nfografica48"/>
                          <pic:cNvPicPr>
                            <a:picLocks noChangeAspect="1" noChangeArrowheads="1"/>
                          </pic:cNvPicPr>
                        </pic:nvPicPr>
                        <pic:blipFill>
                          <a:blip r:embed="rId85">
                            <a:extLst>
                              <a:ext uri="{96DAC541-7B7A-43D3-8B79-37D633B846F1}">
                                <asvg:svgBlip xmlns:asvg="http://schemas.microsoft.com/office/drawing/2016/SVG/main" r:embed="rId86"/>
                              </a:ext>
                            </a:extLst>
                          </a:blip>
                          <a:stretch>
                            <a:fillRect/>
                          </a:stretch>
                        </pic:blipFill>
                        <pic:spPr bwMode="auto">
                          <a:xfrm>
                            <a:off x="0" y="0"/>
                            <a:ext cx="8229600" cy="4629150"/>
                          </a:xfrm>
                          <a:prstGeom prst="rect">
                            <a:avLst/>
                          </a:prstGeom>
                          <a:noFill/>
                          <a:ln>
                            <a:noFill/>
                          </a:ln>
                        </pic:spPr>
                      </pic:pic>
                    </a:graphicData>
                  </a:graphic>
                </wp:inline>
              </w:drawing>
            </w:r>
          </w:p>
          <w:p w14:paraId="03F967CA" w14:textId="77777777" w:rsidR="007C4598" w:rsidRDefault="00000000">
            <w:pPr>
              <w:spacing w:before="40" w:after="200"/>
              <w:jc w:val="center"/>
            </w:pPr>
            <w:r>
              <w:rPr>
                <w:i/>
                <w:color w:val="2E5A8F"/>
                <w:sz w:val="16"/>
                <w:szCs w:val="16"/>
              </w:rPr>
              <w:t>Fig. 9.I — Il dominio culturale: componente monetizzata e dimensione qualitativa. Elaborazione dello studio · Luigi De Michele · Giugno 2026.</w:t>
            </w:r>
          </w:p>
        </w:tc>
      </w:tr>
    </w:tbl>
    <w:p w14:paraId="71CD53BB" w14:textId="77777777" w:rsidR="007C4598" w:rsidRDefault="007C4598"/>
    <w:p w14:paraId="6D1228CA" w14:textId="77777777" w:rsidR="007C4598" w:rsidRDefault="00000000">
      <w:pPr>
        <w:pStyle w:val="Titolo2"/>
        <w:spacing w:before="200" w:after="100"/>
      </w:pPr>
      <w:r>
        <w:rPr>
          <w:sz w:val="22"/>
          <w:szCs w:val="22"/>
        </w:rPr>
        <w:t>9.9.4  La graduazione, la dimensione qualitativa e i confini del dominio culturale</w:t>
      </w:r>
    </w:p>
    <w:p w14:paraId="6CB3B0F6" w14:textId="77777777" w:rsidR="007C4598" w:rsidRDefault="007C4598"/>
    <w:p w14:paraId="4498B6A4" w14:textId="77777777" w:rsidR="007C4598" w:rsidRDefault="00000000">
      <w:pPr>
        <w:jc w:val="both"/>
      </w:pPr>
      <w:r>
        <w:t xml:space="preserve">La solidità della stima del dominio culturale va dichiarata, distinguendo le sue due dimensioni. La componente monetizzata è sostenuta da evidenza di qualità variabile, ed è quantificata in una quota residua contenuta; la dimensione qualitativa, pur sostenuta da evidenza coerente sull’effetto di </w:t>
      </w:r>
      <w:proofErr w:type="spellStart"/>
      <w:r>
        <w:t>destigmatizzazione</w:t>
      </w:r>
      <w:proofErr w:type="spellEnd"/>
      <w:r>
        <w:t xml:space="preserve"> e alfabetizzazione, non si traduce in una grandezza monetaria. La graduazione della componente monetizzata è variabile, e si traduce in una banda prudenziale; la dimensione qualitativa è riconosciuta nella sua natura immateriale, e la sua esclusione dalla somma ne rispetta l’irriducibilità.</w:t>
      </w:r>
      <w:r>
        <w:rPr>
          <w:color w:val="555555"/>
          <w:sz w:val="16"/>
          <w:szCs w:val="16"/>
          <w:vertAlign w:val="superscript"/>
        </w:rPr>
        <w:t>[28]</w:t>
      </w:r>
      <w:r>
        <w:t xml:space="preserve"> Il dominio culturale esemplifica così il criterio che governa i domini di questa tranche: quantificare con prudenza la sola componente monetizzabile residua, e riconoscere senza monetizzare la dimensione qualitativa, che ne costituisce spesso la parte maggiore.</w:t>
      </w:r>
    </w:p>
    <w:p w14:paraId="31A3935C" w14:textId="77777777" w:rsidR="007C4598" w:rsidRDefault="007C4598"/>
    <w:p w14:paraId="6B590BD5" w14:textId="77777777" w:rsidR="007C4598" w:rsidRDefault="00000000">
      <w:pPr>
        <w:jc w:val="both"/>
      </w:pPr>
      <w:r>
        <w:t xml:space="preserve">Da questa graduazione discendono i confini e le regole di non duplicazione del dominio culturale. In primo luogo, il beneficio culturale monetizzato è una grandezza indiretta residua, non sommata ai risparmi sanitari diretti della parte ottava. In secondo luogo, esso coglie la sola quota della riduzione del ritardo nell’accesso non altrimenti attribuita, distinta dai benefici sanitari e produttivi del minore ritardo già colti dagli altri domini e dal valore prospettico della prevenzione colto dal dominio </w:t>
      </w:r>
      <w:proofErr w:type="spellStart"/>
      <w:r>
        <w:t>prevenzionalistico</w:t>
      </w:r>
      <w:proofErr w:type="spellEnd"/>
      <w:r>
        <w:t>; la quota residua qui quantificata è quella non già contabilizzata.</w:t>
      </w:r>
      <w:r>
        <w:rPr>
          <w:color w:val="555555"/>
          <w:sz w:val="16"/>
          <w:szCs w:val="16"/>
          <w:vertAlign w:val="superscript"/>
        </w:rPr>
        <w:t>[29]</w:t>
      </w:r>
      <w:r>
        <w:t xml:space="preserve"> In terzo luogo, la dimensione qualitativa dell’alfabetizzazione psicologica è esplicitamente esclusa dall’aggregato monetario, e riconosciuta nella sua natura immateriale. La specificità del dominio culturale è dunque quella di recare un valore in larga parte qualitativo, di cui si quantifica con prudenza la sola minima componente monetizzabile residua, nel rispetto tanto della non duplicazione quanto dell’irriducibilità del bene immateriale alla misura monetaria.</w:t>
      </w:r>
    </w:p>
    <w:p w14:paraId="5227DB4C" w14:textId="77777777" w:rsidR="007C4598" w:rsidRDefault="007C4598"/>
    <w:p w14:paraId="5E14C242" w14:textId="77777777" w:rsidR="007C4598" w:rsidRDefault="00000000">
      <w:pPr>
        <w:jc w:val="both"/>
      </w:pPr>
      <w:r>
        <w:t>La verifica documentale del dominio culturale segue un’agenda che ne rispetta la natura. Essa richiede l’acquisizione di dati e indagini sullo stigma e sull’alfabetizzazione psicologica nella popolazione pugliese, e sull’effetto della prossimità e della diffusione del primo livello psicologico sulla riduzione del ritardo nell’accesso; dati prevalentemente desumibili da indagini dedicate sulla cultura del disagio. L’acquisizione di questi dati, prevista nella fase di consolidamento, consentirà di precisare la stima della componente monetizzata residua e di documentare meglio la dimensione qualitativa, che resterà comunque riconosciuta come tale e non monetizzata. Stabilito il valore, in larga parte qualitativo, del dominio culturale, la rinegoziazione può ora muovere verso un dominio di maggiore consistenza monetizzabile, il pedagogico e scolastico, che riguarda i giovani e il loro capitale umano in formazione.</w:t>
      </w:r>
    </w:p>
    <w:p w14:paraId="5D6D3B09" w14:textId="77777777" w:rsidR="007C4598" w:rsidRDefault="007C4598"/>
    <w:p w14:paraId="427EB909" w14:textId="77777777" w:rsidR="007C4598" w:rsidRDefault="00000000">
      <w:pPr>
        <w:pStyle w:val="Titolo1"/>
        <w:pageBreakBefore/>
      </w:pPr>
      <w:r>
        <w:rPr>
          <w:sz w:val="22"/>
          <w:szCs w:val="22"/>
        </w:rPr>
        <w:t>9.10  Il dominio pedagogico e scolastico</w:t>
      </w:r>
    </w:p>
    <w:p w14:paraId="128D7646" w14:textId="77777777" w:rsidR="007C4598" w:rsidRDefault="007C4598"/>
    <w:p w14:paraId="57FF1366" w14:textId="77777777" w:rsidR="007C4598" w:rsidRDefault="00000000">
      <w:pPr>
        <w:jc w:val="both"/>
      </w:pPr>
      <w:r>
        <w:rPr>
          <w:i/>
          <w:iCs/>
        </w:rPr>
        <w:t>Il decimo dominio del perimetro integrale è il pedagogico e scolastico, e tra i domini a prevalente natura formativa è quello di maggiore consistenza monetizzabile, perché riguarda il capitale umano dei giovani nella fase della sua formazione. Esso misura il valore che l’intercettazione precoce del disagio in età evolutiva e l’azione del primo livello psicologico in raccordo con la scuola generano attraverso la riduzione della dispersione scolastica e il miglioramento del benessere e del rendimento degli studenti. Il disagio psichico in età evolutiva, se non intercettato, compromette il percorso formativo, conduce all’abbandono scolastico e pregiudica la formazione del capitale umano dei giovani, con conseguenze che si protraggono per l’intera vita; la sua intercettazione precoce, viceversa, preserva il percorso formativo e il capitale umano in formazione. La voce ricostruisce il contesto del disagio in età evolutiva e della dispersione, ne isola i meccanismi, ne traccia la catena causale, ne stima il beneficio per scenario e ne dichiara la graduazione, i confini e la distinzione, in particolare dal dominio produttivistico per la diversa popolazione considerata.</w:t>
      </w:r>
    </w:p>
    <w:p w14:paraId="6F982431" w14:textId="77777777" w:rsidR="007C4598" w:rsidRDefault="007C4598"/>
    <w:p w14:paraId="3AB15A78" w14:textId="77777777" w:rsidR="007C4598" w:rsidRDefault="00000000">
      <w:pPr>
        <w:pStyle w:val="Titolo2"/>
        <w:spacing w:before="200" w:after="100"/>
      </w:pPr>
      <w:r>
        <w:rPr>
          <w:sz w:val="22"/>
          <w:szCs w:val="22"/>
        </w:rPr>
        <w:t>9.10.1  Il contesto: il disagio in età evolutiva e la dispersione scolastica</w:t>
      </w:r>
    </w:p>
    <w:p w14:paraId="40E8925F" w14:textId="77777777" w:rsidR="007C4598" w:rsidRDefault="007C4598"/>
    <w:p w14:paraId="35442C1E" w14:textId="77777777" w:rsidR="007C4598" w:rsidRDefault="00000000">
      <w:pPr>
        <w:jc w:val="both"/>
      </w:pPr>
      <w:r>
        <w:t>Il disagio psichico insorge, in una quota rilevante dei casi, in età evolutiva, e la fase giovanile è quella in cui molti disturbi comuni si manifestano per la prima volta. Il disagio in età evolutiva presenta una specificità che ne accresce l’importanza: esso incide su un capitale umano in formazione, e le sue conseguenze, se il disturbo non è intercettato, non si limitano al momento presente, ma compromettono il percorso formativo e si protraggono per l’intera vita, pregiudicando le opportunità future del giovane. Tra le conseguenze del disagio in età evolutiva non intercettato, la dispersione scolastica è la più grave sul piano del capitale umano: il giovane che, gravato da un disagio non riconosciuto, abbandona il percorso formativo, subisce una perdita di capitale umano che ne condizionerà le opportunità lavorative, il reddito e la condizione sociale per l’intera vita, con un costo per sé e per la collettività di entità considerevole. In Puglia, regione segnata da una dispersione scolastica elevata, intrecciata con il disagio sociale ed economico, il disagio in età evolutiva non intercettato concorre alla perdita di capitale umano dei giovani.</w:t>
      </w:r>
    </w:p>
    <w:p w14:paraId="135D3A11" w14:textId="77777777" w:rsidR="007C4598" w:rsidRDefault="007C4598"/>
    <w:p w14:paraId="7A89565E" w14:textId="77777777" w:rsidR="007C4598" w:rsidRDefault="00000000">
      <w:pPr>
        <w:jc w:val="both"/>
      </w:pPr>
      <w:r>
        <w:t>La dispersione scolastica connessa al disagio si manifesta in due forme principali. La prima è l’abbandono vero e proprio del percorso formativo, ossia l’uscita anticipata dalla scuola del giovane il cui disagio non intercettato ha compromesso la capacità di proseguire gli studi; è la forma di maggiore peso sul piano del capitale umano, perché sottrae al giovane la formazione e ne pregiudica le opportunità future. La seconda è la compromissione del benessere e del rendimento scolastico, ossia la riduzione della capacità di apprendimento e di partecipazione del giovane che, pur non abbandonando la scuola, ne segue il percorso con difficoltà a causa del disagio non trattato; è una forma di peso intermedio, che incide sulla qualità della formazione e sulle opportunità future, ancorché non sull’abbandono. È la somma di queste due forme — l’abbandono e la compromissione del rendimento — che costituisce la grandezza di ancoraggio del dominio pedagogico e scolastico, nella quota riconducibile al disagio intercettabile.</w:t>
      </w:r>
    </w:p>
    <w:p w14:paraId="01C35D32" w14:textId="77777777" w:rsidR="007C4598" w:rsidRDefault="007C4598"/>
    <w:p w14:paraId="3EDB032F" w14:textId="77777777" w:rsidR="007C4598" w:rsidRDefault="00000000">
      <w:pPr>
        <w:jc w:val="both"/>
      </w:pPr>
      <w:r>
        <w:t>La connessione tra questo carico e il primo livello psicologico opera attraverso l’intercettazione precoce del disagio in età evolutiva e il raccordo con la scuola e con lo psicologo scolastico. L’intercettazione del disagio del giovane, sia attraverso le cure primarie sia attraverso il raccordo con l’ambiente scolastico, previene la compromissione del percorso formativo che il disagio non trattato determina, e preserva il capitale umano in formazione; il giovane intercettato e preso in carico conserva la capacità di proseguire e di apprendere, mentre il giovane non intercettato segue la traiettoria che conduce all’abbandono o alla compromissione del rendimento. Lo Psicologo di Base, in raccordo con la scuola, agisce dunque a monte della dispersione, e il valore che ne deriva — il capitale umano dei giovani preservato e il rendimento conservato — è il beneficio che il dominio pedagogico e scolastico misura. Tale beneficio si distribuisce sui giovani, che conservano le proprie opportunità future, e sulla collettività, che conserva il capitale umano della propria popolazione giovanile.</w:t>
      </w:r>
    </w:p>
    <w:p w14:paraId="7315E882" w14:textId="77777777" w:rsidR="007C4598" w:rsidRDefault="007C4598"/>
    <w:p w14:paraId="2A85AA2E" w14:textId="77777777" w:rsidR="007C4598" w:rsidRDefault="00000000">
      <w:pPr>
        <w:pStyle w:val="Titolo2"/>
        <w:spacing w:before="200" w:after="100"/>
      </w:pPr>
      <w:r>
        <w:rPr>
          <w:sz w:val="22"/>
          <w:szCs w:val="22"/>
        </w:rPr>
        <w:t>9.10.2  I meccanismi: riduzione della dispersione e miglioramento del rendimento</w:t>
      </w:r>
    </w:p>
    <w:p w14:paraId="64DE7037" w14:textId="77777777" w:rsidR="007C4598" w:rsidRDefault="007C4598"/>
    <w:p w14:paraId="4483CF16" w14:textId="77777777" w:rsidR="007C4598" w:rsidRDefault="00000000">
      <w:pPr>
        <w:jc w:val="both"/>
      </w:pPr>
      <w:r>
        <w:t>Il dominio pedagogico e scolastico opera attraverso due meccanismi, corrispondenti alle due forme del carico. Il primo meccanismo è la riduzione della dispersione scolastica. L’intercettazione precoce del disagio in età evolutiva, prevenendo la compromissione della capacità di proseguire gli studi, riduce l’abbandono del percorso formativo; il valore che ne deriva è quello del capitale umano dei giovani preservato, ossia delle maggiori opportunità lavorative, del maggiore reddito atteso e della migliore condizione sociale che la conservazione della formazione assicura per l’intera vita. È, dei due meccanismi, quello di maggiore peso, perché la perdita di capitale umano conseguente all’abbandono è la più grave e la più duratura.</w:t>
      </w:r>
    </w:p>
    <w:p w14:paraId="0FAC686B" w14:textId="77777777" w:rsidR="007C4598" w:rsidRDefault="007C4598"/>
    <w:p w14:paraId="642E9A26" w14:textId="77777777" w:rsidR="007C4598" w:rsidRDefault="00000000">
      <w:pPr>
        <w:jc w:val="both"/>
      </w:pPr>
      <w:r>
        <w:t>Il secondo meccanismo è il miglioramento del benessere e del rendimento scolastico. L’intercettazione del disagio del giovane che prosegue gli studi, ripristinandone la capacità di apprendimento e di partecipazione, migliora il benessere e il rendimento scolastico, e accresce la qualità della formazione e le opportunità future; il valore che ne deriva è in parte monetizzabile, attraverso il migliore esito formativo, e in parte qualitativo, attraverso il benessere del giovane. I due meccanismi convergono verso la preservazione del capitale umano dei giovani in formazione, e ne colgono componenti distinte — la dispersione evitata e il rendimento migliorato — riferite alla popolazione giovanile in formazione, distinta dalla popolazione adulta dei domini lavorativo e produttivistico.</w:t>
      </w:r>
    </w:p>
    <w:p w14:paraId="6ADC965E" w14:textId="77777777" w:rsidR="007C4598" w:rsidRDefault="007C4598"/>
    <w:p w14:paraId="2B8189F0" w14:textId="77777777" w:rsidR="007C4598" w:rsidRDefault="00000000">
      <w:pPr>
        <w:pStyle w:val="Titolo2"/>
        <w:spacing w:before="200" w:after="100"/>
      </w:pPr>
      <w:r>
        <w:rPr>
          <w:sz w:val="22"/>
          <w:szCs w:val="22"/>
        </w:rPr>
        <w:t>9.10.3  La catena causale e la quantificazione del dominio pedagogico e scolastico</w:t>
      </w:r>
    </w:p>
    <w:p w14:paraId="23958458" w14:textId="77777777" w:rsidR="007C4598" w:rsidRDefault="007C4598"/>
    <w:p w14:paraId="3A02FABD" w14:textId="77777777" w:rsidR="007C4598" w:rsidRDefault="00000000">
      <w:pPr>
        <w:jc w:val="both"/>
      </w:pPr>
      <w:r>
        <w:t>La formazione del beneficio pedagogico e scolastico segue una catena causale a più anelli. Il primo anello è clinico-evolutivo: l’intercettazione precoce del disagio in età evolutiva migliora gli esiti e preserva la capacità formativa del giovane. Questo anello è sostenuto da evidenza coerente sull’efficacia dell’intercettazione del disagio giovanile, ancorché di qualità variabile. Il secondo anello è formativo: la preservazione della capacità formativa riduce la dispersione e migliora il rendimento. Questo anello è sostenuto da evidenza coerente sulla relazione tra disagio non trattato e dispersione, mediata dal contesto socio-economico. Il terzo anello è economico: la dispersione evitata e il rendimento migliorato preservano il capitale umano dei giovani, valutato secondo l’approccio del capitale umano, con la specificità che il valore si proietta sull’intera vita futura del giovane e va attualizzato.</w:t>
      </w:r>
    </w:p>
    <w:p w14:paraId="1F59E52D" w14:textId="77777777" w:rsidR="007C4598" w:rsidRDefault="007C4598"/>
    <w:p w14:paraId="56B9B1E2" w14:textId="77777777" w:rsidR="007C4598" w:rsidRDefault="00000000">
      <w:pPr>
        <w:jc w:val="both"/>
      </w:pPr>
      <w:r>
        <w:t>La quantificazione del dominio pedagogico e scolastico procede secondo il metodo in cinque passaggi, applicato alle due forme del carico, con l’adozione dell’approccio del capitale umano e l’attualizzazione del valore proiettato sulla vita futura. La tabella che segue ricostruisce le due forme e i margini su cui il dominio opera.</w:t>
      </w:r>
    </w:p>
    <w:p w14:paraId="2CEA1055"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117F2E8B"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A814F91" w14:textId="77777777" w:rsidR="007C4598" w:rsidRDefault="00000000">
            <w:pPr>
              <w:spacing w:after="40"/>
            </w:pPr>
            <w:r>
              <w:rPr>
                <w:b/>
                <w:bCs/>
                <w:color w:val="FFFFFF"/>
                <w:sz w:val="18"/>
                <w:szCs w:val="18"/>
              </w:rPr>
              <w:t>Forma del carico scolastico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DD63A7A" w14:textId="77777777" w:rsidR="007C4598" w:rsidRDefault="00000000">
            <w:pPr>
              <w:spacing w:after="40"/>
            </w:pPr>
            <w:r>
              <w:rPr>
                <w:b/>
                <w:bCs/>
                <w:color w:val="FFFFFF"/>
                <w:sz w:val="18"/>
                <w:szCs w:val="18"/>
              </w:rPr>
              <w:t>Grandezza di ancoraggio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E8E3B20" w14:textId="77777777" w:rsidR="007C4598" w:rsidRDefault="00000000">
            <w:pPr>
              <w:spacing w:after="40"/>
            </w:pPr>
            <w:r>
              <w:rPr>
                <w:b/>
                <w:bCs/>
                <w:color w:val="FFFFFF"/>
                <w:sz w:val="18"/>
                <w:szCs w:val="18"/>
              </w:rPr>
              <w:t>Componente comprimibile dal primo livello psicologico</w:t>
            </w:r>
          </w:p>
        </w:tc>
      </w:tr>
      <w:tr w:rsidR="007C4598" w14:paraId="7F54A942"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7293DE5" w14:textId="77777777" w:rsidR="007C4598" w:rsidRDefault="00000000">
            <w:pPr>
              <w:spacing w:after="40"/>
            </w:pPr>
            <w:r>
              <w:t>Dispersione scolastica (abbandono)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4386B42" w14:textId="77777777" w:rsidR="007C4598" w:rsidRDefault="00000000">
            <w:pPr>
              <w:spacing w:after="40"/>
            </w:pPr>
            <w:r>
              <w:t>costo del minor capitale umano dei giovani che abbandonano il percorso formativo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377A07C" w14:textId="77777777" w:rsidR="007C4598" w:rsidRDefault="00000000">
            <w:pPr>
              <w:spacing w:after="40"/>
            </w:pPr>
            <w:r>
              <w:t>la quota di dispersione riducibile dall’intercettazione del disagio in età evolutiva</w:t>
            </w:r>
          </w:p>
        </w:tc>
      </w:tr>
      <w:tr w:rsidR="007C4598" w14:paraId="4CE54CC7"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DEE3E9D" w14:textId="77777777" w:rsidR="007C4598" w:rsidRDefault="00000000">
            <w:pPr>
              <w:spacing w:after="40"/>
            </w:pPr>
            <w:r>
              <w:t>Benessere e rendimento degli studenti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7E4ED9E" w14:textId="77777777" w:rsidR="007C4598" w:rsidRDefault="00000000">
            <w:pPr>
              <w:spacing w:after="40"/>
            </w:pPr>
            <w:r>
              <w:t>minor rendimento e benessere del giovane che prosegue con difficoltà</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47CA57B" w14:textId="77777777" w:rsidR="007C4598" w:rsidRDefault="00000000">
            <w:pPr>
              <w:spacing w:after="40"/>
            </w:pPr>
            <w:r>
              <w:t>la quota di miglioramento parzialmente monetizzabile, riferita alla popolazione giovanile</w:t>
            </w:r>
          </w:p>
        </w:tc>
      </w:tr>
    </w:tbl>
    <w:p w14:paraId="13BF5A1E" w14:textId="77777777" w:rsidR="007C4598" w:rsidRDefault="007C4598"/>
    <w:p w14:paraId="2EF0F2FD" w14:textId="77777777" w:rsidR="007C4598" w:rsidRDefault="00000000">
      <w:pPr>
        <w:jc w:val="both"/>
      </w:pPr>
      <w:r>
        <w:rPr>
          <w:i/>
          <w:iCs/>
        </w:rPr>
        <w:t>Tabella 9.19 — Le forme del carico scolastico connesso al disagio in età evolutiva e i margini di compressione. Le grandezze sono ricostruite sulle fonti disponibili e saranno sostituite dai dati certificati regionali sulla dispersione non appena acquisiti; le componenti riguardano la popolazione giovanile in formazione, distinta dalla popolazione adulta dei domini produttivi.</w:t>
      </w:r>
    </w:p>
    <w:p w14:paraId="6CA68F53" w14:textId="77777777" w:rsidR="007C4598" w:rsidRDefault="007C4598"/>
    <w:p w14:paraId="4CD564ED" w14:textId="77777777" w:rsidR="007C4598" w:rsidRDefault="00000000">
      <w:pPr>
        <w:jc w:val="both"/>
      </w:pPr>
      <w:r>
        <w:t>Sulla base di questo quadro, la stima del beneficio pedagogico e scolastico è articolata nelle due componenti e per ciascuno scenario. La componente della riduzione della dispersione costituisce la quota maggiore, per la gravità e la durata della perdita di capitale umano conseguente all’abbandono; la componente del miglioramento del rendimento costituisce la quota intermedia. La tabella che segue espone la stima per componente e per scenario.</w:t>
      </w:r>
    </w:p>
    <w:p w14:paraId="318DC904"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485E6F60"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7656E07" w14:textId="77777777" w:rsidR="007C4598" w:rsidRDefault="00000000">
            <w:pPr>
              <w:spacing w:after="40"/>
            </w:pPr>
            <w:r>
              <w:rPr>
                <w:b/>
                <w:bCs/>
                <w:color w:val="FFFFFF"/>
                <w:sz w:val="18"/>
                <w:szCs w:val="18"/>
              </w:rPr>
              <w:t>Componente del beneficio pedagogico-scolastico (mln €/anno)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93AD8A2" w14:textId="77777777" w:rsidR="007C4598" w:rsidRDefault="00000000">
            <w:pPr>
              <w:spacing w:after="40"/>
            </w:pPr>
            <w:r>
              <w:rPr>
                <w:b/>
                <w:bCs/>
                <w:color w:val="FFFFFF"/>
                <w:sz w:val="18"/>
                <w:szCs w:val="18"/>
              </w:rPr>
              <w:t>Conservativo (~450)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195B3BD" w14:textId="77777777" w:rsidR="007C4598" w:rsidRDefault="00000000">
            <w:pPr>
              <w:spacing w:after="40"/>
            </w:pPr>
            <w:r>
              <w:rPr>
                <w:b/>
                <w:bCs/>
                <w:color w:val="FFFFFF"/>
                <w:sz w:val="18"/>
                <w:szCs w:val="18"/>
              </w:rPr>
              <w:t>Intermedio (~700)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71D4149" w14:textId="77777777" w:rsidR="007C4598" w:rsidRDefault="00000000">
            <w:pPr>
              <w:spacing w:after="40"/>
            </w:pPr>
            <w:r>
              <w:rPr>
                <w:b/>
                <w:bCs/>
                <w:color w:val="FFFFFF"/>
                <w:sz w:val="18"/>
                <w:szCs w:val="18"/>
              </w:rPr>
              <w:t>Espansivo (~900)</w:t>
            </w:r>
          </w:p>
        </w:tc>
      </w:tr>
      <w:tr w:rsidR="007C4598" w14:paraId="0FEF2C2B"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9E39841" w14:textId="77777777" w:rsidR="007C4598" w:rsidRDefault="00000000">
            <w:pPr>
              <w:spacing w:after="40"/>
            </w:pPr>
            <w:r>
              <w:t>Riduzione della dispersione scolastica (capitale umano dei giovani)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B54E268" w14:textId="77777777" w:rsidR="007C4598" w:rsidRDefault="00000000">
            <w:pPr>
              <w:spacing w:after="40"/>
            </w:pPr>
            <w:r>
              <w:t>~3</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27EA617" w14:textId="77777777" w:rsidR="007C4598" w:rsidRDefault="00000000">
            <w:pPr>
              <w:spacing w:after="40"/>
            </w:pPr>
            <w:r>
              <w:t>~4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FB6B94B" w14:textId="77777777" w:rsidR="007C4598" w:rsidRDefault="00000000">
            <w:pPr>
              <w:spacing w:after="40"/>
            </w:pPr>
            <w:r>
              <w:t>~6</w:t>
            </w:r>
          </w:p>
        </w:tc>
      </w:tr>
      <w:tr w:rsidR="007C4598" w14:paraId="2C8E373B"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57E30C1" w14:textId="77777777" w:rsidR="007C4598" w:rsidRDefault="00000000">
            <w:pPr>
              <w:spacing w:after="40"/>
            </w:pPr>
            <w:r>
              <w:t>Miglioramento del benessere e del rendimento degli studenti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52152BA" w14:textId="77777777" w:rsidR="007C4598" w:rsidRDefault="00000000">
            <w:pPr>
              <w:spacing w:after="40"/>
            </w:pPr>
            <w:r>
              <w:t>~1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A6F71A6" w14:textId="77777777" w:rsidR="007C4598" w:rsidRDefault="00000000">
            <w:pPr>
              <w:spacing w:after="40"/>
            </w:pPr>
            <w:r>
              <w:t>~1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067E379" w14:textId="77777777" w:rsidR="007C4598" w:rsidRDefault="00000000">
            <w:pPr>
              <w:spacing w:after="40"/>
            </w:pPr>
            <w:r>
              <w:t>~2</w:t>
            </w:r>
          </w:p>
        </w:tc>
      </w:tr>
      <w:tr w:rsidR="007C4598" w14:paraId="2FDC6C2D"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6E99498" w14:textId="77777777" w:rsidR="007C4598" w:rsidRDefault="00000000">
            <w:pPr>
              <w:spacing w:after="40"/>
            </w:pPr>
            <w:r>
              <w:t>Beneficio pedagogico-scolastico indiretto del dominio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9F6825B" w14:textId="77777777" w:rsidR="007C4598" w:rsidRDefault="00000000">
            <w:pPr>
              <w:spacing w:after="40"/>
            </w:pPr>
            <w:r>
              <w:t>~4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0F3AF8D" w14:textId="77777777" w:rsidR="007C4598" w:rsidRDefault="00000000">
            <w:pPr>
              <w:spacing w:after="40"/>
            </w:pPr>
            <w:r>
              <w:t>~5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FA2B3E6" w14:textId="77777777" w:rsidR="007C4598" w:rsidRDefault="00000000">
            <w:pPr>
              <w:spacing w:after="40"/>
            </w:pPr>
            <w:r>
              <w:t>~8</w:t>
            </w:r>
          </w:p>
        </w:tc>
      </w:tr>
    </w:tbl>
    <w:p w14:paraId="362ECA39" w14:textId="77777777" w:rsidR="007C4598" w:rsidRDefault="007C4598"/>
    <w:p w14:paraId="3C10B84F" w14:textId="77777777" w:rsidR="007C4598" w:rsidRDefault="00000000">
      <w:pPr>
        <w:jc w:val="both"/>
      </w:pPr>
      <w:r>
        <w:rPr>
          <w:i/>
          <w:iCs/>
        </w:rPr>
        <w:t>Tabella 9.20 — Stima prudenziale del beneficio del dominio pedagogico e scolastico per scenario, secondo l’approccio del capitale umano e attualizzata. Le cifre sono bande prudenziali arrotondate; l’ultima riga è la somma delle due componenti. Il valore riguarda il capitale umano dei giovani in formazione, popolazione distinta da quella adulta dei domini lavorativo e produttivistico.</w:t>
      </w:r>
    </w:p>
    <w:p w14:paraId="687B931A" w14:textId="77777777" w:rsidR="007C4598" w:rsidRDefault="007C4598"/>
    <w:p w14:paraId="67C73591" w14:textId="77777777" w:rsidR="007C4598" w:rsidRDefault="00000000">
      <w:pPr>
        <w:jc w:val="both"/>
      </w:pPr>
      <w:r>
        <w:t>Il beneficio pedagogico e scolastico indiretto è dunque stimato in un ordine di grandezza compreso tra circa quattro milioni di euro l’anno nello scenario conservativo e circa otto milioni nello scenario espansivo, con un valore intermedio dell’ordine di cinque milioni. La cifra riflette il valore considerevole del capitale umano dei giovani che l’intercettazione precoce del disagio in età evolutiva preserva: la dispersione scolastica evitata, in particolare, conserva un capitale umano il cui valore si proietta sull’intera vita lavorativa del giovane, e costituisce uno dei benefici più duraturi della riforma, ancorché di manifestazione differita. La preminenza della componente della dispersione riflette la gravità della perdita di capitale umano conseguente all’abbandono, la più severa e la più protratta tra le conseguenze del disagio in età evolutiva non intercettato. Il dominio pedagogico e scolastico riveste, in questa luce, un’importanza che eccede la sua consistenza monetaria immediata, perché incide sulle opportunità future di una generazione, e perché il capitale umano dei giovani preservato è la forma di valore che più durevolmente si accumula nel tempo.</w:t>
      </w:r>
    </w:p>
    <w:p w14:paraId="605EF5CF"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70F3537F"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608E2E3" w14:textId="77777777" w:rsidR="007C4598" w:rsidRDefault="00000000">
            <w:pPr>
              <w:spacing w:after="40"/>
            </w:pPr>
            <w:r>
              <w:rPr>
                <w:b/>
                <w:bCs/>
                <w:color w:val="FFFFFF"/>
                <w:sz w:val="18"/>
                <w:szCs w:val="18"/>
              </w:rPr>
              <w:t xml:space="preserve">◆ SEGNAPOSTO INFOGRAFICA — FIG. 9.J · DA INSERIRE A POSTERIORI Titolo previsto: Il dominio pedagogico e scolastico: capitale umano dei giovani preservato — Puglia CODICE CANVA-FRIENDLY (scheda di generazione) Tipo di grafico: diagramma a barre orizzontali raggruppate per i tre scenari, ciascuna scomposta nelle due componenti (riduzione della dispersione; miglioramento del rendimento), con annotazione che la popolazione è quella giovanile in formazione, distinta dalla popolazione adulta dei domini produttivi. Lettura: tre gruppi di barre (Conservativo, Intermedio, Espansivo) la cui lunghezza complessiva corrisponde al beneficio totale del dominio (4, 5 e 8 milioni); la scomposizione mostra il peso prevalente della riduzione della dispersione, di valore proiettato sulla vita futura del giovane. Palette: componente riduzione della dispersione in blu </w:t>
            </w:r>
            <w:proofErr w:type="spellStart"/>
            <w:r>
              <w:rPr>
                <w:b/>
                <w:bCs/>
                <w:color w:val="FFFFFF"/>
                <w:sz w:val="18"/>
                <w:szCs w:val="18"/>
              </w:rPr>
              <w:t>navy</w:t>
            </w:r>
            <w:proofErr w:type="spellEnd"/>
            <w:r>
              <w:rPr>
                <w:b/>
                <w:bCs/>
                <w:color w:val="FFFFFF"/>
                <w:sz w:val="18"/>
                <w:szCs w:val="18"/>
              </w:rPr>
              <w:t xml:space="preserve"> #16264B; componente miglioramento del rendimento in blu medio #244272; etichetta del totale di dominio in oro #C49A48; griglia in grigio #D8D8D8.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etichette degli scenari </w:t>
            </w:r>
            <w:proofErr w:type="spellStart"/>
            <w:r>
              <w:rPr>
                <w:b/>
                <w:bCs/>
                <w:color w:val="FFFFFF"/>
                <w:sz w:val="18"/>
                <w:szCs w:val="18"/>
              </w:rPr>
              <w:t>Bold</w:t>
            </w:r>
            <w:proofErr w:type="spellEnd"/>
            <w:r>
              <w:rPr>
                <w:b/>
                <w:bCs/>
                <w:color w:val="FFFFFF"/>
                <w:sz w:val="18"/>
                <w:szCs w:val="18"/>
              </w:rPr>
              <w:t xml:space="preserve">, valori Medium, annotazione sulla popolazione giovanile Regular corsivo.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Valori da rappresentare: Conservativo — dispersione ~3; rendimento ~1; totale ~4. Intermedio — ~4; ~1; totale ~5. Espansivo — ~6; ~2; totale ~8. Variante 3D (consigliata): barre a rilievo isometrico con le due componenti impilate; annotazione grafica che proietta il valore della dispersione evitata lungo una linea temporale futura, a evocarne la natura differita e duratura. Fonte (piè di figura): Elaborazione dello studio; approccio del capitale umano attualizzato; popolazione giovanile distinta da quella adulta; graduazione GRADE variabile. La figura deve rendere evidente che il dominio pedagogico e scolastico preserva il capitale umano dei giovani in formazione, popolazione distinta da quella adulta, e che la componente prevalente, la dispersione evitata, ha valore proiettato sull’intera vita futura del giovane.</w:t>
            </w:r>
          </w:p>
          <w:p w14:paraId="0DF4EC65" w14:textId="77777777" w:rsidR="007C4598" w:rsidRDefault="00000000">
            <w:pPr>
              <w:spacing w:before="120" w:after="60"/>
              <w:jc w:val="center"/>
            </w:pPr>
            <w:r>
              <w:rPr>
                <w:noProof/>
              </w:rPr>
              <w:drawing>
                <wp:inline distT="0" distB="0" distL="0" distR="0" wp14:anchorId="13793061" wp14:editId="2B41C36B">
                  <wp:extent cx="8229600" cy="4629150"/>
                  <wp:effectExtent l="0" t="0" r="0" b="0"/>
                  <wp:docPr id="149" name="Infografica49" descr="Il dominio pedagogico e scolastico: capitale umano giov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Infografica49"/>
                          <pic:cNvPicPr>
                            <a:picLocks noChangeAspect="1" noChangeArrowheads="1"/>
                          </pic:cNvPicPr>
                        </pic:nvPicPr>
                        <pic:blipFill>
                          <a:blip r:embed="rId87">
                            <a:extLst>
                              <a:ext uri="{96DAC541-7B7A-43D3-8B79-37D633B846F1}">
                                <asvg:svgBlip xmlns:asvg="http://schemas.microsoft.com/office/drawing/2016/SVG/main" r:embed="rId88"/>
                              </a:ext>
                            </a:extLst>
                          </a:blip>
                          <a:stretch>
                            <a:fillRect/>
                          </a:stretch>
                        </pic:blipFill>
                        <pic:spPr bwMode="auto">
                          <a:xfrm>
                            <a:off x="0" y="0"/>
                            <a:ext cx="8229600" cy="4629150"/>
                          </a:xfrm>
                          <a:prstGeom prst="rect">
                            <a:avLst/>
                          </a:prstGeom>
                          <a:noFill/>
                          <a:ln>
                            <a:noFill/>
                          </a:ln>
                        </pic:spPr>
                      </pic:pic>
                    </a:graphicData>
                  </a:graphic>
                </wp:inline>
              </w:drawing>
            </w:r>
          </w:p>
          <w:p w14:paraId="081D8E93" w14:textId="77777777" w:rsidR="007C4598" w:rsidRDefault="00000000">
            <w:pPr>
              <w:spacing w:before="40" w:after="200"/>
              <w:jc w:val="center"/>
            </w:pPr>
            <w:r>
              <w:rPr>
                <w:i/>
                <w:color w:val="2E5A8F"/>
                <w:sz w:val="16"/>
                <w:szCs w:val="16"/>
              </w:rPr>
              <w:t>Fig. 9.J — Il dominio pedagogico e scolastico: capitale umano giovani. Elaborazione dello studio · Luigi De Michele · Giugno 2026.</w:t>
            </w:r>
          </w:p>
        </w:tc>
      </w:tr>
    </w:tbl>
    <w:p w14:paraId="41D734E2" w14:textId="77777777" w:rsidR="007C4598" w:rsidRDefault="007C4598"/>
    <w:p w14:paraId="7814A4C7" w14:textId="77777777" w:rsidR="007C4598" w:rsidRDefault="00000000">
      <w:pPr>
        <w:pStyle w:val="Titolo2"/>
        <w:spacing w:before="200" w:after="100"/>
      </w:pPr>
      <w:r>
        <w:rPr>
          <w:sz w:val="22"/>
          <w:szCs w:val="22"/>
        </w:rPr>
        <w:t>9.10.4  La graduazione, i confini e la distinzione del dominio pedagogico e scolastico</w:t>
      </w:r>
    </w:p>
    <w:p w14:paraId="4B026EF6" w14:textId="77777777" w:rsidR="007C4598" w:rsidRDefault="007C4598"/>
    <w:p w14:paraId="3767B932" w14:textId="77777777" w:rsidR="007C4598" w:rsidRDefault="00000000">
      <w:pPr>
        <w:jc w:val="both"/>
      </w:pPr>
      <w:r>
        <w:t>La solidità della stima del dominio pedagogico e scolastico va dichiarata. L’anello clinico-evolutivo è sostenuto da evidenza coerente di qualità variabile; l’anello formativo, da evidenza coerente sulla relazione tra disagio e dispersione, mediata dal contesto socio-economico; l’anello economico è soggetto alla proiezione del valore sulla vita futura e alla necessità di attualizzazione. La graduazione complessiva del dominio è intermedia, e si traduce in bande prudenziali la cui ampiezza riflette la mediazione del contesto e la natura differita del valore.</w:t>
      </w:r>
      <w:r>
        <w:rPr>
          <w:color w:val="555555"/>
          <w:sz w:val="16"/>
          <w:szCs w:val="16"/>
          <w:vertAlign w:val="superscript"/>
        </w:rPr>
        <w:t>[30]</w:t>
      </w:r>
      <w:r>
        <w:t xml:space="preserve"> La stima centrale va letta come punto mediano di un intervallo, e la sua natura differita ne fa un beneficio di manifestazione protratta nel tempo.</w:t>
      </w:r>
    </w:p>
    <w:p w14:paraId="2138873C" w14:textId="77777777" w:rsidR="007C4598" w:rsidRDefault="007C4598"/>
    <w:p w14:paraId="10A8DAFF" w14:textId="77777777" w:rsidR="007C4598" w:rsidRDefault="00000000">
      <w:pPr>
        <w:jc w:val="both"/>
      </w:pPr>
      <w:r>
        <w:t>Da questa graduazione discendono i confini e le regole di non duplicazione del dominio pedagogico e scolastico. In primo luogo, il beneficio è una grandezza indiretta, non sommata ai risparmi sanitari diretti della parte ottava. In secondo luogo, e in modo caratteristico, esso riguarda la popolazione giovanile in formazione, distinta dalla popolazione adulta dei domini lavorativo e produttivistico: il capitale umano dei giovani preservato non si sovrappone alla produttività degli adulti occupati né al capitale umano di lungo periodo degli adulti, perché si tratta di popolazioni diverse e di una fase diversa del ciclo di vita; la distinzione tra la fase formativa giovanile e la fase produttiva adulta separa nettamente il dominio pedagogico-scolastico dai domini produttivi.</w:t>
      </w:r>
      <w:r>
        <w:rPr>
          <w:color w:val="555555"/>
          <w:sz w:val="16"/>
          <w:szCs w:val="16"/>
          <w:vertAlign w:val="superscript"/>
        </w:rPr>
        <w:t>[31]</w:t>
      </w:r>
      <w:r>
        <w:t xml:space="preserve"> In terzo luogo, la componente qualitativa del benessere del giovane è in parte riconosciuta come tale, mentre la componente monetizzabile del capitale umano preservato alimenta l’aggregato. La specificità del dominio pedagogico-scolastico è dunque quella di cogliere un valore differito, proiettato sulla vita futura di una popolazione distinta, quella giovanile in formazione.</w:t>
      </w:r>
    </w:p>
    <w:p w14:paraId="38E62614" w14:textId="77777777" w:rsidR="007C4598" w:rsidRDefault="007C4598"/>
    <w:p w14:paraId="704FA501" w14:textId="77777777" w:rsidR="007C4598" w:rsidRDefault="00000000">
      <w:pPr>
        <w:jc w:val="both"/>
      </w:pPr>
      <w:r>
        <w:t>La verifica documentale del dominio pedagogico e scolastico segue un’agenda precisa. Essa richiede l’acquisizione dei dati regionali sulla dispersione scolastica e sulla sua relazione con il disagio in età evolutiva, e sull’effetto dell’intercettazione precoce e del raccordo con la scuola sulla riduzione dell’abbandono; dati desumibili dalle fonti sull’istruzione e da indagini dedicate sul disagio giovanile. L’acquisizione di questi dati, prevista nella fase di consolidamento, consentirà di precisare la stima e di documentare meglio la relazione tra disagio giovanile e dispersione nel contesto pugliese. Stabilito il valore, differito ma considerevole, del dominio pedagogico e scolastico, la rinegoziazione può ora muovere verso un dominio di natura prevalentemente qualitativa, l’accademico, che riguarda la ricerca e l’innovazione.</w:t>
      </w:r>
    </w:p>
    <w:p w14:paraId="3A7A0C1A" w14:textId="77777777" w:rsidR="007C4598" w:rsidRDefault="007C4598"/>
    <w:p w14:paraId="772F1B22" w14:textId="77777777" w:rsidR="007C4598" w:rsidRDefault="00000000">
      <w:pPr>
        <w:pStyle w:val="Titolo1"/>
        <w:pageBreakBefore/>
      </w:pPr>
      <w:r>
        <w:rPr>
          <w:sz w:val="22"/>
          <w:szCs w:val="22"/>
        </w:rPr>
        <w:t>9.11  Il dominio accademico, della ricerca e dell’innovazione</w:t>
      </w:r>
    </w:p>
    <w:p w14:paraId="6530D173" w14:textId="77777777" w:rsidR="007C4598" w:rsidRDefault="007C4598"/>
    <w:p w14:paraId="1CE00A69" w14:textId="77777777" w:rsidR="007C4598" w:rsidRDefault="00000000">
      <w:pPr>
        <w:jc w:val="both"/>
      </w:pPr>
      <w:r>
        <w:rPr>
          <w:i/>
          <w:iCs/>
        </w:rPr>
        <w:t>L’undicesimo dominio del perimetro integrale è l’accademico, della ricerca e dell’innovazione, e con esso si torna nel territorio dei domini a prevalente natura qualitativa. Esso misura il valore che la riforma genera come piattaforma di ricerca e di innovazione: la generazione di evidenza e di dati sulla salute mentale di popolazione che il sistema diffuso del primo livello psicologico rende possibile, l’innovazione negli strumenti e nei modelli di presa in carico che esso stimola, e la formazione di ricercatori e di competenze che esso alimenta. Una rete diffusa e prossima di primo livello psicologico costituisce, infatti, un’infrastruttura di conoscenza: essa produce dati sulla salute mentale di popolazione altrimenti non disponibili, offre un terreno per la ricerca e la sperimentazione, e stimola l’innovazione nei modelli e negli strumenti. Questo valore è in larga parte qualitativo e di lungo periodo, e la voce lo tratta secondo la sua natura, quantificando con grande prudenza la sola componente residua monetizzabile e riconoscendo la dimensione qualitativa, prevalente, senza monetizzarla.</w:t>
      </w:r>
    </w:p>
    <w:p w14:paraId="59FC2B9E" w14:textId="77777777" w:rsidR="007C4598" w:rsidRDefault="007C4598"/>
    <w:p w14:paraId="3A22458F" w14:textId="77777777" w:rsidR="007C4598" w:rsidRDefault="00000000">
      <w:pPr>
        <w:pStyle w:val="Titolo2"/>
        <w:spacing w:before="200" w:after="100"/>
      </w:pPr>
      <w:r>
        <w:rPr>
          <w:sz w:val="22"/>
          <w:szCs w:val="22"/>
        </w:rPr>
        <w:t>9.11.1  Il contesto e i meccanismi: la riforma come infrastruttura di conoscenza</w:t>
      </w:r>
    </w:p>
    <w:p w14:paraId="4FD34DC6" w14:textId="77777777" w:rsidR="007C4598" w:rsidRDefault="007C4598"/>
    <w:p w14:paraId="785B8210" w14:textId="77777777" w:rsidR="007C4598" w:rsidRDefault="00000000">
      <w:pPr>
        <w:jc w:val="both"/>
      </w:pPr>
      <w:r>
        <w:t>Il sistema diffuso del primo livello psicologico, oltre alla sua funzione assistenziale, svolge una funzione di infrastruttura di conoscenza, che il dominio accademico riconosce. La presa in carico diffusa del disagio comune nelle cure primarie genera, infatti, una mole di dati sulla salute mentale di popolazione — sull’epidemiologia del disagio, sui percorsi di cura, sugli esiti degli interventi — che il sistema specialistico, concentrato sui casi gravi, non produce, e che costituisce una base di conoscenza preziosa per la ricerca, la programmazione e la valutazione. Questo patrimonio informativo, opportunamente raccolto nel rispetto della protezione dei dati, consente di studiare la salute mentale di popolazione con una completezza altrimenti irraggiungibile, e di fondare su dati reali la ricerca e le decisioni. La generazione di evidenza è dunque un primo valore del dominio accademico, in parte monetizzabile attraverso il valore della conoscenza prodotta, ma prevalentemente qualitativo, perché il valore della conoscenza scientifica eccede la sua immediata traduzione monetaria.</w:t>
      </w:r>
    </w:p>
    <w:p w14:paraId="6999978C" w14:textId="77777777" w:rsidR="007C4598" w:rsidRDefault="007C4598"/>
    <w:p w14:paraId="4457B9BD" w14:textId="77777777" w:rsidR="007C4598" w:rsidRDefault="00000000">
      <w:pPr>
        <w:jc w:val="both"/>
      </w:pPr>
      <w:r>
        <w:t>Al valore della generazione di evidenza si aggiunge quello dell’innovazione e della formazione. Il sistema diffuso del primo livello psicologico costituisce un terreno per l’innovazione nei modelli organizzativi, nei percorsi di cura e negli strumenti, inclusi quelli digitali, la cui sperimentazione su scala diffusa stimola lo sviluppo di soluzioni nuove; e alimenta la formazione di ricercatori e di competenze nel campo della salute mentale di popolazione, accrescendo il capitale di conoscenza della regione. Entrambi questi valori — l’innovazione stimolata e le competenze formate — sono di natura prevalentemente qualitativa, perché si manifestano come accrescimento di un capitale immateriale, quello della conoscenza e della capacità di innovare, che non si lascia agevolmente ridurre a una cifra. Lo Psicologo di Base, e la rete diffusa che esso costituisce, agiscono dunque come infrastruttura di conoscenza e di innovazione, il cui valore, in larga parte qualitativo, il dominio accademico riconosce, quantificandone con prudenza la sola componente residua monetizzabile.</w:t>
      </w:r>
    </w:p>
    <w:p w14:paraId="747D665E" w14:textId="77777777" w:rsidR="007C4598" w:rsidRDefault="007C4598"/>
    <w:p w14:paraId="09CD14C5" w14:textId="77777777" w:rsidR="007C4598" w:rsidRDefault="00000000">
      <w:pPr>
        <w:pStyle w:val="Titolo2"/>
        <w:spacing w:before="200" w:after="100"/>
      </w:pPr>
      <w:r>
        <w:rPr>
          <w:sz w:val="22"/>
          <w:szCs w:val="22"/>
        </w:rPr>
        <w:t>9.11.2  La quantificazione e i confini del dominio accademico</w:t>
      </w:r>
    </w:p>
    <w:p w14:paraId="1BA27D58" w14:textId="77777777" w:rsidR="007C4598" w:rsidRDefault="007C4598"/>
    <w:p w14:paraId="43AF6027" w14:textId="77777777" w:rsidR="007C4598" w:rsidRDefault="00000000">
      <w:pPr>
        <w:jc w:val="both"/>
      </w:pPr>
      <w:r>
        <w:t>La quantificazione del dominio accademico si limita, coerentemente con la sua natura prevalentemente qualitativa, alla sola componente residua monetizzabile — il valore della generazione di evidenza nella sua quota traducibile in termini economici — e riconosce le componenti dell’innovazione e della formazione nella loro dimensione qualitativa, senza monetizzarle. La tabella che segue distingue le dimensioni del dominio.</w:t>
      </w:r>
    </w:p>
    <w:p w14:paraId="3A088113"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0B570ED0"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34C85A0" w14:textId="77777777" w:rsidR="007C4598" w:rsidRDefault="00000000">
            <w:pPr>
              <w:spacing w:after="40"/>
            </w:pPr>
            <w:r>
              <w:rPr>
                <w:b/>
                <w:bCs/>
                <w:color w:val="FFFFFF"/>
                <w:sz w:val="18"/>
                <w:szCs w:val="18"/>
              </w:rPr>
              <w:t>Dimensione del dominio accademico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9AF2F27" w14:textId="77777777" w:rsidR="007C4598" w:rsidRDefault="00000000">
            <w:pPr>
              <w:spacing w:after="40"/>
            </w:pPr>
            <w:r>
              <w:rPr>
                <w:b/>
                <w:bCs/>
                <w:color w:val="FFFFFF"/>
                <w:sz w:val="18"/>
                <w:szCs w:val="18"/>
              </w:rPr>
              <w:t>Natura della grandezza</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0B0D7E4" w14:textId="77777777" w:rsidR="007C4598" w:rsidRDefault="00000000">
            <w:pPr>
              <w:spacing w:after="40"/>
            </w:pPr>
            <w:r>
              <w:rPr>
                <w:b/>
                <w:bCs/>
                <w:color w:val="FFFFFF"/>
                <w:sz w:val="18"/>
                <w:szCs w:val="18"/>
              </w:rPr>
              <w:t>Trattamento nella rinegoziazione</w:t>
            </w:r>
          </w:p>
        </w:tc>
      </w:tr>
      <w:tr w:rsidR="007C4598" w14:paraId="6FB5AC47"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5DFF1E5" w14:textId="77777777" w:rsidR="007C4598" w:rsidRDefault="00000000">
            <w:pPr>
              <w:spacing w:after="40"/>
            </w:pPr>
            <w:r>
              <w:t>Generazione di evidenza e piattaforma di ricerca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B4F97BD" w14:textId="77777777" w:rsidR="007C4598" w:rsidRDefault="00000000">
            <w:pPr>
              <w:spacing w:after="40"/>
            </w:pPr>
            <w:r>
              <w:t>valore della base di dati e dell’evidenza sulla salute mentale di popolazione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77CF451" w14:textId="77777777" w:rsidR="007C4598" w:rsidRDefault="00000000">
            <w:pPr>
              <w:spacing w:after="40"/>
            </w:pPr>
            <w:r>
              <w:t>componente residua parzialmente monetizzabile, quantificata con prudenza</w:t>
            </w:r>
          </w:p>
        </w:tc>
      </w:tr>
      <w:tr w:rsidR="007C4598" w14:paraId="4EA16859"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79F0C5E" w14:textId="77777777" w:rsidR="007C4598" w:rsidRDefault="00000000">
            <w:pPr>
              <w:spacing w:after="40"/>
            </w:pPr>
            <w:r>
              <w:t>Innovazione e formazione di ricercatori e competenze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BAA2D45" w14:textId="77777777" w:rsidR="007C4598" w:rsidRDefault="00000000">
            <w:pPr>
              <w:spacing w:after="40"/>
            </w:pPr>
            <w:r>
              <w:t>capitale immateriale dell’innovazione e della conoscenza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A976F9A" w14:textId="77777777" w:rsidR="007C4598" w:rsidRDefault="00000000">
            <w:pPr>
              <w:spacing w:after="40"/>
            </w:pPr>
            <w:r>
              <w:t>dimensione qualitativa, riconosciuta ma non monetizzata</w:t>
            </w:r>
          </w:p>
        </w:tc>
      </w:tr>
    </w:tbl>
    <w:p w14:paraId="212CEC69" w14:textId="77777777" w:rsidR="007C4598" w:rsidRDefault="007C4598"/>
    <w:p w14:paraId="537635F6" w14:textId="77777777" w:rsidR="007C4598" w:rsidRDefault="00000000">
      <w:pPr>
        <w:jc w:val="both"/>
      </w:pPr>
      <w:r>
        <w:rPr>
          <w:i/>
          <w:iCs/>
        </w:rPr>
        <w:t>Tabella 9.21 — Le dimensioni del dominio accademico e il loro trattamento. Solo la componente della generazione di evidenza è quantificata, nella sua quota residua monetizzabile; l’innovazione e la formazione sono riconosciute nella loro dimensione qualitativa e non concorrono all’aggregato monetario, pur contribuendo al valore complessivo della riforma.</w:t>
      </w:r>
    </w:p>
    <w:p w14:paraId="7900F295" w14:textId="77777777" w:rsidR="007C4598" w:rsidRDefault="007C4598"/>
    <w:p w14:paraId="346744A0" w14:textId="77777777" w:rsidR="007C4598" w:rsidRDefault="00000000">
      <w:pPr>
        <w:jc w:val="both"/>
      </w:pPr>
      <w:r>
        <w:t>La stima della sola componente residua monetizzabile del dominio accademico è esposta, per ciascuno scenario, nella tabella che segue, con la consapevolezza che essa rappresenta una parte minima del valore del dominio, la cui dimensione maggiore è qualitativa e di lungo periodo.</w:t>
      </w:r>
    </w:p>
    <w:p w14:paraId="78C089C2"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75EB7E6D"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D71DD4D" w14:textId="77777777" w:rsidR="007C4598" w:rsidRDefault="00000000">
            <w:pPr>
              <w:spacing w:after="40"/>
            </w:pPr>
            <w:r>
              <w:rPr>
                <w:b/>
                <w:bCs/>
                <w:color w:val="FFFFFF"/>
                <w:sz w:val="18"/>
                <w:szCs w:val="18"/>
              </w:rPr>
              <w:t>Componente del beneficio accademico (mln €/anno)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443962E" w14:textId="77777777" w:rsidR="007C4598" w:rsidRDefault="00000000">
            <w:pPr>
              <w:spacing w:after="40"/>
            </w:pPr>
            <w:r>
              <w:rPr>
                <w:b/>
                <w:bCs/>
                <w:color w:val="FFFFFF"/>
                <w:sz w:val="18"/>
                <w:szCs w:val="18"/>
              </w:rPr>
              <w:t>Conservativo (~450)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FE5604B" w14:textId="77777777" w:rsidR="007C4598" w:rsidRDefault="00000000">
            <w:pPr>
              <w:spacing w:after="40"/>
            </w:pPr>
            <w:r>
              <w:rPr>
                <w:b/>
                <w:bCs/>
                <w:color w:val="FFFFFF"/>
                <w:sz w:val="18"/>
                <w:szCs w:val="18"/>
              </w:rPr>
              <w:t>Intermedio (~700)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DABE134" w14:textId="77777777" w:rsidR="007C4598" w:rsidRDefault="00000000">
            <w:pPr>
              <w:spacing w:after="40"/>
            </w:pPr>
            <w:r>
              <w:rPr>
                <w:b/>
                <w:bCs/>
                <w:color w:val="FFFFFF"/>
                <w:sz w:val="18"/>
                <w:szCs w:val="18"/>
              </w:rPr>
              <w:t>Espansivo (~900)</w:t>
            </w:r>
          </w:p>
        </w:tc>
      </w:tr>
      <w:tr w:rsidR="007C4598" w14:paraId="206F2C7F"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65E0312" w14:textId="77777777" w:rsidR="007C4598" w:rsidRDefault="00000000">
            <w:pPr>
              <w:spacing w:after="40"/>
            </w:pPr>
            <w:r>
              <w:t>Generazione di evidenza e piattaforma di ricerca (residuo monetizzato)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FA8C3E6" w14:textId="77777777" w:rsidR="007C4598" w:rsidRDefault="00000000">
            <w:pPr>
              <w:spacing w:after="40"/>
            </w:pPr>
            <w:r>
              <w:t>~1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87019C8" w14:textId="77777777" w:rsidR="007C4598" w:rsidRDefault="00000000">
            <w:pPr>
              <w:spacing w:after="40"/>
            </w:pPr>
            <w:r>
              <w:t>~1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F99F596" w14:textId="77777777" w:rsidR="007C4598" w:rsidRDefault="00000000">
            <w:pPr>
              <w:spacing w:after="40"/>
            </w:pPr>
            <w:r>
              <w:t>~2</w:t>
            </w:r>
          </w:p>
        </w:tc>
      </w:tr>
      <w:tr w:rsidR="007C4598" w14:paraId="1A29F0B0"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40AD608" w14:textId="77777777" w:rsidR="007C4598" w:rsidRDefault="00000000">
            <w:pPr>
              <w:spacing w:after="40"/>
            </w:pPr>
            <w:r>
              <w:t>Innovazione e formazione di ricercatori e competenze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EC1DF34" w14:textId="77777777" w:rsidR="007C4598" w:rsidRDefault="00000000">
            <w:pPr>
              <w:spacing w:after="40"/>
            </w:pPr>
            <w:r>
              <w:t>qualitativo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E9C8FC1" w14:textId="77777777" w:rsidR="007C4598" w:rsidRDefault="00000000">
            <w:pPr>
              <w:spacing w:after="40"/>
            </w:pPr>
            <w:r>
              <w:t>qualitativo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743ABFE" w14:textId="77777777" w:rsidR="007C4598" w:rsidRDefault="00000000">
            <w:pPr>
              <w:spacing w:after="40"/>
            </w:pPr>
            <w:r>
              <w:t>qualitativo</w:t>
            </w:r>
          </w:p>
        </w:tc>
      </w:tr>
      <w:tr w:rsidR="007C4598" w14:paraId="51747D5A"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603595E" w14:textId="77777777" w:rsidR="007C4598" w:rsidRDefault="00000000">
            <w:pPr>
              <w:spacing w:after="40"/>
            </w:pPr>
            <w:r>
              <w:t>Beneficio accademico monetizzato del dominio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9884549" w14:textId="77777777" w:rsidR="007C4598" w:rsidRDefault="00000000">
            <w:pPr>
              <w:spacing w:after="40"/>
            </w:pPr>
            <w:r>
              <w:t>~1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BD6EF10" w14:textId="77777777" w:rsidR="007C4598" w:rsidRDefault="00000000">
            <w:pPr>
              <w:spacing w:after="40"/>
            </w:pPr>
            <w:r>
              <w:t>~1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F9E2814" w14:textId="77777777" w:rsidR="007C4598" w:rsidRDefault="00000000">
            <w:pPr>
              <w:spacing w:after="40"/>
            </w:pPr>
            <w:r>
              <w:t>~2</w:t>
            </w:r>
          </w:p>
        </w:tc>
      </w:tr>
    </w:tbl>
    <w:p w14:paraId="7CF9C9B9" w14:textId="77777777" w:rsidR="007C4598" w:rsidRDefault="007C4598"/>
    <w:p w14:paraId="15BCAADB" w14:textId="77777777" w:rsidR="007C4598" w:rsidRDefault="00000000">
      <w:pPr>
        <w:jc w:val="both"/>
      </w:pPr>
      <w:r>
        <w:rPr>
          <w:i/>
          <w:iCs/>
        </w:rPr>
        <w:t>Tabella 9.22 — Stima prudenziale della sola componente residua monetizzabile del dominio accademico per scenario. Le componenti dell’innovazione e della formazione sono qualitative e non monetizzate; il beneficio monetizzato, minimo, coincide con la sola quota traducibile del valore della generazione di evidenza.</w:t>
      </w:r>
    </w:p>
    <w:p w14:paraId="01F35593" w14:textId="77777777" w:rsidR="007C4598" w:rsidRDefault="007C4598"/>
    <w:p w14:paraId="6F269CD9" w14:textId="77777777" w:rsidR="007C4598" w:rsidRDefault="00000000">
      <w:pPr>
        <w:jc w:val="both"/>
      </w:pPr>
      <w:r>
        <w:t xml:space="preserve">Il beneficio accademico monetizzato è dunque stimato in un ordine di grandezza compreso tra circa un milione di euro l’anno nello scenario conservativo e circa due milioni nello scenario espansivo, con un valore intermedio dell’ordine di un milione. La </w:t>
      </w:r>
      <w:proofErr w:type="spellStart"/>
      <w:r>
        <w:t>minimità</w:t>
      </w:r>
      <w:proofErr w:type="spellEnd"/>
      <w:r>
        <w:t xml:space="preserve"> della cifra monetizzata riflette fedelmente la natura prevalentemente qualitativa e di lungo periodo del dominio: il valore della riforma come piattaforma di ricerca e di innovazione è reale e potenzialmente rilevante, ma si manifesta come accrescimento di un capitale immateriale — la conoscenza, l’evidenza, la capacità di innovare e le competenze formate — che eccede ampiamente la sua immediata traduzione monetaria, e che si dispiega in un orizzonte di lungo periodo. La cifra monetizzata coglie soltanto la quota residua, traducibile in termini economici, del valore della generazione di evidenza; la dimensione maggiore del dominio, l’infrastruttura di conoscenza e di innovazione, è riconosciuta qualitativamente e contribuisce al valore complessivo della riforma, e alla sua capacità di generare conoscenza e innovazione nel tempo, senza alimentare l’aggregato monetario. Il dominio accademico è, in questo senso, quello in cui il divario tra valore reale e valore monetizzabile è più ampio, e in cui la scelta di non monetizzare il qualitativo è più necessaria.</w:t>
      </w:r>
      <w:r>
        <w:rPr>
          <w:color w:val="555555"/>
          <w:sz w:val="16"/>
          <w:szCs w:val="16"/>
          <w:vertAlign w:val="superscript"/>
        </w:rPr>
        <w:t>[32]</w:t>
      </w:r>
    </w:p>
    <w:p w14:paraId="375C36BB"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54371456"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7AC851D" w14:textId="77777777" w:rsidR="007C4598" w:rsidRDefault="00000000">
            <w:pPr>
              <w:spacing w:after="40"/>
            </w:pPr>
            <w:r>
              <w:rPr>
                <w:b/>
                <w:bCs/>
                <w:color w:val="FFFFFF"/>
                <w:sz w:val="18"/>
                <w:szCs w:val="18"/>
              </w:rPr>
              <w:t xml:space="preserve">◆ SEGNAPOSTO INFOGRAFICA — FIG. 9.K · DA INSERIRE A POSTERIORI Titolo previsto: Il dominio accademico: la riforma come infrastruttura di conoscenza CODICE CANVA-FRIENDLY (scheda di generazione) Tipo di grafico: diagramma misto che affianca una minima barra della componente monetizzata residua (generazione di evidenza) a un’ampia area qualitativa, non quantificata, che rappresenta l’infrastruttura di conoscenza e di innovazione, a illustrare la netta prevalenza della dimensione qualitativa. Lettura: a sinistra, una barra minima per scenario (1, 1 e 2 milioni) rappresenta la sola componente monetizzata; a destra, un’ampia area qualitativa, priva di scala numerica, rappresenta le dimensioni dell’innovazione, della ricerca e della formazione, esplicitamente non monetizzate e di lungo periodo. Palette: componente monetizzata in blu </w:t>
            </w:r>
            <w:proofErr w:type="spellStart"/>
            <w:r>
              <w:rPr>
                <w:b/>
                <w:bCs/>
                <w:color w:val="FFFFFF"/>
                <w:sz w:val="18"/>
                <w:szCs w:val="18"/>
              </w:rPr>
              <w:t>navy</w:t>
            </w:r>
            <w:proofErr w:type="spellEnd"/>
            <w:r>
              <w:rPr>
                <w:b/>
                <w:bCs/>
                <w:color w:val="FFFFFF"/>
                <w:sz w:val="18"/>
                <w:szCs w:val="18"/>
              </w:rPr>
              <w:t xml:space="preserve"> #16264B con etichetta oro #C49A48; area qualitativa in crema #F3EAD6 con bordo blu medio #244272 e dicitura «infrastruttura di conoscenza, dimensione qualitativa di lungo periodo, non monetizzata».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etichette degli scenari Medium, dicitura sulla dimensione qualitativa Regular corsivo.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Valori da rappresentare: componente monetizzata: Conservativo ~1; Intermedio ~1; Espansivo ~2. Area qualitativa: nessun valore numerico, rappresentazione simbolica dell’infrastruttura di conoscenza, di estensione visivamente prevalente. Variante 3D (consigliata): la barra monetizzata minima a rilievo; l’ampia area qualitativa resa come campo esteso e profondo, a evocare l’estensione e la natura di lungo periodo del capitale di conoscenza. Fonte (piè di figura): Elaborazione dello studio; solo la generazione di evidenza è monetizzata, nella sua quota residua; il dominio è quello con il divario più ampio tra valore reale e valore monetizzabile. La figura deve rendere evidente che il dominio accademico è quello in cui la dimensione qualitativa è più nettamente prevalente, e che la componente monetizzata, minima, coglie soltanto una quota residua del valore della generazione di evidenza, mentre l’infrastruttura di conoscenza e di innovazione è riconosciuta ma non ridotta a cifra.</w:t>
            </w:r>
          </w:p>
          <w:p w14:paraId="607B99ED" w14:textId="77777777" w:rsidR="007C4598" w:rsidRDefault="00000000">
            <w:pPr>
              <w:spacing w:before="120" w:after="60"/>
              <w:jc w:val="center"/>
            </w:pPr>
            <w:r>
              <w:rPr>
                <w:noProof/>
              </w:rPr>
              <w:drawing>
                <wp:inline distT="0" distB="0" distL="0" distR="0" wp14:anchorId="14F2B2F8" wp14:editId="3DC8986E">
                  <wp:extent cx="8229600" cy="4629150"/>
                  <wp:effectExtent l="0" t="0" r="0" b="0"/>
                  <wp:docPr id="150" name="Infografica50" descr="Il dominio accademico: infrastruttura di conoscen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nfografica50"/>
                          <pic:cNvPicPr>
                            <a:picLocks noChangeAspect="1" noChangeArrowheads="1"/>
                          </pic:cNvPicPr>
                        </pic:nvPicPr>
                        <pic:blipFill>
                          <a:blip r:embed="rId89">
                            <a:extLst>
                              <a:ext uri="{96DAC541-7B7A-43D3-8B79-37D633B846F1}">
                                <asvg:svgBlip xmlns:asvg="http://schemas.microsoft.com/office/drawing/2016/SVG/main" r:embed="rId90"/>
                              </a:ext>
                            </a:extLst>
                          </a:blip>
                          <a:stretch>
                            <a:fillRect/>
                          </a:stretch>
                        </pic:blipFill>
                        <pic:spPr bwMode="auto">
                          <a:xfrm>
                            <a:off x="0" y="0"/>
                            <a:ext cx="8229600" cy="4629150"/>
                          </a:xfrm>
                          <a:prstGeom prst="rect">
                            <a:avLst/>
                          </a:prstGeom>
                          <a:noFill/>
                          <a:ln>
                            <a:noFill/>
                          </a:ln>
                        </pic:spPr>
                      </pic:pic>
                    </a:graphicData>
                  </a:graphic>
                </wp:inline>
              </w:drawing>
            </w:r>
          </w:p>
          <w:p w14:paraId="00CD04A0" w14:textId="77777777" w:rsidR="007C4598" w:rsidRDefault="00000000">
            <w:pPr>
              <w:spacing w:before="40" w:after="200"/>
              <w:jc w:val="center"/>
            </w:pPr>
            <w:r>
              <w:rPr>
                <w:i/>
                <w:color w:val="2E5A8F"/>
                <w:sz w:val="16"/>
                <w:szCs w:val="16"/>
              </w:rPr>
              <w:t>Fig. 9.K — Il dominio accademico: infrastruttura di conoscenza. Elaborazione dello studio · Luigi De Michele · Giugno 2026.</w:t>
            </w:r>
          </w:p>
        </w:tc>
      </w:tr>
    </w:tbl>
    <w:p w14:paraId="60141982" w14:textId="77777777" w:rsidR="007C4598" w:rsidRDefault="007C4598"/>
    <w:p w14:paraId="7E23759A" w14:textId="77777777" w:rsidR="007C4598" w:rsidRDefault="00000000">
      <w:pPr>
        <w:pStyle w:val="Titolo2"/>
        <w:spacing w:before="200" w:after="100"/>
      </w:pPr>
      <w:r>
        <w:rPr>
          <w:sz w:val="22"/>
          <w:szCs w:val="22"/>
        </w:rPr>
        <w:t>9.11.3  La graduazione, la dimensione qualitativa e i confini del dominio accademico</w:t>
      </w:r>
    </w:p>
    <w:p w14:paraId="31638BEF" w14:textId="77777777" w:rsidR="007C4598" w:rsidRDefault="007C4598"/>
    <w:p w14:paraId="52FC1462" w14:textId="77777777" w:rsidR="007C4598" w:rsidRDefault="00000000">
      <w:pPr>
        <w:jc w:val="both"/>
      </w:pPr>
      <w:r>
        <w:t>La solidità della stima del dominio accademico va dichiarata. La componente monetizzata è sostenuta da evidenza limitata ed è quantificata in una quota residua minima; la dimensione qualitativa, pur reale e potenzialmente rilevante, non si traduce in una grandezza monetaria definita, e si dispiega in un orizzonte di lungo periodo. La graduazione della componente monetizzata è bassa, e si traduce in una banda prudenziale minima; la dimensione qualitativa è riconosciuta nella sua natura immateriale e di lungo periodo, e la sua esclusione dalla somma ne rispetta l’irriducibilità. Da ciò discendono i confini: il beneficio accademico monetizzato è una grandezza indiretta residua minima, non sommata ai risparmi diretti; esso coglie la sola quota traducibile della generazione di evidenza, e le componenti dell’innovazione e della formazione sono esplicitamente escluse dall’aggregato monetario e riconosciute qualitativamente. La verifica documentale, prevista nella fase di consolidamento, mirerà a documentare il valore della generazione di evidenza e il potenziale di ricerca e innovazione del sistema diffuso, riconoscendone la natura prevalentemente qualitativa. Stabilito il valore, in larga parte qualitativo, del dominio accademico, la rinegoziazione può ora muovere verso il dominio industriale, che torna su un terreno di maggiore monetizzabilità, quello della salute organizzativa delle imprese.</w:t>
      </w:r>
    </w:p>
    <w:p w14:paraId="2BA6D529" w14:textId="77777777" w:rsidR="007C4598" w:rsidRDefault="007C4598"/>
    <w:p w14:paraId="3A4C4C67" w14:textId="77777777" w:rsidR="007C4598" w:rsidRDefault="00000000">
      <w:pPr>
        <w:pStyle w:val="Titolo1"/>
        <w:pageBreakBefore/>
      </w:pPr>
      <w:r>
        <w:rPr>
          <w:sz w:val="22"/>
          <w:szCs w:val="22"/>
        </w:rPr>
        <w:t>9.12  Il dominio industriale e della salute organizzativa</w:t>
      </w:r>
    </w:p>
    <w:p w14:paraId="1C1BE256" w14:textId="77777777" w:rsidR="007C4598" w:rsidRDefault="007C4598"/>
    <w:p w14:paraId="74C6CBB0" w14:textId="77777777" w:rsidR="007C4598" w:rsidRDefault="00000000">
      <w:pPr>
        <w:jc w:val="both"/>
      </w:pPr>
      <w:r>
        <w:rPr>
          <w:i/>
          <w:iCs/>
        </w:rPr>
        <w:t xml:space="preserve">Il dodicesimo dominio del perimetro integrale è l’industriale e della salute organizzativa, e torna su un terreno di maggiore monetizzabilità rispetto ai due precedenti. Esso misura il valore che la riduzione del disagio comune genera a livello delle organizzazioni e delle imprese, distinto dal valore generato a livello del singolo lavoratore. Mentre il dominio lavorativo coglie la produttività del singolo lavoratore — l’assenteismo e il </w:t>
      </w:r>
      <w:proofErr w:type="spellStart"/>
      <w:r>
        <w:rPr>
          <w:i/>
          <w:iCs/>
        </w:rPr>
        <w:t>presenteismo</w:t>
      </w:r>
      <w:proofErr w:type="spellEnd"/>
      <w:r>
        <w:rPr>
          <w:i/>
          <w:iCs/>
        </w:rPr>
        <w:t xml:space="preserve"> individuali — il dominio industriale coglie gli effetti che si manifestano a livello dell’organizzazione nel suo insieme: la riduzione del turnover e dei costi di sostituzione, e il miglioramento del clima e della salute organizzativa. Questi effetti, di natura organizzativa e non individuale, costituiscono una dimensione distinta del valore della riforma, riferita all’impresa come entità anziché al lavoratore come individuo. La voce ricostruisce il contesto della salute organizzativa, ne isola i meccanismi, ne traccia la catena causale, ne stima il beneficio per scenario e ne dichiara la graduazione, i confini e la distinzione, in particolare dal dominio lavorativo per il diverso livello considerato.</w:t>
      </w:r>
    </w:p>
    <w:p w14:paraId="098125F6" w14:textId="77777777" w:rsidR="007C4598" w:rsidRDefault="007C4598"/>
    <w:p w14:paraId="3A9A0DFB" w14:textId="77777777" w:rsidR="007C4598" w:rsidRDefault="00000000">
      <w:pPr>
        <w:pStyle w:val="Titolo2"/>
        <w:spacing w:before="200" w:after="100"/>
      </w:pPr>
      <w:r>
        <w:rPr>
          <w:sz w:val="22"/>
          <w:szCs w:val="22"/>
        </w:rPr>
        <w:t>9.12.1  Il contesto e i meccanismi: il livello organizzativo del disagio</w:t>
      </w:r>
    </w:p>
    <w:p w14:paraId="43173831" w14:textId="77777777" w:rsidR="007C4598" w:rsidRDefault="007C4598"/>
    <w:p w14:paraId="6CD379C1" w14:textId="77777777" w:rsidR="007C4598" w:rsidRDefault="00000000">
      <w:pPr>
        <w:jc w:val="both"/>
      </w:pPr>
      <w:r>
        <w:t>Il disagio psichico dei lavoratori incide non soltanto sulla loro produttività individuale, già colta dal dominio lavorativo, ma anche sulla salute dell’organizzazione nel suo insieme, generando effetti che si manifestano a livello collettivo e che il dominio industriale riconosce. Il primo di questi effetti è il turnover, ossia l’uscita dei lavoratori dall’impresa e la loro sostituzione: il disagio non trattato, deteriorando le condizioni del lavoratore e il suo rapporto con il lavoro, accresce la probabilità che egli lasci l’impresa, e genera così costi di turnover — la perdita di esperienza, i costi di reclutamento e di formazione del sostituto, la riduzione di produttività nel periodo di transizione — che gravano sull’organizzazione. Questi costi sono di natura organizzativa, perché riguardano l’impresa come entità e la sua continuità, e sono distinti dalla produttività individuale del lavoratore: il dominio lavorativo conta la produttività di chi resta, il dominio industriale conta il costo per l’organizzazione di chi se ne va e va sostituito.</w:t>
      </w:r>
    </w:p>
    <w:p w14:paraId="07F2C5AC" w14:textId="77777777" w:rsidR="007C4598" w:rsidRDefault="007C4598"/>
    <w:p w14:paraId="079601D3" w14:textId="77777777" w:rsidR="007C4598" w:rsidRDefault="00000000">
      <w:pPr>
        <w:jc w:val="both"/>
      </w:pPr>
      <w:r>
        <w:t>Il secondo effetto è la qualità del clima e della salute organizzativa. Il disagio psichico diffuso tra i lavoratori deteriora il clima organizzativo — le relazioni, la cooperazione, il benessere collettivo nei luoghi di lavoro — con effetti sulla produttività complessiva dell’organizzazione che eccedono la somma delle produttività individuali, perché incidono sulla qualità delle interazioni e della cooperazione. Il miglioramento delle condizioni dei lavoratori, conseguente alla presa in carico al primo livello, migliora il clima organizzativo e la salute dell’organizzazione, generando un valore in parte monetizzabile, attraverso la maggiore produttività organizzativa, e in parte qualitativo. I due meccanismi — la riduzione del turnover e il miglioramento del clima — convergono verso il miglioramento della salute organizzativa, e ne colgono componenti distinte, riferite al livello dell’organizzazione anziché del singolo lavoratore, e perciò additive rispetto al dominio lavorativo, che coglie il livello individuale.</w:t>
      </w:r>
    </w:p>
    <w:p w14:paraId="20D0A0D2" w14:textId="77777777" w:rsidR="007C4598" w:rsidRDefault="007C4598"/>
    <w:p w14:paraId="7EB64F5C" w14:textId="77777777" w:rsidR="007C4598" w:rsidRDefault="00000000">
      <w:pPr>
        <w:pStyle w:val="Titolo2"/>
        <w:spacing w:before="200" w:after="100"/>
      </w:pPr>
      <w:r>
        <w:rPr>
          <w:sz w:val="22"/>
          <w:szCs w:val="22"/>
        </w:rPr>
        <w:t>9.12.2  La catena causale e la quantificazione del dominio industriale</w:t>
      </w:r>
    </w:p>
    <w:p w14:paraId="330F69AB" w14:textId="77777777" w:rsidR="007C4598" w:rsidRDefault="007C4598"/>
    <w:p w14:paraId="71559883" w14:textId="77777777" w:rsidR="007C4598" w:rsidRDefault="00000000">
      <w:pPr>
        <w:jc w:val="both"/>
      </w:pPr>
      <w:r>
        <w:t>La formazione del beneficio industriale segue una catena causale a più anelli. Il primo anello è clinico: la presa in carico migliora le condizioni dei lavoratori. Il secondo anello è organizzativo: il miglioramento delle condizioni dei lavoratori riduce il turnover e migliora il clima organizzativo. Questo anello è sostenuto da evidenza coerente sulla relazione tra benessere dei lavoratori, turnover e clima organizzativo, ancorché di qualità variabile. Il terzo anello è economico: la riduzione del turnover e il miglioramento del clima si traducono in minori costi di sostituzione e in maggiore produttività organizzativa, valutati a livello dell’impresa. La quantificazione procede secondo il metodo in cinque passaggi, applicato ai due effetti organizzativi, con la cura di riferirli al livello dell’organizzazione, distinto dal livello individuale del dominio lavorativo. La tabella che segue ricostruisce le due forme e i margini su cui il dominio opera.</w:t>
      </w:r>
    </w:p>
    <w:p w14:paraId="7BC8E028"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477CB6AF"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44C676C" w14:textId="77777777" w:rsidR="007C4598" w:rsidRDefault="00000000">
            <w:pPr>
              <w:spacing w:after="40"/>
            </w:pPr>
            <w:r>
              <w:rPr>
                <w:b/>
                <w:bCs/>
                <w:color w:val="FFFFFF"/>
                <w:sz w:val="18"/>
                <w:szCs w:val="18"/>
              </w:rPr>
              <w:t>Forma dell’effetto organizzativo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228950A" w14:textId="77777777" w:rsidR="007C4598" w:rsidRDefault="00000000">
            <w:pPr>
              <w:spacing w:after="40"/>
            </w:pPr>
            <w:r>
              <w:rPr>
                <w:b/>
                <w:bCs/>
                <w:color w:val="FFFFFF"/>
                <w:sz w:val="18"/>
                <w:szCs w:val="18"/>
              </w:rPr>
              <w:t>Grandezza di ancoraggio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9EA95AC" w14:textId="77777777" w:rsidR="007C4598" w:rsidRDefault="00000000">
            <w:pPr>
              <w:spacing w:after="40"/>
            </w:pPr>
            <w:r>
              <w:rPr>
                <w:b/>
                <w:bCs/>
                <w:color w:val="FFFFFF"/>
                <w:sz w:val="18"/>
                <w:szCs w:val="18"/>
              </w:rPr>
              <w:t>Componente attribuibile al dominio (livello organizzativo, distinto da 9.1)</w:t>
            </w:r>
          </w:p>
        </w:tc>
      </w:tr>
      <w:tr w:rsidR="007C4598" w14:paraId="1D9F1211"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6793131" w14:textId="77777777" w:rsidR="007C4598" w:rsidRDefault="00000000">
            <w:pPr>
              <w:spacing w:after="40"/>
            </w:pPr>
            <w:r>
              <w:t>Turnover e costi di sostituzione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260E191" w14:textId="77777777" w:rsidR="007C4598" w:rsidRDefault="00000000">
            <w:pPr>
              <w:spacing w:after="40"/>
            </w:pPr>
            <w:r>
              <w:t>costo del turnover a livello d’impresa (esperienza perduta, reclutamento, formazione)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9BA5D6E" w14:textId="77777777" w:rsidR="007C4598" w:rsidRDefault="00000000">
            <w:pPr>
              <w:spacing w:after="40"/>
            </w:pPr>
            <w:r>
              <w:t>la quota riducibile, a livello organizzativo, distinta dalla produttività individuale del dominio lavorativo</w:t>
            </w:r>
          </w:p>
        </w:tc>
      </w:tr>
      <w:tr w:rsidR="007C4598" w14:paraId="65F4CA33"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A84C620" w14:textId="77777777" w:rsidR="007C4598" w:rsidRDefault="00000000">
            <w:pPr>
              <w:spacing w:after="40"/>
            </w:pPr>
            <w:r>
              <w:t>Clima e salute organizzativa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2B1C36B" w14:textId="77777777" w:rsidR="007C4598" w:rsidRDefault="00000000">
            <w:pPr>
              <w:spacing w:after="40"/>
            </w:pPr>
            <w:r>
              <w:t>qualità del clima organizzativo e produttività collettiva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8A2BB36" w14:textId="77777777" w:rsidR="007C4598" w:rsidRDefault="00000000">
            <w:pPr>
              <w:spacing w:after="40"/>
            </w:pPr>
            <w:r>
              <w:t>la quota di miglioramento parzialmente monetizzabile, riferita all’organizzazione</w:t>
            </w:r>
          </w:p>
        </w:tc>
      </w:tr>
    </w:tbl>
    <w:p w14:paraId="7AFE0095" w14:textId="77777777" w:rsidR="007C4598" w:rsidRDefault="007C4598"/>
    <w:p w14:paraId="7D695035" w14:textId="77777777" w:rsidR="007C4598" w:rsidRDefault="00000000">
      <w:pPr>
        <w:jc w:val="both"/>
      </w:pPr>
      <w:r>
        <w:rPr>
          <w:i/>
          <w:iCs/>
        </w:rPr>
        <w:t>Tabella 9.23 — Le forme dell’effetto organizzativo del disagio e i margini di compressione. Le grandezze riguardano il livello dell’organizzazione, distinto dal livello individuale del lavoratore colto dal dominio lavorativo (9.1), e sono perciò additive rispetto a esso; saranno precisate dai dati certificati nella fase di consolidamento.</w:t>
      </w:r>
    </w:p>
    <w:p w14:paraId="4C36F9AA" w14:textId="77777777" w:rsidR="007C4598" w:rsidRDefault="007C4598"/>
    <w:p w14:paraId="7414C4B3" w14:textId="77777777" w:rsidR="007C4598" w:rsidRDefault="00000000">
      <w:pPr>
        <w:jc w:val="both"/>
      </w:pPr>
      <w:r>
        <w:t>Sulla base di questo quadro, la stima del beneficio industriale è articolata nelle due componenti e per ciascuno scenario. La componente della riduzione del turnover costituisce la quota maggiore, per l’entità dei costi di sostituzione; la componente del clima organizzativo costituisce la quota minore, in parte qualitativa. La tabella che segue espone la stima per componente e per scenario.</w:t>
      </w:r>
    </w:p>
    <w:p w14:paraId="5BCAEDFA"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081CE729"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3187FB1" w14:textId="77777777" w:rsidR="007C4598" w:rsidRDefault="00000000">
            <w:pPr>
              <w:spacing w:after="40"/>
            </w:pPr>
            <w:r>
              <w:rPr>
                <w:b/>
                <w:bCs/>
                <w:color w:val="FFFFFF"/>
                <w:sz w:val="18"/>
                <w:szCs w:val="18"/>
              </w:rPr>
              <w:t>Componente del beneficio industriale (mln €/anno)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DE7640C" w14:textId="77777777" w:rsidR="007C4598" w:rsidRDefault="00000000">
            <w:pPr>
              <w:spacing w:after="40"/>
            </w:pPr>
            <w:r>
              <w:rPr>
                <w:b/>
                <w:bCs/>
                <w:color w:val="FFFFFF"/>
                <w:sz w:val="18"/>
                <w:szCs w:val="18"/>
              </w:rPr>
              <w:t>Conservativo (~450)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0F5E36C" w14:textId="77777777" w:rsidR="007C4598" w:rsidRDefault="00000000">
            <w:pPr>
              <w:spacing w:after="40"/>
            </w:pPr>
            <w:r>
              <w:rPr>
                <w:b/>
                <w:bCs/>
                <w:color w:val="FFFFFF"/>
                <w:sz w:val="18"/>
                <w:szCs w:val="18"/>
              </w:rPr>
              <w:t>Intermedio (~700)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4226F84" w14:textId="77777777" w:rsidR="007C4598" w:rsidRDefault="00000000">
            <w:pPr>
              <w:spacing w:after="40"/>
            </w:pPr>
            <w:r>
              <w:rPr>
                <w:b/>
                <w:bCs/>
                <w:color w:val="FFFFFF"/>
                <w:sz w:val="18"/>
                <w:szCs w:val="18"/>
              </w:rPr>
              <w:t>Espansivo (~900)</w:t>
            </w:r>
          </w:p>
        </w:tc>
      </w:tr>
      <w:tr w:rsidR="007C4598" w14:paraId="183617F8"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7DCB8F4" w14:textId="77777777" w:rsidR="007C4598" w:rsidRDefault="00000000">
            <w:pPr>
              <w:spacing w:after="40"/>
            </w:pPr>
            <w:r>
              <w:t>Riduzione del turnover e dei costi di sostituzione (livello d’impresa)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9B05729" w14:textId="77777777" w:rsidR="007C4598" w:rsidRDefault="00000000">
            <w:pPr>
              <w:spacing w:after="40"/>
            </w:pPr>
            <w:r>
              <w:t>~1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D0C96AA" w14:textId="77777777" w:rsidR="007C4598" w:rsidRDefault="00000000">
            <w:pPr>
              <w:spacing w:after="40"/>
            </w:pPr>
            <w:r>
              <w:t>~2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6FCB846" w14:textId="77777777" w:rsidR="007C4598" w:rsidRDefault="00000000">
            <w:pPr>
              <w:spacing w:after="40"/>
            </w:pPr>
            <w:r>
              <w:t>~3</w:t>
            </w:r>
          </w:p>
        </w:tc>
      </w:tr>
      <w:tr w:rsidR="007C4598" w14:paraId="43E9FBDA"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E4243F5" w14:textId="77777777" w:rsidR="007C4598" w:rsidRDefault="00000000">
            <w:pPr>
              <w:spacing w:after="40"/>
            </w:pPr>
            <w:r>
              <w:t>Miglioramento del clima e della salute organizzativa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F35F70D" w14:textId="77777777" w:rsidR="007C4598" w:rsidRDefault="00000000">
            <w:pPr>
              <w:spacing w:after="40"/>
            </w:pPr>
            <w:r>
              <w:t>~1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453A0E3" w14:textId="77777777" w:rsidR="007C4598" w:rsidRDefault="00000000">
            <w:pPr>
              <w:spacing w:after="40"/>
            </w:pPr>
            <w:r>
              <w:t>~1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7500559" w14:textId="77777777" w:rsidR="007C4598" w:rsidRDefault="00000000">
            <w:pPr>
              <w:spacing w:after="40"/>
            </w:pPr>
            <w:r>
              <w:t>~1</w:t>
            </w:r>
          </w:p>
        </w:tc>
      </w:tr>
      <w:tr w:rsidR="007C4598" w14:paraId="7CD944AD"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26FAFD8" w14:textId="77777777" w:rsidR="007C4598" w:rsidRDefault="00000000">
            <w:pPr>
              <w:spacing w:after="40"/>
            </w:pPr>
            <w:r>
              <w:t>Beneficio industriale indiretto del dominio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1B99630" w14:textId="77777777" w:rsidR="007C4598" w:rsidRDefault="00000000">
            <w:pPr>
              <w:spacing w:after="40"/>
            </w:pPr>
            <w:r>
              <w:t>~2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7C36311" w14:textId="77777777" w:rsidR="007C4598" w:rsidRDefault="00000000">
            <w:pPr>
              <w:spacing w:after="40"/>
            </w:pPr>
            <w:r>
              <w:t>~3</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DBC536D" w14:textId="77777777" w:rsidR="007C4598" w:rsidRDefault="00000000">
            <w:pPr>
              <w:spacing w:after="40"/>
            </w:pPr>
            <w:r>
              <w:t>~4</w:t>
            </w:r>
          </w:p>
        </w:tc>
      </w:tr>
    </w:tbl>
    <w:p w14:paraId="362C9703" w14:textId="77777777" w:rsidR="007C4598" w:rsidRDefault="007C4598"/>
    <w:p w14:paraId="67AA12CC" w14:textId="77777777" w:rsidR="007C4598" w:rsidRDefault="00000000">
      <w:pPr>
        <w:jc w:val="both"/>
      </w:pPr>
      <w:r>
        <w:rPr>
          <w:i/>
          <w:iCs/>
        </w:rPr>
        <w:t>Tabella 9.24 — Stima prudenziale del beneficio del dominio industriale per scenario. Le cifre sono bande prudenziali arrotondate; l’ultima riga è la somma delle due componenti. Il valore riguarda il livello dell’organizzazione, distinto dal livello individuale del lavoratore (dominio lavorativo), ed è perciò additivo rispetto a esso; non è sommabile con i risparmi sanitari diretti.</w:t>
      </w:r>
    </w:p>
    <w:p w14:paraId="02A00B9B" w14:textId="77777777" w:rsidR="007C4598" w:rsidRDefault="007C4598"/>
    <w:p w14:paraId="50E9F793" w14:textId="77777777" w:rsidR="007C4598" w:rsidRDefault="00000000">
      <w:pPr>
        <w:jc w:val="both"/>
      </w:pPr>
      <w:r>
        <w:t>Il beneficio industriale indiretto è dunque stimato in un ordine di grandezza compreso tra circa due milioni di euro l’anno nello scenario conservativo e circa quattro milioni nello scenario espansivo, con un valore intermedio dell’ordine di tre milioni. La cifra riflette il valore degli effetti organizzativi del disagio — il turnover e il clima — che si manifestano a livello dell’impresa e che eccedono la produttività individuale dei lavoratori: il costo di sostituzione del lavoratore che lascia l’impresa, in particolare, è un costo organizzativo reale, distinto dalla perdita di produttività di chi resta, e la sua riduzione costituisce un beneficio genuino della riforma a livello delle organizzazioni. La distinzione tra il livello organizzativo, qui considerato, e il livello individuale, colto dal dominio lavorativo, garantisce l’additività del dominio industriale rispetto al lavorativo, perché i due domini colgono dimensioni diverse — l’organizzazione e l’individuo — del medesimo fenomeno, senza sovrapporsi.</w:t>
      </w:r>
    </w:p>
    <w:p w14:paraId="3ACB9A12"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377797DD"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FE282F3" w14:textId="77777777" w:rsidR="007C4598" w:rsidRDefault="00000000">
            <w:pPr>
              <w:spacing w:after="40"/>
            </w:pPr>
            <w:r>
              <w:rPr>
                <w:b/>
                <w:bCs/>
                <w:color w:val="FFFFFF"/>
                <w:sz w:val="18"/>
                <w:szCs w:val="18"/>
              </w:rPr>
              <w:t xml:space="preserve">◆ SEGNAPOSTO INFOGRAFICA — FIG. 9.L · DA INSERIRE A POSTERIORI Titolo previsto: Il dominio industriale: il livello organizzativo, distinto dal livello individuale — Puglia CODICE CANVA-FRIENDLY (scheda di generazione) Tipo di grafico: diagramma a barre orizzontali raggruppate per i tre scenari, ciascuna scomposta nelle due componenti (turnover e costi di sostituzione; clima e salute organizzativa), con annotazione che il livello è quello dell’organizzazione, distinto dal livello individuale del dominio lavorativo. Lettura: tre gruppi di barre (Conservativo, Intermedio, Espansivo) la cui lunghezza complessiva corrisponde al beneficio totale del dominio (2, 3 e 4 milioni); la scomposizione mostra il peso prevalente della riduzione del turnover. Palette: componente turnover in blu </w:t>
            </w:r>
            <w:proofErr w:type="spellStart"/>
            <w:r>
              <w:rPr>
                <w:b/>
                <w:bCs/>
                <w:color w:val="FFFFFF"/>
                <w:sz w:val="18"/>
                <w:szCs w:val="18"/>
              </w:rPr>
              <w:t>navy</w:t>
            </w:r>
            <w:proofErr w:type="spellEnd"/>
            <w:r>
              <w:rPr>
                <w:b/>
                <w:bCs/>
                <w:color w:val="FFFFFF"/>
                <w:sz w:val="18"/>
                <w:szCs w:val="18"/>
              </w:rPr>
              <w:t xml:space="preserve"> #16264B; componente clima organizzativo in blu medio #244272; etichetta del totale di dominio in oro #C49A48; griglia in grigio #D8D8D8.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etichette degli scenari </w:t>
            </w:r>
            <w:proofErr w:type="spellStart"/>
            <w:r>
              <w:rPr>
                <w:b/>
                <w:bCs/>
                <w:color w:val="FFFFFF"/>
                <w:sz w:val="18"/>
                <w:szCs w:val="18"/>
              </w:rPr>
              <w:t>Bold</w:t>
            </w:r>
            <w:proofErr w:type="spellEnd"/>
            <w:r>
              <w:rPr>
                <w:b/>
                <w:bCs/>
                <w:color w:val="FFFFFF"/>
                <w:sz w:val="18"/>
                <w:szCs w:val="18"/>
              </w:rPr>
              <w:t xml:space="preserve">, valori Medium, annotazione sul livello organizzativo Regular corsivo.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Valori da rappresentare: Conservativo — turnover ~1; clima ~1; totale ~2. Intermedio — ~2; ~1; totale ~3. Espansivo — ~3; ~1; totale ~4. Variante 3D (consigliata): barre a rilievo isometrico con le due componenti impilate; annotazione grafica che distingue il livello dell’organizzazione (questo dominio) dal livello del singolo lavoratore (dominio lavorativo), a sottolineare l’additività. Fonte (piè di figura): Elaborazione dello studio; livello organizzativo distinto dal livello individuale; graduazione GRADE variabile. La figura deve rendere evidente che il dominio industriale coglie il livello dell’organizzazione — turnover e clima — distinto dal livello individuale del lavoratore colto dal dominio lavorativo, e che è perciò additivo rispetto a esso.</w:t>
            </w:r>
          </w:p>
          <w:p w14:paraId="1FC67906" w14:textId="77777777" w:rsidR="007C4598" w:rsidRDefault="00000000">
            <w:pPr>
              <w:spacing w:before="120" w:after="60"/>
              <w:jc w:val="center"/>
            </w:pPr>
            <w:r>
              <w:rPr>
                <w:noProof/>
              </w:rPr>
              <w:drawing>
                <wp:inline distT="0" distB="0" distL="0" distR="0" wp14:anchorId="538C809D" wp14:editId="502ED9E8">
                  <wp:extent cx="8229600" cy="4629150"/>
                  <wp:effectExtent l="0" t="0" r="0" b="0"/>
                  <wp:docPr id="151" name="Infografica51" descr="Il dominio industriale: livello organizz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Infografica51"/>
                          <pic:cNvPicPr>
                            <a:picLocks noChangeAspect="1" noChangeArrowheads="1"/>
                          </pic:cNvPicPr>
                        </pic:nvPicPr>
                        <pic:blipFill>
                          <a:blip r:embed="rId91">
                            <a:extLst>
                              <a:ext uri="{96DAC541-7B7A-43D3-8B79-37D633B846F1}">
                                <asvg:svgBlip xmlns:asvg="http://schemas.microsoft.com/office/drawing/2016/SVG/main" r:embed="rId92"/>
                              </a:ext>
                            </a:extLst>
                          </a:blip>
                          <a:stretch>
                            <a:fillRect/>
                          </a:stretch>
                        </pic:blipFill>
                        <pic:spPr bwMode="auto">
                          <a:xfrm>
                            <a:off x="0" y="0"/>
                            <a:ext cx="8229600" cy="4629150"/>
                          </a:xfrm>
                          <a:prstGeom prst="rect">
                            <a:avLst/>
                          </a:prstGeom>
                          <a:noFill/>
                          <a:ln>
                            <a:noFill/>
                          </a:ln>
                        </pic:spPr>
                      </pic:pic>
                    </a:graphicData>
                  </a:graphic>
                </wp:inline>
              </w:drawing>
            </w:r>
          </w:p>
          <w:p w14:paraId="1C1D9F5E" w14:textId="77777777" w:rsidR="007C4598" w:rsidRDefault="00000000">
            <w:pPr>
              <w:spacing w:before="40" w:after="200"/>
              <w:jc w:val="center"/>
            </w:pPr>
            <w:r>
              <w:rPr>
                <w:i/>
                <w:color w:val="2E5A8F"/>
                <w:sz w:val="16"/>
                <w:szCs w:val="16"/>
              </w:rPr>
              <w:t>Fig. 9.L — Il dominio industriale: livello organizzativo. Elaborazione dello studio · Luigi De Michele · Giugno 2026.</w:t>
            </w:r>
          </w:p>
        </w:tc>
      </w:tr>
    </w:tbl>
    <w:p w14:paraId="0209D467" w14:textId="77777777" w:rsidR="007C4598" w:rsidRDefault="007C4598"/>
    <w:p w14:paraId="4E262219" w14:textId="77777777" w:rsidR="007C4598" w:rsidRDefault="00000000">
      <w:pPr>
        <w:pStyle w:val="Titolo2"/>
        <w:spacing w:before="200" w:after="100"/>
      </w:pPr>
      <w:r>
        <w:rPr>
          <w:sz w:val="22"/>
          <w:szCs w:val="22"/>
        </w:rPr>
        <w:t>9.12.3  La graduazione, i confini e la distinzione del dominio industriale</w:t>
      </w:r>
    </w:p>
    <w:p w14:paraId="27F6F925" w14:textId="77777777" w:rsidR="007C4598" w:rsidRDefault="007C4598"/>
    <w:p w14:paraId="48C0C5AD" w14:textId="77777777" w:rsidR="007C4598" w:rsidRDefault="00000000">
      <w:pPr>
        <w:jc w:val="both"/>
      </w:pPr>
      <w:r>
        <w:t>La solidità della stima del dominio industriale va dichiarata. L’anello clinico è sostenuto da evidenza da moderata ad alta; l’anello organizzativo, da evidenza coerente ma di qualità variabile sulla relazione tra benessere, turnover e clima; l’anello economico è soggetto alla difficoltà di misurare il valore organizzativo distintamente da quello individuale. La graduazione complessiva del dominio è intermedia, e si traduce in bande prudenziali e in una stima centrale contenuta.</w:t>
      </w:r>
      <w:r>
        <w:rPr>
          <w:color w:val="555555"/>
          <w:sz w:val="16"/>
          <w:szCs w:val="16"/>
          <w:vertAlign w:val="superscript"/>
        </w:rPr>
        <w:t>[33]</w:t>
      </w:r>
      <w:r>
        <w:t xml:space="preserve"> La stima va letta come punto mediano di un intervallo, e la sua natura organizzativa la distingue dalla produttività individuale del dominio lavorativo.</w:t>
      </w:r>
    </w:p>
    <w:p w14:paraId="266C5165" w14:textId="77777777" w:rsidR="007C4598" w:rsidRDefault="007C4598"/>
    <w:p w14:paraId="247B577A" w14:textId="77777777" w:rsidR="007C4598" w:rsidRDefault="00000000">
      <w:pPr>
        <w:jc w:val="both"/>
      </w:pPr>
      <w:r>
        <w:t>Da questa graduazione discendono i confini e le regole di non duplicazione del dominio industriale. In primo luogo, il beneficio industriale è una grandezza indiretta, non sommata ai risparmi sanitari diretti della parte ottava. In secondo luogo, e in modo decisivo, esso riguarda il livello dell’organizzazione — il turnover e il clima — distinto dal livello individuale del lavoratore, colto dal dominio lavorativo: il costo di sostituzione del lavoratore che lascia l’impresa e la qualità del clima organizzativo non si sovrappongono alla produttività individuale del lavoratore che resta, perché riguardano dimensioni diverse, l’organizzazione e l’individuo; la distinzione tra livello organizzativo e livello individuale garantisce l’additività del dominio industriale rispetto al lavorativo ed evita ogni duplicazione.</w:t>
      </w:r>
      <w:r>
        <w:rPr>
          <w:color w:val="555555"/>
          <w:sz w:val="16"/>
          <w:szCs w:val="16"/>
          <w:vertAlign w:val="superscript"/>
        </w:rPr>
        <w:t>[34]</w:t>
      </w:r>
      <w:r>
        <w:t xml:space="preserve"> In terzo luogo, la componente qualitativa del clima è in parte riconosciuta come tale. La specificità del dominio industriale è dunque quella di cogliere la dimensione organizzativa del valore della riforma, distinta dalla dimensione individuale, e perciò additiva.</w:t>
      </w:r>
    </w:p>
    <w:p w14:paraId="2AD7973F" w14:textId="77777777" w:rsidR="007C4598" w:rsidRDefault="007C4598"/>
    <w:p w14:paraId="2BD22102" w14:textId="77777777" w:rsidR="007C4598" w:rsidRDefault="00000000">
      <w:pPr>
        <w:jc w:val="both"/>
      </w:pPr>
      <w:r>
        <w:t>La verifica documentale del dominio industriale segue un’agenda precisa. Essa richiede l’acquisizione di dati e analisi sul turnover e sul clima organizzativo connessi al disagio psichico nelle imprese del territorio regionale, e sull’effetto della presa in carico sul loro miglioramento; dati prevalentemente desumibili da indagini organizzative dedicate. L’acquisizione di questi dati, prevista nella fase di consolidamento, consentirà di precisare la stima del beneficio organizzativo, distinguendolo da quello individuale. Esauriti i dodici domini sin qui percorsi, che coprono la produzione, la previdenza, l’assistenza, il welfare, la prevenzione, la giustizia, l’amministrazione, la cultura, la formazione giovanile, la ricerca e la salute organizzativa, la rinegoziazione ha attraversato la gran parte del perimetro integrale; la tranche successiva affronterà i quattro domini conclusivi — il sindacale, l’antropologico, il sociale e il finanziario — di natura prevalentemente qualitativa o di sintesi, prima dell’aggregazione finale.</w:t>
      </w:r>
    </w:p>
    <w:p w14:paraId="37490A64" w14:textId="77777777" w:rsidR="007C4598" w:rsidRDefault="007C4598"/>
    <w:p w14:paraId="08206ECE" w14:textId="77777777" w:rsidR="007C4598" w:rsidRDefault="00000000">
      <w:pPr>
        <w:pStyle w:val="Titolo1"/>
        <w:pageBreakBefore/>
      </w:pPr>
      <w:r>
        <w:rPr>
          <w:sz w:val="22"/>
          <w:szCs w:val="22"/>
        </w:rPr>
        <w:t>I domini conclusivi: la tutela, la comunità, il capitale sociale e la sintesi finanziaria</w:t>
      </w:r>
    </w:p>
    <w:p w14:paraId="5F478B75" w14:textId="77777777" w:rsidR="007C4598" w:rsidRDefault="007C4598"/>
    <w:p w14:paraId="56BDF14D" w14:textId="77777777" w:rsidR="007C4598" w:rsidRDefault="00000000">
      <w:pPr>
        <w:jc w:val="both"/>
      </w:pPr>
      <w:r>
        <w:rPr>
          <w:i/>
          <w:iCs/>
        </w:rPr>
        <w:t xml:space="preserve">La rinegoziazione percorre, in questa tranche, i quattro domini conclusivi del perimetro integrale, che ne completano l’arco e che condividono una natura prevalentemente qualitativa o di sintesi. Il dominio sindacale reca un valore prevalentemente istituzionale, di cui si quantifica con prudenza la sola minima componente residua; i domini antropologico e sociale recano valori genuinamente non monetizzabili, riconosciuti nella loro dimensione qualitativa e dichiaratamente esclusi dall’aggregato monetario; il dominio finanziario non è un nuovo addendo, ma una lente di consolidamento, che ricompone gli effetti della riforma sui bilanci regionali senza duplicare il valore già attribuito. Per questi domini il criterio del trattamento, già adottato nella tranche precedente, raggiunge la sua forma più netta: si quantifica soltanto ciò che è genuinamente e </w:t>
      </w:r>
      <w:proofErr w:type="spellStart"/>
      <w:r>
        <w:rPr>
          <w:i/>
          <w:iCs/>
        </w:rPr>
        <w:t>residualmente</w:t>
      </w:r>
      <w:proofErr w:type="spellEnd"/>
      <w:r>
        <w:rPr>
          <w:i/>
          <w:iCs/>
        </w:rPr>
        <w:t xml:space="preserve"> monetizzabile, e si riconosce senza forzature ciò che è di natura istituzionale, comunitaria, relazionale o di sintesi, nella convinzione che attribuire una cifra a un valore non monetizzabile sarebbe non un atto di rigore, ma il suo contrario. Con questi quattro domini il perimetro integrale è interamente percorso, e la rinegoziazione è pronta per l’aggregazione conclusiva.</w:t>
      </w:r>
    </w:p>
    <w:p w14:paraId="4FDF0318" w14:textId="77777777" w:rsidR="007C4598" w:rsidRDefault="007C4598"/>
    <w:p w14:paraId="39868DAE" w14:textId="77777777" w:rsidR="007C4598" w:rsidRDefault="00000000">
      <w:pPr>
        <w:pStyle w:val="Titolo1"/>
        <w:pageBreakBefore/>
      </w:pPr>
      <w:r>
        <w:rPr>
          <w:sz w:val="22"/>
          <w:szCs w:val="22"/>
        </w:rPr>
        <w:t>9.13  Il dominio sindacale e della tutela dei lavoratori</w:t>
      </w:r>
    </w:p>
    <w:p w14:paraId="79F61D81" w14:textId="77777777" w:rsidR="007C4598" w:rsidRDefault="007C4598"/>
    <w:p w14:paraId="71D6E123" w14:textId="77777777" w:rsidR="007C4598" w:rsidRDefault="00000000">
      <w:pPr>
        <w:jc w:val="both"/>
      </w:pPr>
      <w:r>
        <w:rPr>
          <w:i/>
          <w:iCs/>
        </w:rPr>
        <w:t>Il tredicesimo dominio del perimetro integrale è il sindacale e della tutela dei lavoratori, e reca un valore prevalentemente istituzionale. Esso misura il contributo che la riforma offre al rafforzamento della tutela della salute mentale dei lavoratori come dimensione della rappresentanza e della protezione collettiva: il riconoscimento del rischio psicosociale tra i rischi da prevenire nei luoghi di lavoro, l’inclusione della salute mentale tra gli oggetti della contrattazione e della tutela collettiva, e il sostegno che la presenza di un primo livello psicologico accessibile offre all’azione di protezione dei lavoratori. La tutela della salute mentale dei lavoratori è, infatti, un terreno su cui la rappresentanza sindacale e i sistemi di protezione collettiva operano, e su cui la riforma incide rafforzando la disponibilità di cure prossime e la cultura della prevenzione del rischio psicosociale. Questo valore è in larga parte istituzionale e qualitativo, e la voce lo tratta secondo la sua natura, quantificando con prudenza la sola minima componente residua monetizzabile e riconoscendo la dimensione istituzionale, prevalente, senza monetizzarla.</w:t>
      </w:r>
    </w:p>
    <w:p w14:paraId="5B87DE8B" w14:textId="77777777" w:rsidR="007C4598" w:rsidRDefault="007C4598"/>
    <w:p w14:paraId="06716AD1" w14:textId="77777777" w:rsidR="007C4598" w:rsidRDefault="00000000">
      <w:pPr>
        <w:pStyle w:val="Titolo2"/>
        <w:spacing w:before="200" w:after="100"/>
      </w:pPr>
      <w:r>
        <w:rPr>
          <w:sz w:val="22"/>
          <w:szCs w:val="22"/>
        </w:rPr>
        <w:t>9.13.1  Il contesto e i meccanismi: la salute mentale come oggetto di tutela collettiva</w:t>
      </w:r>
    </w:p>
    <w:p w14:paraId="481B921E" w14:textId="77777777" w:rsidR="007C4598" w:rsidRDefault="007C4598"/>
    <w:p w14:paraId="64C15998" w14:textId="77777777" w:rsidR="007C4598" w:rsidRDefault="00000000">
      <w:pPr>
        <w:jc w:val="both"/>
      </w:pPr>
      <w:r>
        <w:t>La protezione dei lavoratori dai rischi connessi al lavoro comprende, accanto ai rischi fisici tradizionali, i rischi psicosociali, ossia i fattori organizzativi e relazionali del lavoro che possono incidere sulla salute mentale: lo stress lavoro-correlato, i carichi eccessivi, le relazioni conflittuali, l’insicurezza. Il riconoscimento del rischio psicosociale tra i rischi da prevenire nei luoghi di lavoro, sancito dalla normativa sulla sicurezza, ha posto la salute mentale dei lavoratori tra gli oggetti della tutela, e ne ha fatto un terreno su cui la rappresentanza sindacale e i sistemi di protezione collettiva operano, attraverso la valutazione del rischio, la contrattazione e la promozione di condizioni di lavoro favorevoli alla salute mentale. La tutela della salute mentale dei lavoratori è dunque una funzione della protezione collettiva, su cui la riforma incide indirettamente, rafforzando la disponibilità di cure prossime per i lavoratori e la cultura della prevenzione del rischio psicosociale.</w:t>
      </w:r>
    </w:p>
    <w:p w14:paraId="68970E1C" w14:textId="77777777" w:rsidR="007C4598" w:rsidRDefault="007C4598"/>
    <w:p w14:paraId="0605259C" w14:textId="77777777" w:rsidR="007C4598" w:rsidRDefault="00000000">
      <w:pPr>
        <w:jc w:val="both"/>
      </w:pPr>
      <w:r>
        <w:t>Il dominio sindacale opera attraverso due meccanismi, entrambi prevalentemente istituzionali. Il primo è il sostegno che la presenza di un primo livello psicologico accessibile offre alla tutela della salute mentale dei lavoratori: la disponibilità di cure prossime e accessibili rafforza la capacità dei sistemi di protezione collettiva di tutelare la salute mentale dei lavoratori, perché offre un riferimento di cura cui indirizzare i lavoratori in difficoltà e un sostegno all’azione di prevenzione del rischio psicosociale. Il secondo meccanismo è il contributo alla cultura della prevenzione del rischio psicosociale: la presenza diffusa del primo livello psicologico e la normalizzazione del ricorso alle cure accrescono la consapevolezza del rischio psicosociale e ne favoriscono la prevenzione nei luoghi di lavoro. Entrambi i meccanismi generano un valore prevalentemente istituzionale, perché si manifestano come rafforzamento della tutela e della cultura della prevenzione, beni di natura collettiva e istituzionale che non si lasciano agevolmente ridurre a una cifra; solo una minima componente residua, connessa al sostegno della prevenzione del rischio psicosociale, è prudenzialmente monetizzabile.</w:t>
      </w:r>
    </w:p>
    <w:p w14:paraId="0E80988F" w14:textId="77777777" w:rsidR="007C4598" w:rsidRDefault="007C4598"/>
    <w:p w14:paraId="766952FA" w14:textId="77777777" w:rsidR="007C4598" w:rsidRDefault="00000000">
      <w:pPr>
        <w:pStyle w:val="Titolo2"/>
        <w:spacing w:before="200" w:after="100"/>
      </w:pPr>
      <w:r>
        <w:rPr>
          <w:sz w:val="22"/>
          <w:szCs w:val="22"/>
        </w:rPr>
        <w:t>9.13.2  La quantificazione e i confini del dominio sindacale</w:t>
      </w:r>
    </w:p>
    <w:p w14:paraId="41A14764" w14:textId="77777777" w:rsidR="007C4598" w:rsidRDefault="007C4598"/>
    <w:p w14:paraId="633CA9DB" w14:textId="77777777" w:rsidR="007C4598" w:rsidRDefault="00000000">
      <w:pPr>
        <w:jc w:val="both"/>
      </w:pPr>
      <w:r>
        <w:t>La quantificazione del dominio sindacale si limita, coerentemente con la sua natura prevalentemente istituzionale, alla sola minima componente residua monetizzabile — il sostegno alla prevenzione del rischio psicosociale nella sua quota non altrimenti attribuita — e riconosce la dimensione istituzionale del rafforzamento della tutela collettiva senza monetizzarla. La tabella che segue distingue le dimensioni del dominio.</w:t>
      </w:r>
    </w:p>
    <w:p w14:paraId="294D314B"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07690F0A"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168D1F5" w14:textId="77777777" w:rsidR="007C4598" w:rsidRDefault="00000000">
            <w:pPr>
              <w:spacing w:after="40"/>
            </w:pPr>
            <w:r>
              <w:rPr>
                <w:b/>
                <w:bCs/>
                <w:color w:val="FFFFFF"/>
                <w:sz w:val="18"/>
                <w:szCs w:val="18"/>
              </w:rPr>
              <w:t>Dimensione del dominio sindacale</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D4B50F5" w14:textId="77777777" w:rsidR="007C4598" w:rsidRDefault="00000000">
            <w:pPr>
              <w:spacing w:after="40"/>
            </w:pPr>
            <w:r>
              <w:rPr>
                <w:b/>
                <w:bCs/>
                <w:color w:val="FFFFFF"/>
                <w:sz w:val="18"/>
                <w:szCs w:val="18"/>
              </w:rPr>
              <w:t>Natura della grandezza</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D6DC69B" w14:textId="77777777" w:rsidR="007C4598" w:rsidRDefault="00000000">
            <w:pPr>
              <w:spacing w:after="40"/>
            </w:pPr>
            <w:r>
              <w:rPr>
                <w:b/>
                <w:bCs/>
                <w:color w:val="FFFFFF"/>
                <w:sz w:val="18"/>
                <w:szCs w:val="18"/>
              </w:rPr>
              <w:t>Trattamento nella rinegoziazione</w:t>
            </w:r>
          </w:p>
        </w:tc>
      </w:tr>
      <w:tr w:rsidR="007C4598" w14:paraId="48BD0D30"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472A73B" w14:textId="77777777" w:rsidR="007C4598" w:rsidRDefault="00000000">
            <w:pPr>
              <w:spacing w:after="40"/>
            </w:pPr>
            <w:r>
              <w:t>Sostegno alla prevenzione del rischio psicosociale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D866FE8" w14:textId="77777777" w:rsidR="007C4598" w:rsidRDefault="00000000">
            <w:pPr>
              <w:spacing w:after="40"/>
            </w:pPr>
            <w:r>
              <w:t>contributo alla prevenzione del rischio psicosociale nei luoghi di lavoro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97FD938" w14:textId="77777777" w:rsidR="007C4598" w:rsidRDefault="00000000">
            <w:pPr>
              <w:spacing w:after="40"/>
            </w:pPr>
            <w:r>
              <w:t>minima componente residua monetizzabile, quantificata con prudenza</w:t>
            </w:r>
          </w:p>
        </w:tc>
      </w:tr>
      <w:tr w:rsidR="007C4598" w14:paraId="6885938C"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7AFCE18" w14:textId="77777777" w:rsidR="007C4598" w:rsidRDefault="00000000">
            <w:pPr>
              <w:spacing w:after="40"/>
            </w:pPr>
            <w:r>
              <w:t>Rafforzamento della tutela collettiva della salute mentale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E823886" w14:textId="77777777" w:rsidR="007C4598" w:rsidRDefault="00000000">
            <w:pPr>
              <w:spacing w:after="40"/>
            </w:pPr>
            <w:r>
              <w:t>bene istituzionale della tutela e della rappresentanza dei lavoratori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4BF434B" w14:textId="77777777" w:rsidR="007C4598" w:rsidRDefault="00000000">
            <w:pPr>
              <w:spacing w:after="40"/>
            </w:pPr>
            <w:r>
              <w:t>dimensione istituzionale, riconosciuta ma non monetizzata</w:t>
            </w:r>
          </w:p>
        </w:tc>
      </w:tr>
    </w:tbl>
    <w:p w14:paraId="677A5313" w14:textId="77777777" w:rsidR="007C4598" w:rsidRDefault="007C4598"/>
    <w:p w14:paraId="5AD1EB59" w14:textId="77777777" w:rsidR="007C4598" w:rsidRDefault="00000000">
      <w:pPr>
        <w:jc w:val="both"/>
      </w:pPr>
      <w:r>
        <w:rPr>
          <w:i/>
          <w:iCs/>
        </w:rPr>
        <w:t>Tabella 9.25 — Le dimensioni del dominio sindacale e il loro trattamento. Solo la componente del sostegno alla prevenzione del rischio psicosociale è quantificata, nella sua minima quota residua; il rafforzamento della tutela collettiva è riconosciuto nella sua dimensione istituzionale e non concorre all’aggregato monetario, pur contribuendo al valore complessivo della riforma.</w:t>
      </w:r>
    </w:p>
    <w:p w14:paraId="423EA14E" w14:textId="77777777" w:rsidR="007C4598" w:rsidRDefault="007C4598"/>
    <w:p w14:paraId="77BEFD5B" w14:textId="77777777" w:rsidR="007C4598" w:rsidRDefault="00000000">
      <w:pPr>
        <w:jc w:val="both"/>
      </w:pPr>
      <w:r>
        <w:t>La stima della sola minima componente residua monetizzabile del dominio sindacale è esposta, per ciascuno scenario, nella tabella che segue, con la consapevolezza che essa rappresenta una parte minima del valore del dominio, la cui dimensione maggiore è istituzionale.</w:t>
      </w:r>
    </w:p>
    <w:p w14:paraId="750A8BF5"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37FF1F0E"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0A8389B" w14:textId="77777777" w:rsidR="007C4598" w:rsidRDefault="00000000">
            <w:pPr>
              <w:spacing w:after="40"/>
            </w:pPr>
            <w:r>
              <w:rPr>
                <w:b/>
                <w:bCs/>
                <w:color w:val="FFFFFF"/>
                <w:sz w:val="18"/>
                <w:szCs w:val="18"/>
              </w:rPr>
              <w:t>Componente del beneficio sindacale (mln €/anno)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0905CDD" w14:textId="77777777" w:rsidR="007C4598" w:rsidRDefault="00000000">
            <w:pPr>
              <w:spacing w:after="40"/>
            </w:pPr>
            <w:r>
              <w:rPr>
                <w:b/>
                <w:bCs/>
                <w:color w:val="FFFFFF"/>
                <w:sz w:val="18"/>
                <w:szCs w:val="18"/>
              </w:rPr>
              <w:t>Conservativo (~450)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D4759DB" w14:textId="77777777" w:rsidR="007C4598" w:rsidRDefault="00000000">
            <w:pPr>
              <w:spacing w:after="40"/>
            </w:pPr>
            <w:r>
              <w:rPr>
                <w:b/>
                <w:bCs/>
                <w:color w:val="FFFFFF"/>
                <w:sz w:val="18"/>
                <w:szCs w:val="18"/>
              </w:rPr>
              <w:t>Intermedio (~700)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54F2304" w14:textId="77777777" w:rsidR="007C4598" w:rsidRDefault="00000000">
            <w:pPr>
              <w:spacing w:after="40"/>
            </w:pPr>
            <w:r>
              <w:rPr>
                <w:b/>
                <w:bCs/>
                <w:color w:val="FFFFFF"/>
                <w:sz w:val="18"/>
                <w:szCs w:val="18"/>
              </w:rPr>
              <w:t>Espansivo (~900)</w:t>
            </w:r>
          </w:p>
        </w:tc>
      </w:tr>
      <w:tr w:rsidR="007C4598" w14:paraId="75B3FC78"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1572451" w14:textId="77777777" w:rsidR="007C4598" w:rsidRDefault="00000000">
            <w:pPr>
              <w:spacing w:after="40"/>
            </w:pPr>
            <w:r>
              <w:t>Sostegno alla prevenzione del rischio psicosociale (residuo monetizzato)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719152A" w14:textId="77777777" w:rsidR="007C4598" w:rsidRDefault="00000000">
            <w:pPr>
              <w:spacing w:after="40"/>
            </w:pPr>
            <w:r>
              <w:t>~1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84DA8A7" w14:textId="77777777" w:rsidR="007C4598" w:rsidRDefault="00000000">
            <w:pPr>
              <w:spacing w:after="40"/>
            </w:pPr>
            <w:r>
              <w:t>~1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64BD195" w14:textId="77777777" w:rsidR="007C4598" w:rsidRDefault="00000000">
            <w:pPr>
              <w:spacing w:after="40"/>
            </w:pPr>
            <w:r>
              <w:t>~2</w:t>
            </w:r>
          </w:p>
        </w:tc>
      </w:tr>
      <w:tr w:rsidR="007C4598" w14:paraId="4E2EFDF4"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4E98267" w14:textId="77777777" w:rsidR="007C4598" w:rsidRDefault="00000000">
            <w:pPr>
              <w:spacing w:after="40"/>
            </w:pPr>
            <w:r>
              <w:t>Rafforzamento della tutela collettiva della salute mentale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D3C782B" w14:textId="77777777" w:rsidR="007C4598" w:rsidRDefault="00000000">
            <w:pPr>
              <w:spacing w:after="40"/>
            </w:pPr>
            <w:r>
              <w:t>istituzionale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3DADFC9" w14:textId="77777777" w:rsidR="007C4598" w:rsidRDefault="00000000">
            <w:pPr>
              <w:spacing w:after="40"/>
            </w:pPr>
            <w:r>
              <w:t>istituzionale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EC81DE1" w14:textId="77777777" w:rsidR="007C4598" w:rsidRDefault="00000000">
            <w:pPr>
              <w:spacing w:after="40"/>
            </w:pPr>
            <w:r>
              <w:t>istituzionale</w:t>
            </w:r>
          </w:p>
        </w:tc>
      </w:tr>
      <w:tr w:rsidR="007C4598" w14:paraId="60C2D3A6"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BD162D6" w14:textId="77777777" w:rsidR="007C4598" w:rsidRDefault="00000000">
            <w:pPr>
              <w:spacing w:after="40"/>
            </w:pPr>
            <w:r>
              <w:t>Beneficio sindacale monetizzato del dominio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AC9ACD8" w14:textId="77777777" w:rsidR="007C4598" w:rsidRDefault="00000000">
            <w:pPr>
              <w:spacing w:after="40"/>
            </w:pPr>
            <w:r>
              <w:t>~1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5F8B31D" w14:textId="77777777" w:rsidR="007C4598" w:rsidRDefault="00000000">
            <w:pPr>
              <w:spacing w:after="40"/>
            </w:pPr>
            <w:r>
              <w:t>~1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0FC0E72" w14:textId="77777777" w:rsidR="007C4598" w:rsidRDefault="00000000">
            <w:pPr>
              <w:spacing w:after="40"/>
            </w:pPr>
            <w:r>
              <w:t>~2</w:t>
            </w:r>
          </w:p>
        </w:tc>
      </w:tr>
    </w:tbl>
    <w:p w14:paraId="2D3E75E7" w14:textId="77777777" w:rsidR="007C4598" w:rsidRDefault="007C4598"/>
    <w:p w14:paraId="503DE1C1" w14:textId="77777777" w:rsidR="007C4598" w:rsidRDefault="00000000">
      <w:pPr>
        <w:jc w:val="both"/>
      </w:pPr>
      <w:r>
        <w:rPr>
          <w:i/>
          <w:iCs/>
        </w:rPr>
        <w:t>Tabella 9.26 — Stima prudenziale della sola minima componente residua monetizzabile del dominio sindacale per scenario. La componente del rafforzamento della tutela collettiva è istituzionale e non monetizzata; il beneficio monetizzato, minimo, coincide con la sola quota residua del sostegno alla prevenzione del rischio psicosociale, distinta dal dominio lavorativo e industriale.</w:t>
      </w:r>
    </w:p>
    <w:p w14:paraId="710A83D9" w14:textId="77777777" w:rsidR="007C4598" w:rsidRDefault="007C4598"/>
    <w:p w14:paraId="3B711AC3" w14:textId="77777777" w:rsidR="007C4598" w:rsidRDefault="00000000">
      <w:pPr>
        <w:jc w:val="both"/>
      </w:pPr>
      <w:r>
        <w:t xml:space="preserve">Il beneficio sindacale monetizzato è dunque stimato in un ordine di grandezza compreso tra circa un milione di euro l’anno nello scenario conservativo e circa due milioni nello scenario espansivo, con un valore intermedio dell’ordine di un milione. La </w:t>
      </w:r>
      <w:proofErr w:type="spellStart"/>
      <w:r>
        <w:t>minimità</w:t>
      </w:r>
      <w:proofErr w:type="spellEnd"/>
      <w:r>
        <w:t xml:space="preserve"> della cifra monetizzata riflette la natura prevalentemente istituzionale del dominio: il valore del rafforzamento della tutela della salute mentale dei lavoratori e della cultura della prevenzione del rischio psicosociale è reale, ma si manifesta come bene istituzionale — una protezione collettiva più capace di tutelare la salute mentale — che eccede la sua traduzione monetaria. La cifra monetizzata coglie soltanto la minima quota residua del sostegno alla prevenzione non altrimenti attribuita, distinta dai benefici lavorativo e industriale già colti; la dimensione maggiore del dominio, il rafforzamento della tutela collettiva, è riconosciuta istituzionalmente e contribuisce al valore complessivo della riforma senza alimentare l’aggregato monetario.</w:t>
      </w:r>
      <w:r>
        <w:rPr>
          <w:color w:val="555555"/>
          <w:sz w:val="16"/>
          <w:szCs w:val="16"/>
          <w:vertAlign w:val="superscript"/>
        </w:rPr>
        <w:t>[35]</w:t>
      </w:r>
      <w:r>
        <w:t xml:space="preserve"> Il dominio sindacale, in questo senso, riconosce il contributo della riforma a una dimensione istituzionale della protezione dei lavoratori, il cui valore è reale ancorché prevalentemente non monetizzabile.</w:t>
      </w:r>
    </w:p>
    <w:p w14:paraId="7D1C7923"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7DFD13EC"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8602CCC" w14:textId="77777777" w:rsidR="007C4598" w:rsidRDefault="00000000">
            <w:pPr>
              <w:spacing w:after="40"/>
            </w:pPr>
            <w:r>
              <w:rPr>
                <w:b/>
                <w:bCs/>
                <w:color w:val="FFFFFF"/>
                <w:sz w:val="18"/>
                <w:szCs w:val="18"/>
              </w:rPr>
              <w:t xml:space="preserve">◆ SEGNAPOSTO INFOGRAFICA — FIG. 9.M · DA INSERIRE A POSTERIORI Titolo previsto: Il dominio sindacale: la tutela della salute mentale come dimensione istituzionale CODICE CANVA-FRIENDLY (scheda di generazione) Tipo di grafico: diagramma misto che affianca una minima barra della componente monetizzata residua (sostegno alla prevenzione del rischio psicosociale) a un’area istituzionale, non quantificata, che rappresenta il rafforzamento della tutela collettiva, a illustrare la prevalenza della dimensione istituzionale. Lettura: a sinistra, una barra minima per scenario (1, 1 e 2 milioni) rappresenta la sola componente monetizzata; a destra, un’area istituzionale, priva di scala numerica, rappresenta il rafforzamento della tutela collettiva e della cultura della prevenzione, esplicitamente non monetizzato. Palette: componente monetizzata in blu </w:t>
            </w:r>
            <w:proofErr w:type="spellStart"/>
            <w:r>
              <w:rPr>
                <w:b/>
                <w:bCs/>
                <w:color w:val="FFFFFF"/>
                <w:sz w:val="18"/>
                <w:szCs w:val="18"/>
              </w:rPr>
              <w:t>navy</w:t>
            </w:r>
            <w:proofErr w:type="spellEnd"/>
            <w:r>
              <w:rPr>
                <w:b/>
                <w:bCs/>
                <w:color w:val="FFFFFF"/>
                <w:sz w:val="18"/>
                <w:szCs w:val="18"/>
              </w:rPr>
              <w:t xml:space="preserve"> #16264B con etichetta oro #C49A48; area istituzionale in crema #F3EAD6 con bordo blu medio #244272 e dicitura «dimensione istituzionale, non monetizzata».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etichette degli scenari Medium, dicitura sulla dimensione istituzionale Regular corsivo.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Valori da rappresentare: componente monetizzata: Conservativo ~1; Intermedio ~1; Espansivo ~2. Area istituzionale: nessun valore numerico, rappresentazione simbolica del rafforzamento della tutela collettiva. Variante 3D (consigliata): la barra monetizzata minima a rilievo; l’area istituzionale resa come campo strutturato e stabile, a evocare la natura collettiva e durevole del bene istituzionale. Fonte (piè di figura): Elaborazione dello studio; solo il sostegno alla prevenzione del rischio psicosociale è monetizzato, nella sua minima quota residua; la tutela collettiva è riconosciuta come dimensione istituzionale. La figura deve rendere evidente che il dominio sindacale reca un valore prevalentemente istituzionale, e che la componente monetizzata, minima, coglie soltanto il sostegno residuo alla prevenzione del rischio psicosociale, mentre il rafforzamento della tutela collettiva è riconosciuto ma non ridotto a cifra.</w:t>
            </w:r>
          </w:p>
          <w:p w14:paraId="2CA37C55" w14:textId="77777777" w:rsidR="007C4598" w:rsidRDefault="00000000">
            <w:pPr>
              <w:spacing w:before="120" w:after="60"/>
              <w:jc w:val="center"/>
            </w:pPr>
            <w:r>
              <w:rPr>
                <w:noProof/>
              </w:rPr>
              <w:drawing>
                <wp:inline distT="0" distB="0" distL="0" distR="0" wp14:anchorId="306A6F13" wp14:editId="7E3404EA">
                  <wp:extent cx="8229600" cy="4629150"/>
                  <wp:effectExtent l="0" t="0" r="0" b="0"/>
                  <wp:docPr id="152" name="Infografica52" descr="Il dominio sindacale: dimensione istituzion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nfografica52"/>
                          <pic:cNvPicPr>
                            <a:picLocks noChangeAspect="1" noChangeArrowheads="1"/>
                          </pic:cNvPicPr>
                        </pic:nvPicPr>
                        <pic:blipFill>
                          <a:blip r:embed="rId93">
                            <a:extLst>
                              <a:ext uri="{96DAC541-7B7A-43D3-8B79-37D633B846F1}">
                                <asvg:svgBlip xmlns:asvg="http://schemas.microsoft.com/office/drawing/2016/SVG/main" r:embed="rId94"/>
                              </a:ext>
                            </a:extLst>
                          </a:blip>
                          <a:stretch>
                            <a:fillRect/>
                          </a:stretch>
                        </pic:blipFill>
                        <pic:spPr bwMode="auto">
                          <a:xfrm>
                            <a:off x="0" y="0"/>
                            <a:ext cx="8229600" cy="4629150"/>
                          </a:xfrm>
                          <a:prstGeom prst="rect">
                            <a:avLst/>
                          </a:prstGeom>
                          <a:noFill/>
                          <a:ln>
                            <a:noFill/>
                          </a:ln>
                        </pic:spPr>
                      </pic:pic>
                    </a:graphicData>
                  </a:graphic>
                </wp:inline>
              </w:drawing>
            </w:r>
          </w:p>
          <w:p w14:paraId="16E583C6" w14:textId="77777777" w:rsidR="007C4598" w:rsidRDefault="00000000">
            <w:pPr>
              <w:spacing w:before="40" w:after="200"/>
              <w:jc w:val="center"/>
            </w:pPr>
            <w:r>
              <w:rPr>
                <w:i/>
                <w:color w:val="2E5A8F"/>
                <w:sz w:val="16"/>
                <w:szCs w:val="16"/>
              </w:rPr>
              <w:t>Fig. 9.M — Il dominio sindacale: dimensione istituzionale. Elaborazione dello studio · Luigi De Michele · Giugno 2026.</w:t>
            </w:r>
          </w:p>
        </w:tc>
      </w:tr>
    </w:tbl>
    <w:p w14:paraId="70F2527F" w14:textId="77777777" w:rsidR="007C4598" w:rsidRDefault="007C4598"/>
    <w:p w14:paraId="1B53C574" w14:textId="77777777" w:rsidR="007C4598" w:rsidRDefault="00000000">
      <w:pPr>
        <w:jc w:val="both"/>
      </w:pPr>
      <w:r>
        <w:t>I confini del dominio sindacale ne ribadiscono la natura. Il beneficio sindacale monetizzato è una grandezza indiretta residua minima, non sommata ai risparmi diretti, e coglie la sola quota del sostegno alla prevenzione del rischio psicosociale non già attribuita ai domini lavorativo e industriale; la dimensione istituzionale del rafforzamento della tutela collettiva è esplicitamente esclusa dall’aggregato monetario e riconosciuta qualitativamente.</w:t>
      </w:r>
      <w:r>
        <w:rPr>
          <w:color w:val="555555"/>
          <w:sz w:val="16"/>
          <w:szCs w:val="16"/>
          <w:vertAlign w:val="superscript"/>
        </w:rPr>
        <w:t>[36]</w:t>
      </w:r>
      <w:r>
        <w:t xml:space="preserve"> La verifica documentale, prevista nella fase di consolidamento, mirerà a documentare il contributo della riforma alla prevenzione del rischio psicosociale e alla tutela della salute mentale dei lavoratori, riconoscendone la natura prevalentemente istituzionale. Stabilito il valore, prevalentemente istituzionale, del dominio sindacale, la rinegoziazione può ora muovere verso i due domini genuinamente non monetizzabili, l’antropologico e il sociale, il cui valore, pur reale e profondo, va riconosciuto senza alcuna pretesa di quantificazione monetaria.</w:t>
      </w:r>
    </w:p>
    <w:p w14:paraId="77CABB98" w14:textId="77777777" w:rsidR="007C4598" w:rsidRDefault="007C4598"/>
    <w:p w14:paraId="378BA8DC" w14:textId="77777777" w:rsidR="007C4598" w:rsidRDefault="00000000">
      <w:pPr>
        <w:pStyle w:val="Titolo1"/>
        <w:pageBreakBefore/>
      </w:pPr>
      <w:r>
        <w:rPr>
          <w:sz w:val="22"/>
          <w:szCs w:val="22"/>
        </w:rPr>
        <w:t>9.14  Il dominio antropologico e del benessere delle comunità</w:t>
      </w:r>
    </w:p>
    <w:p w14:paraId="03D9D651" w14:textId="77777777" w:rsidR="007C4598" w:rsidRDefault="007C4598"/>
    <w:p w14:paraId="56FFA576" w14:textId="77777777" w:rsidR="007C4598" w:rsidRDefault="00000000">
      <w:pPr>
        <w:jc w:val="both"/>
      </w:pPr>
      <w:r>
        <w:rPr>
          <w:i/>
          <w:iCs/>
        </w:rPr>
        <w:t>Il quattordicesimo dominio del perimetro integrale è l’antropologico e del benessere delle comunità, ed è il primo dei due domini che la rinegoziazione tratta come genuinamente non monetizzabili. Esso riguarda il valore che la riforma genera sul piano del benessere delle comunità e del modo in cui esse vivono, comprendono e affrontano il disagio: la trasformazione del rapporto delle comunità con la sofferenza psichica, l’accrescimento della loro capacità di accoglienza e di cura informale, e il benessere collettivo che deriva da una comunità più capace di prendersi cura dei propri membri in difficoltà. Questo valore è di natura profonda e reale, ma genuinamente irriducibile alla misura monetaria, perché riguarda il modo in cui una comunità vive e dà senso alla sofferenza e alla cura, dimensione che nessuna cifra può cogliere senza tradirne la natura. La rinegoziazione tratta dunque questo dominio riconoscendone il valore nella sua dimensione qualitativa e antropologica, e dichiarando esplicitamente che esso non concorre all’aggregato monetario, non per difetto di rilevanza, ma per la natura del suo valore.</w:t>
      </w:r>
    </w:p>
    <w:p w14:paraId="287B7703" w14:textId="77777777" w:rsidR="007C4598" w:rsidRDefault="007C4598"/>
    <w:p w14:paraId="23916B15" w14:textId="77777777" w:rsidR="007C4598" w:rsidRDefault="00000000">
      <w:pPr>
        <w:pStyle w:val="Titolo2"/>
        <w:spacing w:before="200" w:after="100"/>
      </w:pPr>
      <w:r>
        <w:rPr>
          <w:sz w:val="22"/>
          <w:szCs w:val="22"/>
        </w:rPr>
        <w:t>9.14.1  Il contesto e le dimensioni: il rapporto delle comunità con il disagio</w:t>
      </w:r>
    </w:p>
    <w:p w14:paraId="1CC5D8ED" w14:textId="77777777" w:rsidR="007C4598" w:rsidRDefault="007C4598"/>
    <w:p w14:paraId="6D1FBCD5" w14:textId="77777777" w:rsidR="007C4598" w:rsidRDefault="00000000">
      <w:pPr>
        <w:jc w:val="both"/>
      </w:pPr>
      <w:r>
        <w:t>Il modo in cui una comunità vive, comprende e affronta il disagio psichico dei propri membri è una dimensione profonda della sua cultura e del suo benessere collettivo. Una comunità può vivere il disagio dei propri membri come una vergogna da nascondere, una colpa da espellere o una minaccia da temere, e in tal caso la sofferenza psichica si accompagna all’isolamento, all’abbandono e all’esclusione di chi ne è colpito; oppure può viverlo come una condizione umana da accogliere e da curare, e in tal caso la sofferenza psichica trova nella comunità accoglienza, sostegno e cura informale. Il rapporto della comunità con il disagio non è dunque un fatto privato, ma una dimensione collettiva che condiziona profondamente l’esperienza di chi soffre e il benessere dell’intera comunità. La presenza diffusa e prossima del primo livello psicologico, normalizzando il disagio e la cura, incide su questo rapporto, contribuendo a trasformare il modo in cui la comunità vive e affronta la sofferenza psichica dei propri membri.</w:t>
      </w:r>
    </w:p>
    <w:p w14:paraId="759C352E" w14:textId="77777777" w:rsidR="007C4598" w:rsidRDefault="007C4598"/>
    <w:p w14:paraId="04B12505" w14:textId="77777777" w:rsidR="007C4598" w:rsidRDefault="00000000">
      <w:pPr>
        <w:jc w:val="both"/>
      </w:pPr>
      <w:r>
        <w:t>Il dominio antropologico riguarda dunque due dimensioni profonde del benessere delle comunità. La prima è la trasformazione del rapporto della comunità con la sofferenza psichica: il passaggio da una cultura dell’esclusione e della vergogna a una cultura dell’accoglienza e della cura, che la normalizzazione del ricorso al primo livello psicologico contribuisce a promuovere. La seconda è l’accrescimento della capacità di cura informale e di accoglienza della comunità: una comunità che vive il disagio come condizione da accogliere sviluppa una maggiore capacità di prendersi cura dei propri membri in difficoltà, di sostenerli e di non escluderli, con un benessere collettivo che ne deriva. Entrambe queste dimensioni recano un valore profondo e reale per il benessere delle comunità, ma genuinamente irriducibile alla misura monetaria, perché riguardano il modo in cui una comunità vive e dà senso all’esperienza della sofferenza e della cura, dimensione che eccede ogni quantificazione economica.</w:t>
      </w:r>
    </w:p>
    <w:p w14:paraId="1AE5D54F" w14:textId="77777777" w:rsidR="007C4598" w:rsidRDefault="007C4598"/>
    <w:p w14:paraId="7E34FCC8" w14:textId="77777777" w:rsidR="007C4598" w:rsidRDefault="00000000">
      <w:pPr>
        <w:pStyle w:val="Titolo2"/>
        <w:spacing w:before="200" w:after="100"/>
      </w:pPr>
      <w:r>
        <w:rPr>
          <w:sz w:val="22"/>
          <w:szCs w:val="22"/>
        </w:rPr>
        <w:t>9.14.2  Il riconoscimento non monetizzato e i confini del dominio antropologico</w:t>
      </w:r>
    </w:p>
    <w:p w14:paraId="51D270A1" w14:textId="77777777" w:rsidR="007C4598" w:rsidRDefault="007C4598"/>
    <w:p w14:paraId="1137A097" w14:textId="77777777" w:rsidR="007C4598" w:rsidRDefault="00000000">
      <w:pPr>
        <w:jc w:val="both"/>
      </w:pPr>
      <w:r>
        <w:t>La rinegoziazione tratta il dominio antropologico riconoscendone il valore nella sua dimensione qualitativa e antropologica, e dichiarando esplicitamente che esso non concorre all’aggregato monetario. Questa scelta non discende da un difetto di rilevanza del dominio — il cui valore è anzi tra i più profondi della riforma — ma dalla natura del suo valore, che è genuinamente non monetizzabile. Attribuire una cifra al modo in cui una comunità vive e affronta la sofferenza psichica significherebbe tradire la natura di questo valore, riducendo a grandezza economica una dimensione che è di senso, di cultura e di benessere collettivo. La rinegoziazione, fedele al criterio che governa i domini qualitativi, preferisce riconoscere il valore del dominio antropologico nella sua dimensione propria, e dichiararne l’esclusione dall’aggregato monetario, piuttosto che attribuirgli una cifra che ne falserebbe la natura. La tabella che segue riconosce le dimensioni del dominio e ne dichiara il trattamento non monetizzato.</w:t>
      </w:r>
    </w:p>
    <w:p w14:paraId="1E187B01"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04245AF0"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C33870B" w14:textId="77777777" w:rsidR="007C4598" w:rsidRDefault="00000000">
            <w:pPr>
              <w:spacing w:after="40"/>
            </w:pPr>
            <w:r>
              <w:rPr>
                <w:b/>
                <w:bCs/>
                <w:color w:val="FFFFFF"/>
                <w:sz w:val="18"/>
                <w:szCs w:val="18"/>
              </w:rPr>
              <w:t>Dimensione del dominio antropologico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FD074E1" w14:textId="77777777" w:rsidR="007C4598" w:rsidRDefault="00000000">
            <w:pPr>
              <w:spacing w:after="40"/>
            </w:pPr>
            <w:r>
              <w:rPr>
                <w:b/>
                <w:bCs/>
                <w:color w:val="FFFFFF"/>
                <w:sz w:val="18"/>
                <w:szCs w:val="18"/>
              </w:rPr>
              <w:t>Natura del valore</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B20CB4F" w14:textId="77777777" w:rsidR="007C4598" w:rsidRDefault="00000000">
            <w:pPr>
              <w:spacing w:after="40"/>
            </w:pPr>
            <w:r>
              <w:rPr>
                <w:b/>
                <w:bCs/>
                <w:color w:val="FFFFFF"/>
                <w:sz w:val="18"/>
                <w:szCs w:val="18"/>
              </w:rPr>
              <w:t>Trattamento nella rinegoziazione</w:t>
            </w:r>
          </w:p>
        </w:tc>
      </w:tr>
      <w:tr w:rsidR="007C4598" w14:paraId="326CA0E4"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1C15660" w14:textId="77777777" w:rsidR="007C4598" w:rsidRDefault="00000000">
            <w:pPr>
              <w:spacing w:after="40"/>
            </w:pPr>
            <w:r>
              <w:t>Trasformazione del rapporto della comunità con la sofferenza psichica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11B424A" w14:textId="77777777" w:rsidR="007C4598" w:rsidRDefault="00000000">
            <w:pPr>
              <w:spacing w:after="40"/>
            </w:pPr>
            <w:r>
              <w:t>passaggio da una cultura dell’esclusione a una dell’accoglienza e della cura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DCB118A" w14:textId="77777777" w:rsidR="007C4598" w:rsidRDefault="00000000">
            <w:pPr>
              <w:spacing w:after="40"/>
            </w:pPr>
            <w:r>
              <w:t>valore qualitativo e antropologico, non monetizzato, riconosciuto come tale</w:t>
            </w:r>
          </w:p>
        </w:tc>
      </w:tr>
      <w:tr w:rsidR="007C4598" w14:paraId="0B22C618"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C6528CB" w14:textId="77777777" w:rsidR="007C4598" w:rsidRDefault="00000000">
            <w:pPr>
              <w:spacing w:after="40"/>
            </w:pPr>
            <w:r>
              <w:t>Accrescimento della capacità di cura informale e di accoglienza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FDA9EAF" w14:textId="77777777" w:rsidR="007C4598" w:rsidRDefault="00000000">
            <w:pPr>
              <w:spacing w:after="40"/>
            </w:pPr>
            <w:r>
              <w:t>benessere collettivo della comunità più capace di prendersi cura dei propri membri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1065620" w14:textId="77777777" w:rsidR="007C4598" w:rsidRDefault="00000000">
            <w:pPr>
              <w:spacing w:after="40"/>
            </w:pPr>
            <w:r>
              <w:t>valore qualitativo e antropologico, non monetizzato, riconosciuto come tale</w:t>
            </w:r>
          </w:p>
        </w:tc>
      </w:tr>
    </w:tbl>
    <w:p w14:paraId="50165099" w14:textId="77777777" w:rsidR="007C4598" w:rsidRDefault="007C4598"/>
    <w:p w14:paraId="031EDB2C" w14:textId="77777777" w:rsidR="007C4598" w:rsidRDefault="00000000">
      <w:pPr>
        <w:jc w:val="both"/>
      </w:pPr>
      <w:r>
        <w:rPr>
          <w:i/>
          <w:iCs/>
        </w:rPr>
        <w:t>Tabella 9.27 — Le dimensioni del dominio antropologico e il loro trattamento non monetizzato. Entrambe le dimensioni recano un valore profondo per il benessere delle comunità, genuinamente irriducibile alla misura monetaria; esse sono riconosciute nella loro dimensione qualitativa e antropologica e dichiaratamente escluse dall’aggregato monetario, non per difetto di rilevanza, ma per la natura del loro valore.</w:t>
      </w:r>
    </w:p>
    <w:p w14:paraId="51CAD570" w14:textId="77777777" w:rsidR="007C4598" w:rsidRDefault="007C4598"/>
    <w:p w14:paraId="6D6B1B34" w14:textId="77777777" w:rsidR="007C4598" w:rsidRDefault="00000000">
      <w:pPr>
        <w:jc w:val="both"/>
      </w:pPr>
      <w:r>
        <w:t>Il dominio antropologico non contribuisce, dunque, all’aggregato monetario della parte, e il suo valore è riconosciuto esclusivamente nella sua dimensione qualitativa e antropologica. Questa scelta merita di essere dichiarata e difesa, perché essa non indica la marginalità del dominio, ma al contrario il rispetto per la natura profonda del suo valore. Il modo in cui le comunità pugliesi vivono, comprendono e affrontano la sofferenza psichica dei propri membri è una dimensione fondamentale del benessere collettivo della regione, e la trasformazione di questo rapporto — dalla vergogna e dall’esclusione verso l’accoglienza e la cura — è uno dei valori più profondi che la riforma può promuovere. Ma proprio perché questo valore è profondo e di senso, esso non si lascia ridurre a una cifra senza tradirne la natura; e la rinegoziazione, riconoscendolo nella sua dimensione propria e dichiarandone l’esclusione dall’aggregato monetario, gli rende un omaggio più fedele di quanto farebbe attribuendogli un numero. La presenza di domini non monetizzati nel perimetro integrale non è, dunque, una lacuna, ma una scelta di rigore e di rispetto per la pluralità dei valori che la riforma genera.</w:t>
      </w:r>
      <w:r>
        <w:rPr>
          <w:color w:val="555555"/>
          <w:sz w:val="16"/>
          <w:szCs w:val="16"/>
          <w:vertAlign w:val="superscript"/>
        </w:rPr>
        <w:t>[37]</w:t>
      </w:r>
    </w:p>
    <w:p w14:paraId="40FF91DA"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413089E8"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78B2AB1" w14:textId="77777777" w:rsidR="007C4598" w:rsidRDefault="00000000">
            <w:pPr>
              <w:spacing w:after="40"/>
            </w:pPr>
            <w:r>
              <w:rPr>
                <w:b/>
                <w:bCs/>
                <w:color w:val="FFFFFF"/>
                <w:sz w:val="18"/>
                <w:szCs w:val="18"/>
              </w:rPr>
              <w:t xml:space="preserve">◆ SEGNAPOSTO INFOGRAFICA — FIG. 9.N · DA INSERIRE A POSTERIORI Titolo previsto: Il dominio antropologico: il benessere delle comunità, valore non monetizzato CODICE CANVA-FRIENDLY (scheda di generazione) Tipo di grafico: rappresentazione qualitativa e simbolica, priva di scala numerica, del rapporto della comunità con la sofferenza psichica e della sua trasformazione, a illustrare un valore profondo e non monetizzabile. Lettura: una rappresentazione simbolica e non quantitativa che evoca il passaggio da una cultura dell’esclusione a una dell’accoglienza e della cura, con dicitura esplicita che il dominio reca un valore profondo, non monetizzato, riconosciuto nella sua dimensione qualitativa e antropologica. Palette: rappresentazione in blu </w:t>
            </w:r>
            <w:proofErr w:type="spellStart"/>
            <w:r>
              <w:rPr>
                <w:b/>
                <w:bCs/>
                <w:color w:val="FFFFFF"/>
                <w:sz w:val="18"/>
                <w:szCs w:val="18"/>
              </w:rPr>
              <w:t>navy</w:t>
            </w:r>
            <w:proofErr w:type="spellEnd"/>
            <w:r>
              <w:rPr>
                <w:b/>
                <w:bCs/>
                <w:color w:val="FFFFFF"/>
                <w:sz w:val="18"/>
                <w:szCs w:val="18"/>
              </w:rPr>
              <w:t xml:space="preserve"> #16264B e blu medio #244272 su sfondo crema; dicitura «valore profondo, non monetizzato, riconosciuto qualitativamente» in oro #C49A48.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dicitura sulla natura non monetizzata Medium corsivo (in evidenza).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Valori da rappresentare: nessun valore numerico; il dominio è esplicitamente non monetizzato e riconosciuto nella sola dimensione qualitativa e antropologica. Variante 3D (consigliata): rappresentazione simbolica a rilievo del benessere collettivo della comunità, deliberatamente priva di assi e di scale numeriche, a rendere visivamente la natura non quantificabile del valore. Fonte (piè di figura): Elaborazione dello studio; il dominio antropologico è riconosciuto nella sua dimensione qualitativa e non concorre all’aggregato monetario, per la natura del suo valore. La figura deve rendere evidente che il dominio antropologico reca un valore profondo e reale per il benessere delle comunità, ma genuinamente non monetizzabile, e che la sua esclusione dall’aggregato monetario è una scelta di rigore e di rispetto per la natura del valore, non un segno di marginalità.</w:t>
            </w:r>
          </w:p>
          <w:p w14:paraId="20F1A19E" w14:textId="77777777" w:rsidR="007C4598" w:rsidRDefault="00000000">
            <w:pPr>
              <w:spacing w:before="120" w:after="60"/>
              <w:jc w:val="center"/>
            </w:pPr>
            <w:r>
              <w:rPr>
                <w:noProof/>
              </w:rPr>
              <w:drawing>
                <wp:inline distT="0" distB="0" distL="0" distR="0" wp14:anchorId="2CAD7D1F" wp14:editId="16A5C856">
                  <wp:extent cx="8229600" cy="4629150"/>
                  <wp:effectExtent l="0" t="0" r="0" b="0"/>
                  <wp:docPr id="153" name="Infografica53" descr="Il dominio antropologico: valore non monetizz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nfografica53"/>
                          <pic:cNvPicPr>
                            <a:picLocks noChangeAspect="1" noChangeArrowheads="1"/>
                          </pic:cNvPicPr>
                        </pic:nvPicPr>
                        <pic:blipFill>
                          <a:blip r:embed="rId95">
                            <a:extLst>
                              <a:ext uri="{96DAC541-7B7A-43D3-8B79-37D633B846F1}">
                                <asvg:svgBlip xmlns:asvg="http://schemas.microsoft.com/office/drawing/2016/SVG/main" r:embed="rId96"/>
                              </a:ext>
                            </a:extLst>
                          </a:blip>
                          <a:stretch>
                            <a:fillRect/>
                          </a:stretch>
                        </pic:blipFill>
                        <pic:spPr bwMode="auto">
                          <a:xfrm>
                            <a:off x="0" y="0"/>
                            <a:ext cx="8229600" cy="4629150"/>
                          </a:xfrm>
                          <a:prstGeom prst="rect">
                            <a:avLst/>
                          </a:prstGeom>
                          <a:noFill/>
                          <a:ln>
                            <a:noFill/>
                          </a:ln>
                        </pic:spPr>
                      </pic:pic>
                    </a:graphicData>
                  </a:graphic>
                </wp:inline>
              </w:drawing>
            </w:r>
          </w:p>
          <w:p w14:paraId="70D1F1A7" w14:textId="77777777" w:rsidR="007C4598" w:rsidRDefault="00000000">
            <w:pPr>
              <w:spacing w:before="40" w:after="200"/>
              <w:jc w:val="center"/>
            </w:pPr>
            <w:r>
              <w:rPr>
                <w:i/>
                <w:color w:val="2E5A8F"/>
                <w:sz w:val="16"/>
                <w:szCs w:val="16"/>
              </w:rPr>
              <w:t>Fig. 9.N — Il dominio antropologico: valore non monetizzato. Elaborazione dello studio · Luigi De Michele · Giugno 2026.</w:t>
            </w:r>
          </w:p>
        </w:tc>
      </w:tr>
    </w:tbl>
    <w:p w14:paraId="7E2754E1" w14:textId="77777777" w:rsidR="007C4598" w:rsidRDefault="007C4598"/>
    <w:p w14:paraId="45F04681" w14:textId="77777777" w:rsidR="007C4598" w:rsidRDefault="00000000">
      <w:pPr>
        <w:pStyle w:val="Titolo1"/>
        <w:pageBreakBefore/>
      </w:pPr>
      <w:r>
        <w:rPr>
          <w:sz w:val="22"/>
          <w:szCs w:val="22"/>
        </w:rPr>
        <w:t>9.15  Il dominio sociale e del capitale sociale</w:t>
      </w:r>
    </w:p>
    <w:p w14:paraId="2DCDABFD" w14:textId="77777777" w:rsidR="007C4598" w:rsidRDefault="007C4598"/>
    <w:p w14:paraId="464BDCAE" w14:textId="77777777" w:rsidR="007C4598" w:rsidRDefault="00000000">
      <w:pPr>
        <w:jc w:val="both"/>
      </w:pPr>
      <w:r>
        <w:rPr>
          <w:i/>
          <w:iCs/>
        </w:rPr>
        <w:t>Il quindicesimo dominio del perimetro integrale è il sociale e del capitale sociale, ed è il secondo dei due domini che la rinegoziazione tratta come genuinamente non monetizzabili. Esso riguarda il valore che la riforma genera sul piano del capitale sociale, ossia di quel patrimonio immateriale di fiducia, reti di relazioni, partecipazione e coesione che costituisce la trama delle comunità e che condiziona il loro benessere e la loro capacità di affrontare le difficoltà. Il disagio psichico non intercettato erode il capitale sociale, perché l’isolamento, l’esclusione e la sofferenza di chi non è curato indeboliscono le reti di relazioni, la fiducia e la partecipazione; la sua intercettazione e cura, viceversa, preserva e rafforza il capitale sociale, perché una comunità i cui membri sono curati e sostenuti conserva e accresce la propria coesione. Questo valore, come quello antropologico, è di natura profonda e reale, ma genuinamente irriducibile alla misura monetaria, e la rinegoziazione lo tratta riconoscendolo nella sua dimensione qualitativa e dichiarandone l’esclusione dall’aggregato monetario.</w:t>
      </w:r>
    </w:p>
    <w:p w14:paraId="675DDBE5" w14:textId="77777777" w:rsidR="007C4598" w:rsidRDefault="007C4598"/>
    <w:p w14:paraId="16C9D47C" w14:textId="77777777" w:rsidR="007C4598" w:rsidRDefault="00000000">
      <w:pPr>
        <w:pStyle w:val="Titolo2"/>
        <w:spacing w:before="200" w:after="100"/>
      </w:pPr>
      <w:r>
        <w:rPr>
          <w:sz w:val="22"/>
          <w:szCs w:val="22"/>
        </w:rPr>
        <w:t>9.15.1  Il contesto e le dimensioni: il capitale sociale e la sua erosione</w:t>
      </w:r>
    </w:p>
    <w:p w14:paraId="57E948ED" w14:textId="77777777" w:rsidR="007C4598" w:rsidRDefault="007C4598"/>
    <w:p w14:paraId="2B9F8890" w14:textId="77777777" w:rsidR="007C4598" w:rsidRDefault="00000000">
      <w:pPr>
        <w:jc w:val="both"/>
      </w:pPr>
      <w:r>
        <w:t>Il capitale sociale è il patrimonio immateriale di fiducia, reti di relazioni, norme di reciprocità, partecipazione e coesione che caratterizza una comunità e che ne condiziona il benessere, la capacità di cooperare e la resilienza di fronte alle difficoltà. Esso non è un bene individuale, ma un bene collettivo e relazionale, che si accumula nelle relazioni tra le persone e che costituisce la trama della comunità. Il capitale sociale ha un valore reale per il benessere collettivo, perché le comunità ricche di capitale sociale — di fiducia, reti e partecipazione — affrontano meglio le difficoltà, cooperano più efficacemente e garantiscono ai propri membri un sostegno e una sicurezza che le comunità povere di capitale sociale non offrono. Il capitale sociale è, in questo senso, una risorsa fondamentale del benessere collettivo, ancorché immateriale e difficilmente quantificabile.</w:t>
      </w:r>
    </w:p>
    <w:p w14:paraId="2246B556" w14:textId="77777777" w:rsidR="007C4598" w:rsidRDefault="007C4598"/>
    <w:p w14:paraId="0DA7607D" w14:textId="77777777" w:rsidR="007C4598" w:rsidRDefault="00000000">
      <w:pPr>
        <w:jc w:val="both"/>
      </w:pPr>
      <w:r>
        <w:t>Il disagio psichico non intercettato erode il capitale sociale attraverso più vie. L’isolamento di chi soffre di un disturbo non curato indebolisce le reti di relazioni di cui egli faceva parte; l’esclusione e lo stigma che accompagnano il disagio non trattato minano la fiducia e la coesione della comunità; la sofferenza non curata riduce la capacità di partecipazione e di cooperazione di chi ne è colpito e di chi se ne fa carico. Il disagio non intercettato, in altri termini, non danneggia soltanto chi ne è direttamente colpito, ma erode il patrimonio relazionale dell’intera comunità. La presenza diffusa e prossima del primo livello psicologico, intercettando e curando il disagio e prevenendo l’isolamento e l’esclusione che ne derivano, preserva e rafforza il capitale sociale: una comunità i cui membri sono curati e sostenuti conserva le proprie reti di relazioni, la propria fiducia e la propria coesione, e ne accresce la resilienza collettiva. Il dominio sociale riguarda dunque la preservazione e il rafforzamento del capitale sociale che l’intercettazione e la cura del disagio assicurano.</w:t>
      </w:r>
    </w:p>
    <w:p w14:paraId="692D5062" w14:textId="77777777" w:rsidR="007C4598" w:rsidRDefault="007C4598"/>
    <w:p w14:paraId="0A71A98E" w14:textId="77777777" w:rsidR="007C4598" w:rsidRDefault="00000000">
      <w:pPr>
        <w:pStyle w:val="Titolo2"/>
        <w:spacing w:before="200" w:after="100"/>
      </w:pPr>
      <w:r>
        <w:rPr>
          <w:sz w:val="22"/>
          <w:szCs w:val="22"/>
        </w:rPr>
        <w:t>9.15.2  Il riconoscimento non monetizzato e i confini del dominio sociale</w:t>
      </w:r>
    </w:p>
    <w:p w14:paraId="458259EB" w14:textId="77777777" w:rsidR="007C4598" w:rsidRDefault="007C4598"/>
    <w:p w14:paraId="34C06217" w14:textId="77777777" w:rsidR="007C4598" w:rsidRDefault="00000000">
      <w:pPr>
        <w:jc w:val="both"/>
      </w:pPr>
      <w:r>
        <w:t>La rinegoziazione tratta il dominio sociale, come l’antropologico, riconoscendone il valore nella sua dimensione qualitativa e dichiarando esplicitamente che esso non concorre all’aggregato monetario. Anche in questo caso, la scelta non discende da un difetto di rilevanza — il capitale sociale è anzi una risorsa fondamentale del benessere collettivo — ma dalla natura del suo valore, che è genuinamente immateriale e relazionale, e che ogni tentativo di quantificazione monetaria tradirebbe. Il capitale sociale è un bene collettivo e relazionale, che si accumula nelle relazioni e che non si lascia ridurre a una cifra senza snaturarlo; la rinegoziazione, fedele al criterio dei domini qualitativi, preferisce riconoscerne il valore nella sua dimensione propria e dichiararne l’esclusione dall’aggregato monetario. La tabella che segue riconosce le dimensioni del dominio e ne dichiara il trattamento non monetizzato.</w:t>
      </w:r>
    </w:p>
    <w:p w14:paraId="537FDE67"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1F48BD04"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B83EB49" w14:textId="77777777" w:rsidR="007C4598" w:rsidRDefault="00000000">
            <w:pPr>
              <w:spacing w:after="40"/>
            </w:pPr>
            <w:r>
              <w:rPr>
                <w:b/>
                <w:bCs/>
                <w:color w:val="FFFFFF"/>
                <w:sz w:val="18"/>
                <w:szCs w:val="18"/>
              </w:rPr>
              <w:t>Dimensione del dominio sociale</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EE62F81" w14:textId="77777777" w:rsidR="007C4598" w:rsidRDefault="00000000">
            <w:pPr>
              <w:spacing w:after="40"/>
            </w:pPr>
            <w:r>
              <w:rPr>
                <w:b/>
                <w:bCs/>
                <w:color w:val="FFFFFF"/>
                <w:sz w:val="18"/>
                <w:szCs w:val="18"/>
              </w:rPr>
              <w:t>Natura del valore</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FB93591" w14:textId="77777777" w:rsidR="007C4598" w:rsidRDefault="00000000">
            <w:pPr>
              <w:spacing w:after="40"/>
            </w:pPr>
            <w:r>
              <w:rPr>
                <w:b/>
                <w:bCs/>
                <w:color w:val="FFFFFF"/>
                <w:sz w:val="18"/>
                <w:szCs w:val="18"/>
              </w:rPr>
              <w:t>Trattamento nella rinegoziazione</w:t>
            </w:r>
          </w:p>
        </w:tc>
      </w:tr>
      <w:tr w:rsidR="007C4598" w14:paraId="53BFA1CD"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48804EA" w14:textId="77777777" w:rsidR="007C4598" w:rsidRDefault="00000000">
            <w:pPr>
              <w:spacing w:after="40"/>
            </w:pPr>
            <w:r>
              <w:t>Preservazione delle reti di relazioni e della coesione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1316345" w14:textId="77777777" w:rsidR="007C4598" w:rsidRDefault="00000000">
            <w:pPr>
              <w:spacing w:after="40"/>
            </w:pPr>
            <w:r>
              <w:t>patrimonio relazionale e di coesione della comunità</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EBA14E0" w14:textId="77777777" w:rsidR="007C4598" w:rsidRDefault="00000000">
            <w:pPr>
              <w:spacing w:after="40"/>
            </w:pPr>
            <w:r>
              <w:t>valore qualitativo e relazionale, non monetizzato, riconosciuto come tale</w:t>
            </w:r>
          </w:p>
        </w:tc>
      </w:tr>
      <w:tr w:rsidR="007C4598" w14:paraId="273AE48D"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9AF19CC" w14:textId="77777777" w:rsidR="007C4598" w:rsidRDefault="00000000">
            <w:pPr>
              <w:spacing w:after="40"/>
            </w:pPr>
            <w:r>
              <w:t>Rafforzamento della fiducia e della resilienza collettiva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D7DAFA1" w14:textId="77777777" w:rsidR="007C4598" w:rsidRDefault="00000000">
            <w:pPr>
              <w:spacing w:after="40"/>
            </w:pPr>
            <w:r>
              <w:t>capacità della comunità di cooperare e di affrontare le difficoltà</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9C78B60" w14:textId="77777777" w:rsidR="007C4598" w:rsidRDefault="00000000">
            <w:pPr>
              <w:spacing w:after="40"/>
            </w:pPr>
            <w:r>
              <w:t>valore qualitativo e relazionale, non monetizzato, riconosciuto come tale</w:t>
            </w:r>
          </w:p>
        </w:tc>
      </w:tr>
    </w:tbl>
    <w:p w14:paraId="195EC6AC" w14:textId="77777777" w:rsidR="007C4598" w:rsidRDefault="007C4598"/>
    <w:p w14:paraId="63F878F8" w14:textId="77777777" w:rsidR="007C4598" w:rsidRDefault="00000000">
      <w:pPr>
        <w:jc w:val="both"/>
      </w:pPr>
      <w:r>
        <w:rPr>
          <w:i/>
          <w:iCs/>
        </w:rPr>
        <w:t>Tabella 9.28 — Le dimensioni del dominio sociale e il loro trattamento non monetizzato. Entrambe le dimensioni recano un valore reale per il benessere collettivo, genuinamente irriducibile alla misura monetaria; esse sono riconosciute nella loro dimensione qualitativa e relazionale e dichiaratamente escluse dall’aggregato monetario, per la natura del loro valore.</w:t>
      </w:r>
    </w:p>
    <w:p w14:paraId="4E459CAE" w14:textId="77777777" w:rsidR="007C4598" w:rsidRDefault="007C4598"/>
    <w:p w14:paraId="5F98B034" w14:textId="77777777" w:rsidR="007C4598" w:rsidRDefault="00000000">
      <w:pPr>
        <w:jc w:val="both"/>
      </w:pPr>
      <w:r>
        <w:t>Il dominio sociale non contribuisce, dunque, all’aggregato monetario della parte, e il suo valore è riconosciuto esclusivamente nella sua dimensione qualitativa e relazionale. Come per il dominio antropologico, questa scelta è una scelta di rigore e di rispetto: il capitale sociale è un bene fondamentale del benessere collettivo delle comunità pugliesi, e la sua preservazione e il suo rafforzamento, che l’intercettazione e la cura del disagio assicurano, sono tra i valori più profondi che la riforma genera; ma proprio perché si tratta di un bene immateriale e relazionale, esso non si lascia ridurre a una cifra senza snaturarlo. La rinegoziazione, riconoscendolo nella sua dimensione propria, gli rende un omaggio più fedele di quanto farebbe quantificandolo. Con i domini antropologico e sociale, il perimetro integrale riconosce dunque che non tutto il valore che la riforma genera è monetizzabile, e che la pluralità dei valori — economici, sociali, culturali, relazionali — esige una pluralità di trattamenti, di cui il riconoscimento non monetizzato dei beni immateriali è parte essenziale.</w:t>
      </w:r>
      <w:r>
        <w:rPr>
          <w:color w:val="555555"/>
          <w:sz w:val="16"/>
          <w:szCs w:val="16"/>
          <w:vertAlign w:val="superscript"/>
        </w:rPr>
        <w:t>[38]</w:t>
      </w:r>
    </w:p>
    <w:p w14:paraId="7FAC916E"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254BF422"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A54214C" w14:textId="77777777" w:rsidR="007C4598" w:rsidRDefault="00000000">
            <w:pPr>
              <w:spacing w:after="40"/>
            </w:pPr>
            <w:r>
              <w:rPr>
                <w:b/>
                <w:bCs/>
                <w:color w:val="FFFFFF"/>
                <w:sz w:val="18"/>
                <w:szCs w:val="18"/>
              </w:rPr>
              <w:t xml:space="preserve">◆ SEGNAPOSTO INFOGRAFICA — FIG. 9.O · DA INSERIRE A POSTERIORI Titolo previsto: Il dominio sociale: il capitale sociale, valore non monetizzato CODICE CANVA-FRIENDLY (scheda di generazione) Tipo di grafico: rappresentazione qualitativa e simbolica, priva di scala numerica, del capitale sociale come trama di reti, fiducia e coesione, a illustrare un valore relazionale e non monetizzabile. Lettura: una rappresentazione simbolica e non quantitativa che evoca la trama delle relazioni, della fiducia e della coesione di una comunità, e la sua preservazione attraverso la cura del disagio, con dicitura esplicita che il dominio reca un valore relazionale, non monetizzato, riconosciuto nella sua dimensione qualitativa. Palette: trama relazionale in blu </w:t>
            </w:r>
            <w:proofErr w:type="spellStart"/>
            <w:r>
              <w:rPr>
                <w:b/>
                <w:bCs/>
                <w:color w:val="FFFFFF"/>
                <w:sz w:val="18"/>
                <w:szCs w:val="18"/>
              </w:rPr>
              <w:t>navy</w:t>
            </w:r>
            <w:proofErr w:type="spellEnd"/>
            <w:r>
              <w:rPr>
                <w:b/>
                <w:bCs/>
                <w:color w:val="FFFFFF"/>
                <w:sz w:val="18"/>
                <w:szCs w:val="18"/>
              </w:rPr>
              <w:t xml:space="preserve"> #16264B e blu medio #244272 su sfondo crema; dicitura «capitale sociale, valore relazionale non monetizzato» in oro #C49A48.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dicitura sulla natura non monetizzata Medium corsivo (in evidenza).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Valori da rappresentare: nessun valore numerico; il dominio è esplicitamente non monetizzato e riconosciuto nella sola dimensione qualitativa e relazionale. Variante 3D (consigliata): una rete di nodi e connessioni a rilievo, che rappresenta la trama del capitale sociale, deliberatamente priva di assi e scale numeriche, a rendere visivamente la natura relazionale e non quantificabile del valore. Fonte (piè di figura): Elaborazione dello studio; il dominio sociale è riconosciuto nella sua dimensione qualitativa e non concorre all’aggregato monetario, per la natura relazionale del suo valore. La figura deve rendere evidente che il capitale sociale è un valore reale e fondamentale per il benessere collettivo, ma genuinamente relazionale e non monetizzabile, e che la sua esclusione dall’aggregato monetario è una scelta di rigore e di rispetto per la natura del valore.</w:t>
            </w:r>
          </w:p>
          <w:p w14:paraId="288E2F83" w14:textId="77777777" w:rsidR="007C4598" w:rsidRDefault="00000000">
            <w:pPr>
              <w:spacing w:before="120" w:after="60"/>
              <w:jc w:val="center"/>
            </w:pPr>
            <w:r>
              <w:rPr>
                <w:noProof/>
              </w:rPr>
              <w:drawing>
                <wp:inline distT="0" distB="0" distL="0" distR="0" wp14:anchorId="710335F3" wp14:editId="233999A6">
                  <wp:extent cx="8229600" cy="4629150"/>
                  <wp:effectExtent l="0" t="0" r="0" b="0"/>
                  <wp:docPr id="154" name="Infografica54" descr="Il dominio sociale: capitale sociale non monetizz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nfografica54"/>
                          <pic:cNvPicPr>
                            <a:picLocks noChangeAspect="1" noChangeArrowheads="1"/>
                          </pic:cNvPicPr>
                        </pic:nvPicPr>
                        <pic:blipFill>
                          <a:blip r:embed="rId97">
                            <a:extLst>
                              <a:ext uri="{96DAC541-7B7A-43D3-8B79-37D633B846F1}">
                                <asvg:svgBlip xmlns:asvg="http://schemas.microsoft.com/office/drawing/2016/SVG/main" r:embed="rId98"/>
                              </a:ext>
                            </a:extLst>
                          </a:blip>
                          <a:stretch>
                            <a:fillRect/>
                          </a:stretch>
                        </pic:blipFill>
                        <pic:spPr bwMode="auto">
                          <a:xfrm>
                            <a:off x="0" y="0"/>
                            <a:ext cx="8229600" cy="4629150"/>
                          </a:xfrm>
                          <a:prstGeom prst="rect">
                            <a:avLst/>
                          </a:prstGeom>
                          <a:noFill/>
                          <a:ln>
                            <a:noFill/>
                          </a:ln>
                        </pic:spPr>
                      </pic:pic>
                    </a:graphicData>
                  </a:graphic>
                </wp:inline>
              </w:drawing>
            </w:r>
          </w:p>
          <w:p w14:paraId="71C17254" w14:textId="77777777" w:rsidR="007C4598" w:rsidRDefault="00000000">
            <w:pPr>
              <w:spacing w:before="40" w:after="200"/>
              <w:jc w:val="center"/>
            </w:pPr>
            <w:r>
              <w:rPr>
                <w:i/>
                <w:color w:val="2E5A8F"/>
                <w:sz w:val="16"/>
                <w:szCs w:val="16"/>
              </w:rPr>
              <w:t>Fig. 9.O — Il dominio sociale: capitale sociale non monetizzato. Elaborazione dello studio · Luigi De Michele · Giugno 2026.</w:t>
            </w:r>
          </w:p>
        </w:tc>
      </w:tr>
    </w:tbl>
    <w:p w14:paraId="6DE17A51" w14:textId="77777777" w:rsidR="007C4598" w:rsidRDefault="007C4598"/>
    <w:p w14:paraId="7E1E5794" w14:textId="77777777" w:rsidR="007C4598" w:rsidRDefault="00000000">
      <w:pPr>
        <w:pStyle w:val="Titolo1"/>
        <w:pageBreakBefore/>
      </w:pPr>
      <w:r>
        <w:rPr>
          <w:sz w:val="22"/>
          <w:szCs w:val="22"/>
        </w:rPr>
        <w:t>9.16  Il dominio finanziario e dei bilanci regionali</w:t>
      </w:r>
    </w:p>
    <w:p w14:paraId="6D12C704" w14:textId="77777777" w:rsidR="007C4598" w:rsidRDefault="007C4598"/>
    <w:p w14:paraId="0469E735" w14:textId="77777777" w:rsidR="007C4598" w:rsidRDefault="00000000">
      <w:pPr>
        <w:jc w:val="both"/>
      </w:pPr>
      <w:r>
        <w:rPr>
          <w:i/>
          <w:iCs/>
        </w:rPr>
        <w:t xml:space="preserve">Il sedicesimo e ultimo dominio del perimetro integrale è il finanziario e dei bilanci regionali, e occupa, come il produttivistico e il </w:t>
      </w:r>
      <w:proofErr w:type="spellStart"/>
      <w:r>
        <w:rPr>
          <w:i/>
          <w:iCs/>
        </w:rPr>
        <w:t>prevenzionalistico</w:t>
      </w:r>
      <w:proofErr w:type="spellEnd"/>
      <w:r>
        <w:rPr>
          <w:i/>
          <w:iCs/>
        </w:rPr>
        <w:t>, la posizione di lente di sintesi più che di addendo autonomo. Esso non introduce una nuova grandezza che si somma alle precedenti, ma ricompone gli effetti della riforma sui bilanci regionali, consolidando in una prospettiva finanziaria unitaria gli impatti già attribuiti agli altri domini e ai risparmi diretti. Il valore che il dominio finanziario aggiunge in proprio è limitato alla sola componente residua di stabilizzazione e di prevedibilità dei bilanci regionali — il valore di una maggiore prevedibilità e di una minore volatilità della spesa, che la riforma può favorire — non già colto dagli altri domini. La voce ricostruisce la funzione di consolidamento del dominio, ne isola la sola componente residua di stabilizzazione, e ne dichiara, con il rigore richiesto dalla sua natura di sintesi, i confini e la non duplicazione rispetto agli effetti già attribuiti, che esso ricompone ma non riconta.</w:t>
      </w:r>
    </w:p>
    <w:p w14:paraId="6DD78E61" w14:textId="77777777" w:rsidR="007C4598" w:rsidRDefault="007C4598"/>
    <w:p w14:paraId="017E0CF0" w14:textId="77777777" w:rsidR="007C4598" w:rsidRDefault="00000000">
      <w:pPr>
        <w:pStyle w:val="Titolo2"/>
        <w:spacing w:before="200" w:after="100"/>
      </w:pPr>
      <w:r>
        <w:rPr>
          <w:sz w:val="22"/>
          <w:szCs w:val="22"/>
        </w:rPr>
        <w:t>9.16.1  Il contesto e la funzione: il consolidamento finanziario degli effetti sui bilanci</w:t>
      </w:r>
    </w:p>
    <w:p w14:paraId="5BC303AA" w14:textId="77777777" w:rsidR="007C4598" w:rsidRDefault="007C4598"/>
    <w:p w14:paraId="63707E9A" w14:textId="77777777" w:rsidR="007C4598" w:rsidRDefault="00000000">
      <w:pPr>
        <w:jc w:val="both"/>
      </w:pPr>
      <w:r>
        <w:t xml:space="preserve">Gli effetti della riforma sui bilanci pubblici, attribuiti distintamente ai vari domini e ai risparmi diretti, si distribuiscono su una pluralità di bilanci: il bilancio sanitario regionale, su cui cadono i risparmi diretti; i bilanci previdenziale e assistenziale dello Stato, su cui cadono i benefici pensionistico e </w:t>
      </w:r>
      <w:proofErr w:type="spellStart"/>
      <w:r>
        <w:t>welfaristico</w:t>
      </w:r>
      <w:proofErr w:type="spellEnd"/>
      <w:r>
        <w:t>; il bilancio della giustizia, su cui cade il beneficio criminologico; i bilanci delle imprese e delle famiglie, su cui cadono i benefici produttivi e assistenzialistici. Il dominio finanziario svolge la funzione di ricomporre, in una prospettiva unitaria, quegli effetti che incidono sui bilanci regionali, consolidando l’impatto complessivo della riforma sulla finanza regionale. Questa funzione di consolidamento non aggiunge valore, ma lo ricompone: essa ricostruisce, a partire dagli effetti già attribuiti agli altri domini, il quadro complessivo dell’impatto sui bilanci regionali, offrendo al decisore una visione finanziaria unitaria che i singoli domini, presi separatamente, non forniscono.</w:t>
      </w:r>
    </w:p>
    <w:p w14:paraId="6DB5CA2F" w14:textId="77777777" w:rsidR="007C4598" w:rsidRDefault="007C4598"/>
    <w:p w14:paraId="721A7105" w14:textId="77777777" w:rsidR="007C4598" w:rsidRDefault="00000000">
      <w:pPr>
        <w:jc w:val="both"/>
      </w:pPr>
      <w:r>
        <w:t>Accanto a questa funzione di consolidamento, il dominio finanziario reca una sola componente residua propria, di entità contenuta: il valore della stabilizzazione e della maggiore prevedibilità dei bilanci regionali. La riforma, riducendo la componente di spesa sanitaria e sociale connessa al disagio non intercettato e rendendone più prevedibile l’andamento, può favorire una maggiore stabilità e prevedibilità dei bilanci regionali, riducendone la volatilità e accrescendone la programmabilità. Questo valore di stabilizzazione — distinto dai risparmi di spesa, che gli altri domini hanno già colto — è la sola componente che il dominio finanziario aggiunge in proprio, perché esso non riguarda l’entità della spesa, già contabilizzata, ma la sua prevedibilità e stabilità, dimensione finanziaria non altrimenti colta. La componente di stabilizzazione è di entità contenuta e prevalentemente prospettica, e va distinta con cura dagli effetti di spesa già attribuiti agli altri domini, che il dominio finanziario consolida ma non riconta.</w:t>
      </w:r>
    </w:p>
    <w:p w14:paraId="7B6EC812" w14:textId="77777777" w:rsidR="007C4598" w:rsidRDefault="007C4598"/>
    <w:p w14:paraId="63FE5319" w14:textId="77777777" w:rsidR="007C4598" w:rsidRDefault="00000000">
      <w:pPr>
        <w:pStyle w:val="Titolo2"/>
        <w:spacing w:before="200" w:after="100"/>
      </w:pPr>
      <w:r>
        <w:rPr>
          <w:sz w:val="22"/>
          <w:szCs w:val="22"/>
        </w:rPr>
        <w:t>9.16.2  La quantificazione residua e i confini del dominio finanziario</w:t>
      </w:r>
    </w:p>
    <w:p w14:paraId="2EC6C9F6" w14:textId="77777777" w:rsidR="007C4598" w:rsidRDefault="007C4598"/>
    <w:p w14:paraId="1B3EC114" w14:textId="77777777" w:rsidR="007C4598" w:rsidRDefault="00000000">
      <w:pPr>
        <w:jc w:val="both"/>
      </w:pPr>
      <w:r>
        <w:t>La quantificazione del dominio finanziario si limita, coerentemente con la sua natura di lente di sintesi, alla sola componente residua di stabilizzazione e prevedibilità, e tratta la funzione di consolidamento come ricomposizione di effetti già attribuiti, che non aggiunge valore. La tabella che segue distingue le due dimensioni del dominio.</w:t>
      </w:r>
    </w:p>
    <w:p w14:paraId="5181E685"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6BA6FADC"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F755660" w14:textId="77777777" w:rsidR="007C4598" w:rsidRDefault="00000000">
            <w:pPr>
              <w:spacing w:after="40"/>
            </w:pPr>
            <w:r>
              <w:rPr>
                <w:b/>
                <w:bCs/>
                <w:color w:val="FFFFFF"/>
                <w:sz w:val="18"/>
                <w:szCs w:val="18"/>
              </w:rPr>
              <w:t>Dimensione del dominio finanziario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37FADD0" w14:textId="77777777" w:rsidR="007C4598" w:rsidRDefault="00000000">
            <w:pPr>
              <w:spacing w:after="40"/>
            </w:pPr>
            <w:r>
              <w:rPr>
                <w:b/>
                <w:bCs/>
                <w:color w:val="FFFFFF"/>
                <w:sz w:val="18"/>
                <w:szCs w:val="18"/>
              </w:rPr>
              <w:t>Natura della grandezza</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43BF806" w14:textId="77777777" w:rsidR="007C4598" w:rsidRDefault="00000000">
            <w:pPr>
              <w:spacing w:after="40"/>
            </w:pPr>
            <w:r>
              <w:rPr>
                <w:b/>
                <w:bCs/>
                <w:color w:val="FFFFFF"/>
                <w:sz w:val="18"/>
                <w:szCs w:val="18"/>
              </w:rPr>
              <w:t>Trattamento nella rinegoziazione</w:t>
            </w:r>
          </w:p>
        </w:tc>
      </w:tr>
      <w:tr w:rsidR="007C4598" w14:paraId="18052A20"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FF2AD59" w14:textId="77777777" w:rsidR="007C4598" w:rsidRDefault="00000000">
            <w:pPr>
              <w:spacing w:after="40"/>
            </w:pPr>
            <w:r>
              <w:t>Consolidamento degli effetti fiscali sui bilanci regionali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BF13109" w14:textId="77777777" w:rsidR="007C4598" w:rsidRDefault="00000000">
            <w:pPr>
              <w:spacing w:after="40"/>
            </w:pPr>
            <w:r>
              <w:t>sintesi degli effetti già attribuiti agli altri domini e ai risparmi diretti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EF2E9EF" w14:textId="77777777" w:rsidR="007C4598" w:rsidRDefault="00000000">
            <w:pPr>
              <w:spacing w:after="40"/>
            </w:pPr>
            <w:r>
              <w:t>lente di consolidamento, non nuovo addendo: ricompone senza ricontare</w:t>
            </w:r>
          </w:p>
        </w:tc>
      </w:tr>
      <w:tr w:rsidR="007C4598" w14:paraId="2132429F"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92DDF39" w14:textId="77777777" w:rsidR="007C4598" w:rsidRDefault="00000000">
            <w:pPr>
              <w:spacing w:after="40"/>
            </w:pPr>
            <w:r>
              <w:t>Stabilizzazione e prevedibilità dei bilanci regionali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FD96022" w14:textId="77777777" w:rsidR="007C4598" w:rsidRDefault="00000000">
            <w:pPr>
              <w:spacing w:after="40"/>
            </w:pPr>
            <w:r>
              <w:t>minore volatilità e maggiore programmabilità della spesa connessa al disagio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149A456" w14:textId="77777777" w:rsidR="007C4598" w:rsidRDefault="00000000">
            <w:pPr>
              <w:spacing w:after="40"/>
            </w:pPr>
            <w:r>
              <w:t>componente residua di stabilizzazione, parzialmente monetizzabile</w:t>
            </w:r>
          </w:p>
        </w:tc>
      </w:tr>
    </w:tbl>
    <w:p w14:paraId="20329D43" w14:textId="77777777" w:rsidR="007C4598" w:rsidRDefault="007C4598"/>
    <w:p w14:paraId="50C7E277" w14:textId="77777777" w:rsidR="007C4598" w:rsidRDefault="00000000">
      <w:pPr>
        <w:jc w:val="both"/>
      </w:pPr>
      <w:r>
        <w:rPr>
          <w:i/>
          <w:iCs/>
        </w:rPr>
        <w:t>Tabella 9.29 — Le dimensioni del dominio finanziario e il loro trattamento. La funzione di consolidamento ricompone gli effetti già attribuiti agli altri domini, senza aggiungere valore, per evitare il doppio conteggio; solo la componente residua di stabilizzazione e prevedibilità è quantificata, nella sua quota propria non altrimenti colta.</w:t>
      </w:r>
    </w:p>
    <w:p w14:paraId="1F47C1E1" w14:textId="77777777" w:rsidR="007C4598" w:rsidRDefault="007C4598"/>
    <w:p w14:paraId="1EE595A1" w14:textId="77777777" w:rsidR="007C4598" w:rsidRDefault="00000000">
      <w:pPr>
        <w:jc w:val="both"/>
      </w:pPr>
      <w:r>
        <w:t>La stima della sola componente residua di stabilizzazione del dominio finanziario è esposta, per ciascuno scenario, nella tabella che segue, con la consapevolezza che la funzione principale del dominio è di consolidamento, e che la componente residua qui quantificata è di entità contenuta.</w:t>
      </w:r>
    </w:p>
    <w:p w14:paraId="68AA0080"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56FF6143"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CE2257C" w14:textId="77777777" w:rsidR="007C4598" w:rsidRDefault="00000000">
            <w:pPr>
              <w:spacing w:after="40"/>
            </w:pPr>
            <w:r>
              <w:rPr>
                <w:b/>
                <w:bCs/>
                <w:color w:val="FFFFFF"/>
                <w:sz w:val="18"/>
                <w:szCs w:val="18"/>
              </w:rPr>
              <w:t>Componente del beneficio finanziario (mln €/anno)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AC4F0F8" w14:textId="77777777" w:rsidR="007C4598" w:rsidRDefault="00000000">
            <w:pPr>
              <w:spacing w:after="40"/>
            </w:pPr>
            <w:r>
              <w:rPr>
                <w:b/>
                <w:bCs/>
                <w:color w:val="FFFFFF"/>
                <w:sz w:val="18"/>
                <w:szCs w:val="18"/>
              </w:rPr>
              <w:t>Conservativo (~450)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05D3BA7" w14:textId="77777777" w:rsidR="007C4598" w:rsidRDefault="00000000">
            <w:pPr>
              <w:spacing w:after="40"/>
            </w:pPr>
            <w:r>
              <w:rPr>
                <w:b/>
                <w:bCs/>
                <w:color w:val="FFFFFF"/>
                <w:sz w:val="18"/>
                <w:szCs w:val="18"/>
              </w:rPr>
              <w:t>Intermedio (~700)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3C63C2D" w14:textId="77777777" w:rsidR="007C4598" w:rsidRDefault="00000000">
            <w:pPr>
              <w:spacing w:after="40"/>
            </w:pPr>
            <w:r>
              <w:rPr>
                <w:b/>
                <w:bCs/>
                <w:color w:val="FFFFFF"/>
                <w:sz w:val="18"/>
                <w:szCs w:val="18"/>
              </w:rPr>
              <w:t>Espansivo (~900)</w:t>
            </w:r>
          </w:p>
        </w:tc>
      </w:tr>
      <w:tr w:rsidR="007C4598" w14:paraId="366AC418"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E433C28" w14:textId="77777777" w:rsidR="007C4598" w:rsidRDefault="00000000">
            <w:pPr>
              <w:spacing w:after="40"/>
            </w:pPr>
            <w:r>
              <w:t>Stabilizzazione e prevedibilità dei bilanci regionali (residuo)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46784D4" w14:textId="77777777" w:rsidR="007C4598" w:rsidRDefault="00000000">
            <w:pPr>
              <w:spacing w:after="40"/>
            </w:pPr>
            <w:r>
              <w:t>~1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25F78A1" w14:textId="77777777" w:rsidR="007C4598" w:rsidRDefault="00000000">
            <w:pPr>
              <w:spacing w:after="40"/>
            </w:pPr>
            <w:r>
              <w:t>~2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3A39A80" w14:textId="77777777" w:rsidR="007C4598" w:rsidRDefault="00000000">
            <w:pPr>
              <w:spacing w:after="40"/>
            </w:pPr>
            <w:r>
              <w:t>~3</w:t>
            </w:r>
          </w:p>
        </w:tc>
      </w:tr>
      <w:tr w:rsidR="007C4598" w14:paraId="4B2A6349"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8F18AE9" w14:textId="77777777" w:rsidR="007C4598" w:rsidRDefault="00000000">
            <w:pPr>
              <w:spacing w:after="40"/>
            </w:pPr>
            <w:r>
              <w:t>Consolidamento degli effetti fiscali regionali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56ADD58" w14:textId="77777777" w:rsidR="007C4598" w:rsidRDefault="00000000">
            <w:pPr>
              <w:spacing w:after="40"/>
            </w:pPr>
            <w:r>
              <w:t>lente (già contabilizzato)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FBA4480" w14:textId="77777777" w:rsidR="007C4598" w:rsidRDefault="00000000">
            <w:pPr>
              <w:spacing w:after="40"/>
            </w:pPr>
            <w:r>
              <w:t>lente (già contabilizzato)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7E29992" w14:textId="77777777" w:rsidR="007C4598" w:rsidRDefault="00000000">
            <w:pPr>
              <w:spacing w:after="40"/>
            </w:pPr>
            <w:r>
              <w:t>lente (già contabilizzato)</w:t>
            </w:r>
          </w:p>
        </w:tc>
      </w:tr>
      <w:tr w:rsidR="007C4598" w14:paraId="3194D513"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42FBAEA" w14:textId="77777777" w:rsidR="007C4598" w:rsidRDefault="00000000">
            <w:pPr>
              <w:spacing w:after="40"/>
            </w:pPr>
            <w:r>
              <w:t>Beneficio finanziario residuo del dominio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6228338" w14:textId="77777777" w:rsidR="007C4598" w:rsidRDefault="00000000">
            <w:pPr>
              <w:spacing w:after="40"/>
            </w:pPr>
            <w:r>
              <w:t>~1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510B784" w14:textId="77777777" w:rsidR="007C4598" w:rsidRDefault="00000000">
            <w:pPr>
              <w:spacing w:after="40"/>
            </w:pPr>
            <w:r>
              <w:t>~2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D5CF0F6" w14:textId="77777777" w:rsidR="007C4598" w:rsidRDefault="00000000">
            <w:pPr>
              <w:spacing w:after="40"/>
            </w:pPr>
            <w:r>
              <w:t>~3</w:t>
            </w:r>
          </w:p>
        </w:tc>
      </w:tr>
    </w:tbl>
    <w:p w14:paraId="35BF0D39" w14:textId="77777777" w:rsidR="007C4598" w:rsidRDefault="007C4598"/>
    <w:p w14:paraId="7D6B1CF1" w14:textId="77777777" w:rsidR="007C4598" w:rsidRDefault="00000000">
      <w:pPr>
        <w:jc w:val="both"/>
      </w:pPr>
      <w:r>
        <w:rPr>
          <w:i/>
          <w:iCs/>
        </w:rPr>
        <w:t>Tabella 9.30 — Stima prudenziale della sola componente residua di stabilizzazione del dominio finanziario per scenario. La funzione di consolidamento è una lente che ricompone effetti già contabilizzati e non aggiunge valore; il beneficio residuo coincide con la sola componente di stabilizzazione e prevedibilità, distinta dai risparmi di spesa già colti dagli altri domini.</w:t>
      </w:r>
    </w:p>
    <w:p w14:paraId="11425692" w14:textId="77777777" w:rsidR="007C4598" w:rsidRDefault="007C4598"/>
    <w:p w14:paraId="38FFCCAC" w14:textId="77777777" w:rsidR="007C4598" w:rsidRDefault="00000000">
      <w:pPr>
        <w:jc w:val="both"/>
      </w:pPr>
      <w:r>
        <w:t>Il beneficio finanziario residuo è dunque stimato in un ordine di grandezza compreso tra circa un milione di euro l’anno nello scenario conservativo e circa tre milioni nello scenario espansivo, con un valore intermedio dell’ordine di due milioni. La modestia della cifra, come per gli altri domini di sintesi, non indica la scarsa rilevanza della dimensione finanziaria, che è al contrario centrale per il decisore regionale, ma riflette il rigore della regola di non duplicazione: la gran parte del valore finanziario della riforma è già contabilizzata come risparmio di spesa nei risparmi diretti e negli altri domini, e ciò che il dominio finanziario aggiunge in proprio è soltanto la componente residua di stabilizzazione e prevedibilità, non altrimenti colta. La funzione principale del dominio finanziario nell’economia della parte non è dunque quella di aggiungere una grandezza cospicua, ma quella di consolidare in una prospettiva finanziaria unitaria gli effetti già attribuiti, offrendo al decisore regionale la visione complessiva dell’impatto della riforma sui bilanci regionali, che la decima e l’undicesima parte svilupperanno compiutamente attraverso l’analisi di impatto di bilancio e la modellazione di lungo periodo. Il dominio finanziario è, in questo senso, la lente che prepara la sintesi economica complessiva, più che un dominio che vi aggiunge valore.</w:t>
      </w:r>
      <w:r>
        <w:rPr>
          <w:color w:val="555555"/>
          <w:sz w:val="16"/>
          <w:szCs w:val="16"/>
          <w:vertAlign w:val="superscript"/>
        </w:rPr>
        <w:t>[39]</w:t>
      </w:r>
    </w:p>
    <w:p w14:paraId="485BADB6"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0B5A74E2"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024070C" w14:textId="77777777" w:rsidR="007C4598" w:rsidRDefault="00000000">
            <w:pPr>
              <w:spacing w:after="40"/>
            </w:pPr>
            <w:r>
              <w:rPr>
                <w:b/>
                <w:bCs/>
                <w:color w:val="FFFFFF"/>
                <w:sz w:val="18"/>
                <w:szCs w:val="18"/>
              </w:rPr>
              <w:t xml:space="preserve">◆ SEGNAPOSTO INFOGRAFICA — FIG. 9.P · DA INSERIRE A POSTERIORI Titolo previsto: Il dominio finanziario come lente di consolidamento degli effetti sui bilanci regionali CODICE CANVA-FRIENDLY (scheda di generazione) Tipo di grafico: diagramma di consolidamento che mostra la ricomposizione, in una prospettiva finanziaria unitaria, degli effetti già attribuiti agli altri domini e ai risparmi diretti che incidono sui bilanci regionali, affiancata alla sola componente residua di stabilizzazione propria del dominio. Lettura: a sinistra, gli effetti già attribuiti agli altri domini convergono, come flussi, verso una prospettiva finanziaria unitaria (consolidamento, senza ricontare); a destra, una minima barra per scenario (1, 2 e 3 milioni) rappresenta la sola componente residua di stabilizzazione effettivamente aggiunta dal dominio. Palette: flussi di consolidamento degli effetti già attribuiti in blu </w:t>
            </w:r>
            <w:proofErr w:type="spellStart"/>
            <w:r>
              <w:rPr>
                <w:b/>
                <w:bCs/>
                <w:color w:val="FFFFFF"/>
                <w:sz w:val="18"/>
                <w:szCs w:val="18"/>
              </w:rPr>
              <w:t>navy</w:t>
            </w:r>
            <w:proofErr w:type="spellEnd"/>
            <w:r>
              <w:rPr>
                <w:b/>
                <w:bCs/>
                <w:color w:val="FFFFFF"/>
                <w:sz w:val="18"/>
                <w:szCs w:val="18"/>
              </w:rPr>
              <w:t xml:space="preserve"> #16264B (tono attenuato); componente residua di stabilizzazione in blu #2E5AA0 con evidenziazione oro #C49A48; linea di consolidamento in grigio #D8D8D8.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etichette dei flussi e degli scenari Medium, nota sul consolidamento senza ricontare Regular.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Valori da rappresentare: flussi di consolidamento: rappresentazione degli effetti già attribuiti (illustrativa, non sommata); componente residua di stabilizzazione: Conservativo ~1; Intermedio ~2; Espansivo ~3. Variante 3D (consigliata): i flussi degli effetti già attribuiti che convergono in profondità verso un punto di consolidamento; la sola componente residua, in primo piano e bordata d’oro, distinta dai flussi consolidati posti sullo sfondo in tono attenuato. Fonte (piè di figura): Elaborazione dello studio; il dominio finanziario consolida senza ricontare; la componente residua di stabilizzazione è la sola effettivamente aggiunta; rinvio alla decima e undicesima parte per la sintesi compiuta. La figura deve rendere evidente che il dominio finanziario è una lente di consolidamento che ricompone gli effetti già attribuiti senza ricontarli, e che la sola componente residua di stabilizzazione, contenuta, è quella effettivamente aggiunta dal dominio.</w:t>
            </w:r>
          </w:p>
          <w:p w14:paraId="012F085E" w14:textId="77777777" w:rsidR="007C4598" w:rsidRDefault="00000000">
            <w:pPr>
              <w:spacing w:before="120" w:after="60"/>
              <w:jc w:val="center"/>
            </w:pPr>
            <w:r>
              <w:rPr>
                <w:noProof/>
              </w:rPr>
              <w:drawing>
                <wp:inline distT="0" distB="0" distL="0" distR="0" wp14:anchorId="73C83E35" wp14:editId="64076D57">
                  <wp:extent cx="8229600" cy="4629150"/>
                  <wp:effectExtent l="0" t="0" r="0" b="0"/>
                  <wp:docPr id="155" name="Infografica55" descr="Il dominio finanziario — lente di consolid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Infografica55"/>
                          <pic:cNvPicPr>
                            <a:picLocks noChangeAspect="1" noChangeArrowheads="1"/>
                          </pic:cNvPicPr>
                        </pic:nvPicPr>
                        <pic:blipFill>
                          <a:blip r:embed="rId99">
                            <a:extLst>
                              <a:ext uri="{96DAC541-7B7A-43D3-8B79-37D633B846F1}">
                                <asvg:svgBlip xmlns:asvg="http://schemas.microsoft.com/office/drawing/2016/SVG/main" r:embed="rId100"/>
                              </a:ext>
                            </a:extLst>
                          </a:blip>
                          <a:stretch>
                            <a:fillRect/>
                          </a:stretch>
                        </pic:blipFill>
                        <pic:spPr bwMode="auto">
                          <a:xfrm>
                            <a:off x="0" y="0"/>
                            <a:ext cx="8229600" cy="4629150"/>
                          </a:xfrm>
                          <a:prstGeom prst="rect">
                            <a:avLst/>
                          </a:prstGeom>
                          <a:noFill/>
                          <a:ln>
                            <a:noFill/>
                          </a:ln>
                        </pic:spPr>
                      </pic:pic>
                    </a:graphicData>
                  </a:graphic>
                </wp:inline>
              </w:drawing>
            </w:r>
          </w:p>
          <w:p w14:paraId="0460A9B0" w14:textId="77777777" w:rsidR="007C4598" w:rsidRDefault="00000000">
            <w:pPr>
              <w:spacing w:before="40" w:after="200"/>
              <w:jc w:val="center"/>
            </w:pPr>
            <w:r>
              <w:rPr>
                <w:i/>
                <w:color w:val="2E5A8F"/>
                <w:sz w:val="16"/>
                <w:szCs w:val="16"/>
              </w:rPr>
              <w:t>Fig. 9.P — Il dominio finanziario — lente di consolidamento. Elaborazione dello studio · Luigi De Michele · Giugno 2026.</w:t>
            </w:r>
          </w:p>
        </w:tc>
      </w:tr>
    </w:tbl>
    <w:p w14:paraId="2842B3C9" w14:textId="77777777" w:rsidR="007C4598" w:rsidRDefault="007C4598"/>
    <w:p w14:paraId="21F7F18A" w14:textId="77777777" w:rsidR="007C4598" w:rsidRDefault="00000000">
      <w:pPr>
        <w:jc w:val="both"/>
      </w:pPr>
      <w:r>
        <w:t>I confini del dominio finanziario ne ribadiscono la natura di lente di sintesi. In primo luogo, la funzione di consolidamento ricompone gli effetti già attribuiti agli altri domini e ai risparmi diretti, e non aggiunge in alcun punto valore nuovo: essa offre una visione finanziaria unitaria, ma non riconta gli effetti che gli altri domini hanno già colto, per evitare il doppio conteggio.</w:t>
      </w:r>
      <w:r>
        <w:rPr>
          <w:color w:val="555555"/>
          <w:sz w:val="16"/>
          <w:szCs w:val="16"/>
          <w:vertAlign w:val="superscript"/>
        </w:rPr>
        <w:t>[40]</w:t>
      </w:r>
      <w:r>
        <w:t xml:space="preserve"> In secondo luogo, la sola componente residua propria del dominio — la stabilizzazione e la prevedibilità dei bilanci regionali — è distinta dai risparmi di spesa già contabilizzati, perché riguarda la prevedibilità e la stabilità della spesa, non la sua entità. In terzo luogo, il dominio finanziario rinvia alla decima e all’undicesima parte, che svilupperanno compiutamente, attraverso l’analisi di impatto di bilancio e la modellazione di lungo periodo, la sintesi finanziaria che il dominio qui prepara. Con il dominio finanziario, lente di consolidamento e non addendo, il perimetro multidisciplinare integrale è interamente percorso: sedici domini, dal lavorativo al finanziario, sono stati attraversati, ciascuno nella sua natura e con il rispetto della regola di non duplicazione, e la rinegoziazione è ora pronta per l’aggregazione conclusiva, che la voce successiva svilupperà, ricomponendo i domini in un aggregato netto e verificandone la coerenza con l’ancora della letteratura.</w:t>
      </w:r>
      <w:r>
        <w:rPr>
          <w:color w:val="555555"/>
          <w:sz w:val="16"/>
          <w:szCs w:val="16"/>
          <w:vertAlign w:val="superscript"/>
        </w:rPr>
        <w:t>[41]</w:t>
      </w:r>
    </w:p>
    <w:p w14:paraId="3FFA0952" w14:textId="77777777" w:rsidR="007C4598" w:rsidRDefault="007C4598"/>
    <w:p w14:paraId="76446A3C" w14:textId="77777777" w:rsidR="007C4598" w:rsidRDefault="00000000">
      <w:pPr>
        <w:jc w:val="both"/>
      </w:pPr>
      <w:r>
        <w:t>Costi e benefici indiretti · perimetro integrale</w:t>
      </w:r>
      <w:r>
        <w:tab/>
        <w:t>L. De Michele · giugno 2026</w:t>
      </w:r>
    </w:p>
    <w:p w14:paraId="39AC876B" w14:textId="77777777" w:rsidR="007C4598" w:rsidRDefault="007C4598"/>
    <w:p w14:paraId="2AD3E4DF" w14:textId="77777777" w:rsidR="007C4598" w:rsidRDefault="00000000">
      <w:pPr>
        <w:jc w:val="both"/>
      </w:pPr>
      <w:r>
        <w:rPr>
          <w:color w:val="555555"/>
          <w:sz w:val="16"/>
          <w:szCs w:val="16"/>
          <w:vertAlign w:val="superscript"/>
        </w:rPr>
        <w:t>[1]</w:t>
      </w:r>
      <w:r>
        <w:t>: La separazione tra le grandezze fiscali dirette, stimate nella parte ottava, e le ricadute economico-sociali indirette, stimate nella presente, è imposta dalla regola di non duplicazione enunciata nella prima parte (sezione 1.5) e applicata senza eccezioni nell’intero studio. Le due categorie sono ricomposte nel saldo consolidato della decima parte (sezione 10.5), ma non vi sono mai sommate in un unico rapporto. Il medesimo miglioramento clinico genera, distintamente, un risparmio fiscale diretto e un beneficio sociale indiretto.</w:t>
      </w:r>
    </w:p>
    <w:p w14:paraId="1E00000D" w14:textId="77777777" w:rsidR="007C4598" w:rsidRDefault="00000000">
      <w:pPr>
        <w:jc w:val="both"/>
      </w:pPr>
      <w:r>
        <w:rPr>
          <w:color w:val="555555"/>
          <w:sz w:val="16"/>
          <w:szCs w:val="16"/>
          <w:vertAlign w:val="superscript"/>
        </w:rPr>
        <w:t>[2]</w:t>
      </w:r>
      <w:r>
        <w:t xml:space="preserve">: L’approccio del capitale umano (human capital </w:t>
      </w:r>
      <w:proofErr w:type="spellStart"/>
      <w:r>
        <w:t>approach</w:t>
      </w:r>
      <w:proofErr w:type="spellEnd"/>
      <w:r>
        <w:t>) e il metodo del costo per attrito (</w:t>
      </w:r>
      <w:proofErr w:type="spellStart"/>
      <w:r>
        <w:t>friction</w:t>
      </w:r>
      <w:proofErr w:type="spellEnd"/>
      <w:r>
        <w:t xml:space="preserve"> </w:t>
      </w:r>
      <w:proofErr w:type="spellStart"/>
      <w:r>
        <w:t>cost</w:t>
      </w:r>
      <w:proofErr w:type="spellEnd"/>
      <w:r>
        <w:t xml:space="preserve"> </w:t>
      </w:r>
      <w:proofErr w:type="spellStart"/>
      <w:r>
        <w:t>method</w:t>
      </w:r>
      <w:proofErr w:type="spellEnd"/>
      <w:r>
        <w:t>) costituiscono i due principali approcci alla valutazione monetaria delle perdite di produttività. Il primo valuta l’intero tempo di lavoro perduto al costo pieno del lavoro; il secondo valuta la sola perdita del periodo necessario alla sostituzione del lavoratore. I due approcci rispondono a domande diverse, producono stime di entità diversa e non sono mai combinati. Cfr. la scheda metodologica nell’appendice C e l’enunciazione del telaio nella prima parte (sezione 1.4).</w:t>
      </w:r>
    </w:p>
    <w:p w14:paraId="010EBFAE" w14:textId="77777777" w:rsidR="007C4598" w:rsidRDefault="00000000">
      <w:pPr>
        <w:jc w:val="both"/>
      </w:pPr>
      <w:r>
        <w:rPr>
          <w:color w:val="555555"/>
          <w:sz w:val="16"/>
          <w:szCs w:val="16"/>
          <w:vertAlign w:val="superscript"/>
        </w:rPr>
        <w:t>[3]</w:t>
      </w:r>
      <w:r>
        <w:t>: La presente parte adotta, per i domini in cui rileva la produttività, l’approccio del capitale umano, dichiarandolo esplicitamente, e ne segnala la collocazione verso l’estremo superiore della forbice metodologica; ove si adottasse il metodo del costo per attrito, le stime sarebbero sensibilmente più contenute. La scelta è coerente con l’obiettivo di cogliere il valore sociale complessivo della salute, ma la sua dichiarazione è condizione della trasparenza della stima.</w:t>
      </w:r>
    </w:p>
    <w:p w14:paraId="2DDC183B" w14:textId="77777777" w:rsidR="007C4598" w:rsidRDefault="00000000">
      <w:pPr>
        <w:jc w:val="both"/>
      </w:pPr>
      <w:r>
        <w:rPr>
          <w:color w:val="555555"/>
          <w:sz w:val="16"/>
          <w:szCs w:val="16"/>
          <w:vertAlign w:val="superscript"/>
        </w:rPr>
        <w:t>[4]</w:t>
      </w:r>
      <w:r>
        <w:t xml:space="preserve">: </w:t>
      </w:r>
      <w:proofErr w:type="spellStart"/>
      <w:r>
        <w:t>Chisholm</w:t>
      </w:r>
      <w:proofErr w:type="spellEnd"/>
      <w:r>
        <w:t xml:space="preserve"> D., </w:t>
      </w:r>
      <w:proofErr w:type="spellStart"/>
      <w:r>
        <w:t>Sweeny</w:t>
      </w:r>
      <w:proofErr w:type="spellEnd"/>
      <w:r>
        <w:t xml:space="preserve"> K., </w:t>
      </w:r>
      <w:proofErr w:type="spellStart"/>
      <w:r>
        <w:t>Sheehan</w:t>
      </w:r>
      <w:proofErr w:type="spellEnd"/>
      <w:r>
        <w:t xml:space="preserve"> P., </w:t>
      </w:r>
      <w:proofErr w:type="spellStart"/>
      <w:r>
        <w:t>Rasmussen</w:t>
      </w:r>
      <w:proofErr w:type="spellEnd"/>
      <w:r>
        <w:t xml:space="preserve"> B., </w:t>
      </w:r>
      <w:proofErr w:type="spellStart"/>
      <w:r>
        <w:t>Smit</w:t>
      </w:r>
      <w:proofErr w:type="spellEnd"/>
      <w:r>
        <w:t xml:space="preserve"> F., </w:t>
      </w:r>
      <w:proofErr w:type="spellStart"/>
      <w:r>
        <w:t>Cuijpers</w:t>
      </w:r>
      <w:proofErr w:type="spellEnd"/>
      <w:r>
        <w:t xml:space="preserve"> P., </w:t>
      </w:r>
      <w:proofErr w:type="spellStart"/>
      <w:r>
        <w:t>Saxena</w:t>
      </w:r>
      <w:proofErr w:type="spellEnd"/>
      <w:r>
        <w:t xml:space="preserve"> S., «</w:t>
      </w:r>
      <w:proofErr w:type="spellStart"/>
      <w:r>
        <w:t>Scaling</w:t>
      </w:r>
      <w:proofErr w:type="spellEnd"/>
      <w:r>
        <w:t xml:space="preserve">-up treatment of </w:t>
      </w:r>
      <w:proofErr w:type="spellStart"/>
      <w:r>
        <w:t>depression</w:t>
      </w:r>
      <w:proofErr w:type="spellEnd"/>
      <w:r>
        <w:t xml:space="preserve"> and </w:t>
      </w:r>
      <w:proofErr w:type="spellStart"/>
      <w:r>
        <w:t>anxiety</w:t>
      </w:r>
      <w:proofErr w:type="spellEnd"/>
      <w:r>
        <w:t xml:space="preserve">: a global </w:t>
      </w:r>
      <w:proofErr w:type="spellStart"/>
      <w:r>
        <w:t>return</w:t>
      </w:r>
      <w:proofErr w:type="spellEnd"/>
      <w:r>
        <w:t xml:space="preserve"> on </w:t>
      </w:r>
      <w:proofErr w:type="spellStart"/>
      <w:r>
        <w:t>investment</w:t>
      </w:r>
      <w:proofErr w:type="spellEnd"/>
      <w:r>
        <w:t xml:space="preserve"> </w:t>
      </w:r>
      <w:proofErr w:type="spellStart"/>
      <w:r>
        <w:t>analysis</w:t>
      </w:r>
      <w:proofErr w:type="spellEnd"/>
      <w:r>
        <w:t xml:space="preserve">», The Lancet </w:t>
      </w:r>
      <w:proofErr w:type="spellStart"/>
      <w:r>
        <w:t>Psychiatry</w:t>
      </w:r>
      <w:proofErr w:type="spellEnd"/>
      <w:r>
        <w:t>, vol. 3, n. 5, 2016, pp. 415-424. Gli intervalli del ritorno sull’investimento — da 2,3 a 3,0 a 1 per i soli benefici economici e da 3,3 a 5,7 a 1 con i ritorni in salute — operano nella presente parte come fascia di validazione dell’aggregato dei benefici indiretti, e come limite superiore metodologicamente fondato entro cui ogni stima si mantiene.</w:t>
      </w:r>
    </w:p>
    <w:p w14:paraId="6F9A54BE" w14:textId="77777777" w:rsidR="007C4598" w:rsidRDefault="00000000">
      <w:pPr>
        <w:jc w:val="both"/>
      </w:pPr>
      <w:r>
        <w:rPr>
          <w:color w:val="555555"/>
          <w:sz w:val="16"/>
          <w:szCs w:val="16"/>
          <w:vertAlign w:val="superscript"/>
        </w:rPr>
        <w:t>[5]</w:t>
      </w:r>
      <w:r>
        <w:t>: Le organizzazioni internazionali stimano il costo economico complessivo dei disturbi mentali in una frazione rilevante del prodotto, dell’ordine di alcuni punti percentuali, di cui la componente sanitaria diretta rappresenta una quota minoritaria e le perdite di produttività e gli oneri sociali indiretti la quota maggiore. Cfr. OECD/</w:t>
      </w:r>
      <w:proofErr w:type="spellStart"/>
      <w:r>
        <w:t>European</w:t>
      </w:r>
      <w:proofErr w:type="spellEnd"/>
      <w:r>
        <w:t xml:space="preserve"> Union, </w:t>
      </w:r>
      <w:proofErr w:type="spellStart"/>
      <w:r>
        <w:t>Health</w:t>
      </w:r>
      <w:proofErr w:type="spellEnd"/>
      <w:r>
        <w:t xml:space="preserve"> </w:t>
      </w:r>
      <w:proofErr w:type="spellStart"/>
      <w:r>
        <w:t>at</w:t>
      </w:r>
      <w:proofErr w:type="spellEnd"/>
      <w:r>
        <w:t xml:space="preserve"> a </w:t>
      </w:r>
      <w:proofErr w:type="spellStart"/>
      <w:r>
        <w:t>Glance</w:t>
      </w:r>
      <w:proofErr w:type="spellEnd"/>
      <w:r>
        <w:t>: Europe, e i rapporti dell’OCSE sul peso economico della cattiva salute mentale; il dato di contesto è ripreso nella seconda parte (sezione 2.5).</w:t>
      </w:r>
    </w:p>
    <w:p w14:paraId="0EB1E30B" w14:textId="77777777" w:rsidR="007C4598" w:rsidRDefault="00000000">
      <w:pPr>
        <w:jc w:val="both"/>
      </w:pPr>
      <w:r>
        <w:rPr>
          <w:color w:val="555555"/>
          <w:sz w:val="16"/>
          <w:szCs w:val="16"/>
          <w:vertAlign w:val="superscript"/>
        </w:rPr>
        <w:t>[6]</w:t>
      </w:r>
      <w:r>
        <w:t xml:space="preserve">: La letteratura sull’impatto del disagio psichico sul lavoro documenta che la perdita di produttività dovuta al </w:t>
      </w:r>
      <w:proofErr w:type="spellStart"/>
      <w:r>
        <w:t>presenteismo</w:t>
      </w:r>
      <w:proofErr w:type="spellEnd"/>
      <w:r>
        <w:t xml:space="preserve"> — la presenza al lavoro in condizioni di ridotta efficienza — eccede, per diffusione e durata, quella dovuta all’assenteismo. Cfr. OECD, </w:t>
      </w:r>
      <w:proofErr w:type="spellStart"/>
      <w:r>
        <w:t>Sick</w:t>
      </w:r>
      <w:proofErr w:type="spellEnd"/>
      <w:r>
        <w:t xml:space="preserve"> on the Job? </w:t>
      </w:r>
      <w:proofErr w:type="spellStart"/>
      <w:r>
        <w:t>Myths</w:t>
      </w:r>
      <w:proofErr w:type="spellEnd"/>
      <w:r>
        <w:t xml:space="preserve"> and </w:t>
      </w:r>
      <w:proofErr w:type="spellStart"/>
      <w:r>
        <w:t>Realities</w:t>
      </w:r>
      <w:proofErr w:type="spellEnd"/>
      <w:r>
        <w:t xml:space="preserve"> </w:t>
      </w:r>
      <w:proofErr w:type="spellStart"/>
      <w:r>
        <w:t>about</w:t>
      </w:r>
      <w:proofErr w:type="spellEnd"/>
      <w:r>
        <w:t xml:space="preserve"> </w:t>
      </w:r>
      <w:proofErr w:type="spellStart"/>
      <w:r>
        <w:t>Mental</w:t>
      </w:r>
      <w:proofErr w:type="spellEnd"/>
      <w:r>
        <w:t xml:space="preserve"> </w:t>
      </w:r>
      <w:proofErr w:type="spellStart"/>
      <w:r>
        <w:t>Health</w:t>
      </w:r>
      <w:proofErr w:type="spellEnd"/>
      <w:r>
        <w:t xml:space="preserve"> and Work, Parigi, 2012, e la letteratura successiva sul </w:t>
      </w:r>
      <w:proofErr w:type="spellStart"/>
      <w:r>
        <w:t>presenteismo</w:t>
      </w:r>
      <w:proofErr w:type="spellEnd"/>
      <w:r>
        <w:t xml:space="preserve"> associato ai disturbi mentali comuni. Le valutazioni limitate al solo assenteismo visibile sottostimano sistematicamente il carico lavorativo del disagio psichico.</w:t>
      </w:r>
    </w:p>
    <w:p w14:paraId="595FC8FA" w14:textId="77777777" w:rsidR="007C4598" w:rsidRDefault="00000000">
      <w:pPr>
        <w:jc w:val="both"/>
      </w:pPr>
      <w:r>
        <w:rPr>
          <w:color w:val="555555"/>
          <w:sz w:val="16"/>
          <w:szCs w:val="16"/>
          <w:vertAlign w:val="superscript"/>
        </w:rPr>
        <w:t>[7]</w:t>
      </w:r>
      <w:r>
        <w:t xml:space="preserve">: Lo stress lavoro-correlato e i disturbi a esso associati generano costi rilevanti per il sistema assicurativo, per le imprese e per i lavoratori. Cfr. Agenzia europea per la sicurezza e la salute sul lavoro (EU-OSHA), le stime sul costo dello stress lavoro-correlato in Europa, e la normativa nazionale sulla valutazione del rischio da stress lavoro-correlato. La componente è qui trattata distintamente dall’assenteismo e dal </w:t>
      </w:r>
      <w:proofErr w:type="spellStart"/>
      <w:r>
        <w:t>presenteismo</w:t>
      </w:r>
      <w:proofErr w:type="spellEnd"/>
      <w:r>
        <w:t>.</w:t>
      </w:r>
    </w:p>
    <w:p w14:paraId="4AAE1090" w14:textId="77777777" w:rsidR="007C4598" w:rsidRDefault="00000000">
      <w:pPr>
        <w:jc w:val="both"/>
      </w:pPr>
      <w:r>
        <w:rPr>
          <w:color w:val="555555"/>
          <w:sz w:val="16"/>
          <w:szCs w:val="16"/>
          <w:vertAlign w:val="superscript"/>
        </w:rPr>
        <w:t>[8]</w:t>
      </w:r>
      <w:r>
        <w:t>: La graduazione qui adottata applica i criteri GRADE in forma simmetrica all’evidenza clinica e a quella economica, in coerenza con la sesta parte: evidenza da moderata ad alta per l’anello clinico, da moderata a bassa per l’anello funzionale-lavorativo, soggetta all’approccio metodologico per l’anello economico. La banda del beneficio riflette la duplice incertezza, sulla traduzione clinico-funzionale e sull’approccio adottato.</w:t>
      </w:r>
    </w:p>
    <w:p w14:paraId="12BE33D1" w14:textId="77777777" w:rsidR="007C4598" w:rsidRDefault="00000000">
      <w:pPr>
        <w:jc w:val="both"/>
      </w:pPr>
      <w:r>
        <w:rPr>
          <w:color w:val="555555"/>
          <w:sz w:val="16"/>
          <w:szCs w:val="16"/>
          <w:vertAlign w:val="superscript"/>
        </w:rPr>
        <w:t>[9]</w:t>
      </w:r>
      <w:r>
        <w:t xml:space="preserve">: OECD, </w:t>
      </w:r>
      <w:proofErr w:type="spellStart"/>
      <w:r>
        <w:t>Sick</w:t>
      </w:r>
      <w:proofErr w:type="spellEnd"/>
      <w:r>
        <w:t xml:space="preserve"> on the Job? </w:t>
      </w:r>
      <w:proofErr w:type="spellStart"/>
      <w:r>
        <w:t>Myths</w:t>
      </w:r>
      <w:proofErr w:type="spellEnd"/>
      <w:r>
        <w:t xml:space="preserve"> and </w:t>
      </w:r>
      <w:proofErr w:type="spellStart"/>
      <w:r>
        <w:t>Realities</w:t>
      </w:r>
      <w:proofErr w:type="spellEnd"/>
      <w:r>
        <w:t xml:space="preserve"> </w:t>
      </w:r>
      <w:proofErr w:type="spellStart"/>
      <w:r>
        <w:t>about</w:t>
      </w:r>
      <w:proofErr w:type="spellEnd"/>
      <w:r>
        <w:t xml:space="preserve"> </w:t>
      </w:r>
      <w:proofErr w:type="spellStart"/>
      <w:r>
        <w:t>Mental</w:t>
      </w:r>
      <w:proofErr w:type="spellEnd"/>
      <w:r>
        <w:t xml:space="preserve"> </w:t>
      </w:r>
      <w:proofErr w:type="spellStart"/>
      <w:r>
        <w:t>Health</w:t>
      </w:r>
      <w:proofErr w:type="spellEnd"/>
      <w:r>
        <w:t xml:space="preserve"> and Work, Parigi, 2012, e i successivi rapporti dell’OCSE sulla salute mentale e il lavoro, documentano l’elevata e crescente incidenza dei disturbi mentali tra le cause di erogazione delle prestazioni di invalidità e di inabilità, e la loro tendenza a colpire lavoratori in età produttiva. I dati previdenziali nazionali confermano la rilevanza della causa psichica tra le prestazioni di invalidità; i dati regionali saranno acquisiti nella fase di consolidamento.</w:t>
      </w:r>
    </w:p>
    <w:p w14:paraId="25D681B0" w14:textId="77777777" w:rsidR="007C4598" w:rsidRDefault="00000000">
      <w:pPr>
        <w:jc w:val="both"/>
      </w:pPr>
      <w:r>
        <w:rPr>
          <w:color w:val="555555"/>
          <w:sz w:val="16"/>
          <w:szCs w:val="16"/>
          <w:vertAlign w:val="superscript"/>
        </w:rPr>
        <w:t>[10]</w:t>
      </w:r>
      <w:r>
        <w:t xml:space="preserve">: Le tre forme dell’uscita dal lavoro per cause psichiche corrispondono a istituti distinti: le prestazioni previdenziali di inabilità e di invalidità, erogate sulla base della storia contributiva; le prestazioni di invalidità civile, erogate sulla base del riconoscimento dell’invalidità indipendentemente dalla contribuzione; e il pensionamento anticipato favorito dalla compromissione della salute. La distinzione tra prestazioni previdenziali e prestazioni assistenziali è rilevante per la non duplicazione con il dominio </w:t>
      </w:r>
      <w:proofErr w:type="spellStart"/>
      <w:r>
        <w:t>welfaristico</w:t>
      </w:r>
      <w:proofErr w:type="spellEnd"/>
      <w:r>
        <w:t>.</w:t>
      </w:r>
    </w:p>
    <w:p w14:paraId="313A0F96" w14:textId="77777777" w:rsidR="007C4598" w:rsidRDefault="00000000">
      <w:pPr>
        <w:jc w:val="both"/>
      </w:pPr>
      <w:r>
        <w:rPr>
          <w:color w:val="555555"/>
          <w:sz w:val="16"/>
          <w:szCs w:val="16"/>
          <w:vertAlign w:val="superscript"/>
        </w:rPr>
        <w:t>[11]</w:t>
      </w:r>
      <w:r>
        <w:t>: La graduazione del dominio pensionistico è inferiore a quella del dominio lavorativo per la maggiore lunghezza e incertezza della catena causale che conduce dalla prevenzione clinica all’esito invalidante evitato, esito determinato da una pluralità di fattori di cui l’intervento precoce è soltanto uno. La banda del beneficio è di conseguenza ampia, e la stima centrale va letta come punto mediano di un intervallo esteso.</w:t>
      </w:r>
    </w:p>
    <w:p w14:paraId="1B74AE62" w14:textId="77777777" w:rsidR="007C4598" w:rsidRDefault="00000000">
      <w:pPr>
        <w:jc w:val="both"/>
      </w:pPr>
      <w:r>
        <w:rPr>
          <w:color w:val="555555"/>
          <w:sz w:val="16"/>
          <w:szCs w:val="16"/>
          <w:vertAlign w:val="superscript"/>
        </w:rPr>
        <w:t>[12]</w:t>
      </w:r>
      <w:r>
        <w:t xml:space="preserve">: La separazione tra il dominio lavorativo e il dominio pensionistico è garantita dalla soglia tra la produttività di breve periodo del lavoratore che resta occupato, attribuita al primo, e l’uscita permanente dal lavoro evitata, attribuita al secondo. Nessun euro è contato in entrambi i domini. La separazione tra il dominio pensionistico e il dominio </w:t>
      </w:r>
      <w:proofErr w:type="spellStart"/>
      <w:r>
        <w:t>welfaristico</w:t>
      </w:r>
      <w:proofErr w:type="spellEnd"/>
      <w:r>
        <w:t xml:space="preserve"> è garantita dalla distinzione tra prestazioni previdenziali e prestazioni assistenziali non previdenziali. Entrambe le decurtazioni sono riprese e applicate nella voce conclusiva (sezione 9.17).</w:t>
      </w:r>
    </w:p>
    <w:p w14:paraId="6652A49D" w14:textId="77777777" w:rsidR="007C4598" w:rsidRDefault="00000000">
      <w:pPr>
        <w:jc w:val="both"/>
      </w:pPr>
      <w:r>
        <w:rPr>
          <w:color w:val="555555"/>
          <w:sz w:val="16"/>
          <w:szCs w:val="16"/>
          <w:vertAlign w:val="superscript"/>
        </w:rPr>
        <w:t>[13]</w:t>
      </w:r>
      <w:r>
        <w:t>: Il dominio produttivistico è trattato come sintesi che integra senza aggiungere, in applicazione della regola di non duplicazione enunciata nella sezione 1.5 e ripresa nell’introduzione alla presente parte. Esso conta esclusivamente la componente residua di output — mortalità prematura e capitale umano di lungo periodo — non già attribuita ai domini lavorativo (9.1, produttività del lavoratore occupato) e pensionistico (9.2, uscita permanente dal lavoro). L’approccio adottato è quello del capitale umano, in coerenza con gli altri domini produttivi e senza combinazione con il metodo del costo per attrito.</w:t>
      </w:r>
    </w:p>
    <w:p w14:paraId="0B821206" w14:textId="77777777" w:rsidR="007C4598" w:rsidRDefault="00000000">
      <w:pPr>
        <w:jc w:val="both"/>
      </w:pPr>
      <w:r>
        <w:rPr>
          <w:color w:val="555555"/>
          <w:sz w:val="16"/>
          <w:szCs w:val="16"/>
          <w:vertAlign w:val="superscript"/>
        </w:rPr>
        <w:t>[14]</w:t>
      </w:r>
      <w:r>
        <w:t>: I disturbi mentali sono associati a un eccesso di mortalità prematura, riconducibile tanto al suicidio quanto a un più elevato rischio di mortalità per cause somatiche concomitanti. La letteratura epidemiologica internazionale documenta una significativa riduzione dell’aspettativa di vita associata ai disturbi mentali gravi e un eccesso di mortalità anche per i disturbi comuni non trattati. La stima della quota di tale mortalità prevenibile dal solo intervento di primo livello è soggetta a evidenza di qualità bassa, e la relativa componente è quantificata con la massima prudenza; i dati regionali saranno acquisiti nella fase di consolidamento.</w:t>
      </w:r>
    </w:p>
    <w:p w14:paraId="17FA34BE" w14:textId="77777777" w:rsidR="007C4598" w:rsidRDefault="00000000">
      <w:pPr>
        <w:jc w:val="both"/>
      </w:pPr>
      <w:r>
        <w:rPr>
          <w:color w:val="555555"/>
          <w:sz w:val="16"/>
          <w:szCs w:val="16"/>
          <w:vertAlign w:val="superscript"/>
        </w:rPr>
        <w:t>[15]</w:t>
      </w:r>
      <w:r>
        <w:t>: La letteratura economica sul capitale umano documenta che il disagio psichico prolungato erode nel tempo le competenze, l’esperienza e le traiettorie professionali, generando una perdita dinamica di lungo periodo che eccede la perdita di produttività di breve periodo. La quantificazione di questa componente è prevalentemente teorica e soggetta a evidenza di qualità bassa; essa è inclusa nel dominio produttivistico come componente residua, distinta dalla produttività di breve periodo del dominio lavorativo.</w:t>
      </w:r>
    </w:p>
    <w:p w14:paraId="74C61837" w14:textId="77777777" w:rsidR="007C4598" w:rsidRDefault="00000000">
      <w:pPr>
        <w:jc w:val="both"/>
      </w:pPr>
      <w:r>
        <w:rPr>
          <w:color w:val="555555"/>
          <w:sz w:val="16"/>
          <w:szCs w:val="16"/>
          <w:vertAlign w:val="superscript"/>
        </w:rPr>
        <w:t>[16]</w:t>
      </w:r>
      <w:r>
        <w:t xml:space="preserve">: La valutazione monetaria dell’assistenza informale prestata dai </w:t>
      </w:r>
      <w:proofErr w:type="spellStart"/>
      <w:r>
        <w:t>caregiver</w:t>
      </w:r>
      <w:proofErr w:type="spellEnd"/>
      <w:r>
        <w:t xml:space="preserve"> può essere condotta secondo l’approccio del costo di sostituzione, che la valuta al costo di un’assistenza professionale equivalente, o secondo l’approccio del costo opportunità, che la valuta al valore delle attività alternative cui i </w:t>
      </w:r>
      <w:proofErr w:type="spellStart"/>
      <w:r>
        <w:t>caregiver</w:t>
      </w:r>
      <w:proofErr w:type="spellEnd"/>
      <w:r>
        <w:t xml:space="preserve"> potrebbero dedicarsi. I due approcci producono stime diverse e non sono combinati; la presente parte adotta un criterio prudenziale dichiarato. Cfr. la letteratura sull’economia dell’assistenza informale e la scheda metodologica nell’appendice C.</w:t>
      </w:r>
    </w:p>
    <w:p w14:paraId="6E9BE2D9" w14:textId="77777777" w:rsidR="007C4598" w:rsidRDefault="00000000">
      <w:pPr>
        <w:jc w:val="both"/>
      </w:pPr>
      <w:r>
        <w:rPr>
          <w:color w:val="555555"/>
          <w:sz w:val="16"/>
          <w:szCs w:val="16"/>
          <w:vertAlign w:val="superscript"/>
        </w:rPr>
        <w:t>[17]</w:t>
      </w:r>
      <w:r>
        <w:t xml:space="preserve">: Il dominio assistenzialistico fonda la propria additività rispetto agli altri domini su una distinzione di soggetti: esso riguarda i </w:t>
      </w:r>
      <w:proofErr w:type="spellStart"/>
      <w:r>
        <w:t>caregiver</w:t>
      </w:r>
      <w:proofErr w:type="spellEnd"/>
      <w:r>
        <w:t xml:space="preserve">, persone diverse dal paziente. La produttività del </w:t>
      </w:r>
      <w:proofErr w:type="spellStart"/>
      <w:r>
        <w:t>caregiver</w:t>
      </w:r>
      <w:proofErr w:type="spellEnd"/>
      <w:r>
        <w:t xml:space="preserve"> conservata, in particolare, non si sovrappone alla produttività del paziente colta dal dominio lavorativo (9.1), poiché si tratta di soggetti diversi; le due grandezze sono pertanto distinte e sommabili. Questa è la peculiarità della non duplicazione nel dominio assistenzialistico.</w:t>
      </w:r>
    </w:p>
    <w:p w14:paraId="6D5A9C2F" w14:textId="77777777" w:rsidR="007C4598" w:rsidRDefault="00000000">
      <w:pPr>
        <w:jc w:val="both"/>
      </w:pPr>
      <w:r>
        <w:rPr>
          <w:color w:val="555555"/>
          <w:sz w:val="16"/>
          <w:szCs w:val="16"/>
          <w:vertAlign w:val="superscript"/>
        </w:rPr>
        <w:t>[18]</w:t>
      </w:r>
      <w:r>
        <w:t xml:space="preserve">: La graduazione del dominio </w:t>
      </w:r>
      <w:proofErr w:type="spellStart"/>
      <w:r>
        <w:t>welfaristico</w:t>
      </w:r>
      <w:proofErr w:type="spellEnd"/>
      <w:r>
        <w:t xml:space="preserve"> è da intermedia a bassa per la forte mediazione esercitata dal contesto socio-economico sulla traduzione del miglioramento clinico in minore ricorso alle prestazioni assistenziali. In una regione segnata dal disagio sociale come la Puglia, la relazione tra disagio psichico e ricorso all’assistenza è intrecciata con fattori economici e occupazionali indipendenti, che complicano l’attribuzione e impongono bande prudenziali ampie.</w:t>
      </w:r>
    </w:p>
    <w:p w14:paraId="4826B2EE" w14:textId="77777777" w:rsidR="007C4598" w:rsidRDefault="00000000">
      <w:pPr>
        <w:jc w:val="both"/>
      </w:pPr>
      <w:r>
        <w:rPr>
          <w:color w:val="555555"/>
          <w:sz w:val="16"/>
          <w:szCs w:val="16"/>
          <w:vertAlign w:val="superscript"/>
        </w:rPr>
        <w:t>[19]</w:t>
      </w:r>
      <w:r>
        <w:t xml:space="preserve">: La distinzione tra il dominio pensionistico (9.2) e il dominio </w:t>
      </w:r>
      <w:proofErr w:type="spellStart"/>
      <w:r>
        <w:t>welfaristico</w:t>
      </w:r>
      <w:proofErr w:type="spellEnd"/>
      <w:r>
        <w:t xml:space="preserve"> (9.5) si fonda sulla base giuridica della prestazione: il dominio pensionistico coglie le prestazioni previdenziali fondate sulla contribuzione (pensioni di inabilità, assegni di invalidità) e le prestazioni di invalidità civile a carattere pensionistico; il dominio </w:t>
      </w:r>
      <w:proofErr w:type="spellStart"/>
      <w:r>
        <w:t>welfaristico</w:t>
      </w:r>
      <w:proofErr w:type="spellEnd"/>
      <w:r>
        <w:t xml:space="preserve"> coglie le prestazioni assistenziali fondate sul bisogno e non sulla contribuzione (indennità di accompagnamento e prestazioni analoghe, misure di sostegno al reddito). Le due categorie sono distinte e non sovrapposte; la decurtazione per non duplicazione è ripresa nella sezione 9.17.</w:t>
      </w:r>
    </w:p>
    <w:p w14:paraId="0FAB380B" w14:textId="77777777" w:rsidR="007C4598" w:rsidRDefault="00000000">
      <w:pPr>
        <w:jc w:val="both"/>
      </w:pPr>
      <w:r>
        <w:rPr>
          <w:color w:val="555555"/>
          <w:sz w:val="16"/>
          <w:szCs w:val="16"/>
          <w:vertAlign w:val="superscript"/>
        </w:rPr>
        <w:t>[20]</w:t>
      </w:r>
      <w:r>
        <w:t>: L’attribuzione al disagio psichico prevenibile di una quota della spesa assistenziale non previdenziale è resa difficile, nel contesto pugliese, dall’intreccio tra disagio psichico e disagio socio-economico, ciascuno dei quali può essere causa o conseguenza dell’altro. La stima isola prudenzialmente la sola quota plausibilmente riconducibile al disagio psichico prevenibile, e la verifica documentale, nella fase di consolidamento, mirerà a precisare tale attribuzione sui dati regionali.</w:t>
      </w:r>
    </w:p>
    <w:p w14:paraId="3691C0D5" w14:textId="77777777" w:rsidR="007C4598" w:rsidRDefault="00000000">
      <w:pPr>
        <w:jc w:val="both"/>
      </w:pPr>
      <w:r>
        <w:rPr>
          <w:color w:val="555555"/>
          <w:sz w:val="16"/>
          <w:szCs w:val="16"/>
          <w:vertAlign w:val="superscript"/>
        </w:rPr>
        <w:t>[21]</w:t>
      </w:r>
      <w:r>
        <w:t xml:space="preserve">: Il dominio </w:t>
      </w:r>
      <w:proofErr w:type="spellStart"/>
      <w:r>
        <w:t>prevenzionalistico</w:t>
      </w:r>
      <w:proofErr w:type="spellEnd"/>
      <w:r>
        <w:t xml:space="preserve"> è trattato, come il produttivistico, come ambito in parte trasversale: la prevenzione è il meccanismo attraverso cui la riforma genera la maggior parte dei propri benefici, già contabilizzati come benefici presenti nei risparmi diretti (parte ottava) e nei domini lavorativo (9.1) e pensionistico (9.2). Per evitare il doppio conteggio, il dominio quantifica la sola componente prospettica residua — i costi futuri evitati attraverso la prevenzione delle ricadute e della cronicizzazione — non già colta come beneficio presente dagli altri domini.</w:t>
      </w:r>
    </w:p>
    <w:p w14:paraId="109F861F" w14:textId="77777777" w:rsidR="007C4598" w:rsidRDefault="00000000">
      <w:pPr>
        <w:jc w:val="both"/>
      </w:pPr>
      <w:r>
        <w:rPr>
          <w:color w:val="555555"/>
          <w:sz w:val="16"/>
          <w:szCs w:val="16"/>
          <w:vertAlign w:val="superscript"/>
        </w:rPr>
        <w:t>[22]</w:t>
      </w:r>
      <w:r>
        <w:t>: La distinzione tra i tre livelli di prevenzione (primaria, secondaria, terziaria) è quella consolidata nella sanità pubblica. La prevenzione secondaria, su cui lo Psicologo di Base opera più direttamente attraverso l’intercettazione precoce, e la prevenzione terziaria, che contiene la progressione del disturbo conclamato, generano un valore prospettico di costi futuri evitati. La componente presente di tale valore è già contabilizzata altrove; il dominio coglie la sola componente prospettica residua, attualizzata.</w:t>
      </w:r>
    </w:p>
    <w:p w14:paraId="52E90576" w14:textId="77777777" w:rsidR="007C4598" w:rsidRDefault="00000000">
      <w:pPr>
        <w:jc w:val="both"/>
      </w:pPr>
      <w:r>
        <w:rPr>
          <w:color w:val="555555"/>
          <w:sz w:val="16"/>
          <w:szCs w:val="16"/>
          <w:vertAlign w:val="superscript"/>
        </w:rPr>
        <w:t>[23]</w:t>
      </w:r>
      <w:r>
        <w:t xml:space="preserve">: La quantificazione della prevenzione delle ricadute e della cronicizzazione si fonda sulla letteratura relativa all’efficacia di lungo periodo della presa in carico e del monitoraggio, e sui modelli di decorso del disturbo. Questa componente è strettamente collegata alla modellazione di lungo periodo della parte undicesima (modello di </w:t>
      </w:r>
      <w:proofErr w:type="spellStart"/>
      <w:r>
        <w:t>Markov</w:t>
      </w:r>
      <w:proofErr w:type="spellEnd"/>
      <w:r>
        <w:t xml:space="preserve"> e </w:t>
      </w:r>
      <w:proofErr w:type="spellStart"/>
      <w:r>
        <w:t>microsimulazione</w:t>
      </w:r>
      <w:proofErr w:type="spellEnd"/>
      <w:r>
        <w:t>), che proietta nel tempo i decorsi e i costi; la stima della componente residua sarà coordinata con tale modellazione nella fase di consolidamento.</w:t>
      </w:r>
    </w:p>
    <w:p w14:paraId="50837488" w14:textId="77777777" w:rsidR="007C4598" w:rsidRDefault="00000000">
      <w:pPr>
        <w:jc w:val="both"/>
      </w:pPr>
      <w:r>
        <w:rPr>
          <w:color w:val="555555"/>
          <w:sz w:val="16"/>
          <w:szCs w:val="16"/>
          <w:vertAlign w:val="superscript"/>
        </w:rPr>
        <w:t>[24]</w:t>
      </w:r>
      <w:r>
        <w:t>: La graduazione del dominio criminologico è bassa, tra le più basse della parte, in ragione della lunghezza e dell’incertezza della catena causale, della limitatezza e della natura mediata della frazione su cui il dominio agisce, e della difficoltà di attribuire al solo intervento di cura un esito determinato da una pluralità di fattori sociali ed economici. La banda del beneficio è di conseguenza ampia, e la stima centrale è deliberatamente contenuta.</w:t>
      </w:r>
    </w:p>
    <w:p w14:paraId="5E1A5820" w14:textId="77777777" w:rsidR="007C4598" w:rsidRDefault="00000000">
      <w:pPr>
        <w:jc w:val="both"/>
      </w:pPr>
      <w:r>
        <w:rPr>
          <w:color w:val="555555"/>
          <w:sz w:val="16"/>
          <w:szCs w:val="16"/>
          <w:vertAlign w:val="superscript"/>
        </w:rPr>
        <w:t>[25]</w:t>
      </w:r>
      <w:r>
        <w:t>: La letteratura criminologica ed epidemiologica documenta in modo concorde che la grande maggioranza delle persone con disturbi psichici non è coinvolta in alcuna forma di devianza, e che esse sono più frequentemente vittime che autrici di atti di violenza. La relazione tra disagio e contatto con il sistema giudiziario, ove esista, è indiretta e mediata da fattori quali l’abbandono, l’esclusione sociale e la concomitanza di altri fattori di disagio, e riguarda prevalentemente i disturbi gravi non trattati. Il dominio non misura un nesso tra disturbo e devianza, ma il valore della cura nel prevenire l’abbandono da cui un contatto penale può trarre origine in una frazione piccola e mediata di situazioni.</w:t>
      </w:r>
    </w:p>
    <w:p w14:paraId="33B3B1D8" w14:textId="77777777" w:rsidR="007C4598" w:rsidRDefault="00000000">
      <w:pPr>
        <w:jc w:val="both"/>
      </w:pPr>
      <w:r>
        <w:rPr>
          <w:color w:val="555555"/>
          <w:sz w:val="16"/>
          <w:szCs w:val="16"/>
          <w:vertAlign w:val="superscript"/>
        </w:rPr>
        <w:t>[26]</w:t>
      </w:r>
      <w:r>
        <w:t>: I dati sulla presenza di persone con disturbi psichici non adeguatamente presi in carico nel circuito penale e detentivo, e sull’efficacia dei percorsi di diversione verso la cura e di reinserimento, vanno trattati con cautela e nel rispetto della dignità delle persone. Essi riguardano una frazione limitata del fenomeno complessivo e saranno acquisiti, nel rispetto di tali cautele, nella fase di consolidamento; la loro lettura resterà sempre vincolata all’interpretazione corretta del dominio.</w:t>
      </w:r>
    </w:p>
    <w:p w14:paraId="0FBA8CBB" w14:textId="77777777" w:rsidR="007C4598" w:rsidRDefault="00000000">
      <w:pPr>
        <w:jc w:val="both"/>
      </w:pPr>
      <w:r>
        <w:rPr>
          <w:color w:val="555555"/>
          <w:sz w:val="16"/>
          <w:szCs w:val="16"/>
          <w:vertAlign w:val="superscript"/>
        </w:rPr>
        <w:t>[27]</w:t>
      </w:r>
      <w:r>
        <w:t>: Il beneficio burocratico riguarda l’efficienza del processo amministrativo — il costo del tempo dedicato agli adempimenti e alla gestione — distinto dal costo sostanziale delle prestazioni, già colto dagli altri domini. La distinzione tra costo del processo e costo della prestazione garantisce la non duplicazione. La graduazione è intermedia per l’effetto organizzativo di semplificazione e più incerta per la sua quantificazione economica, che dipende dalla misurazione del tempo amministrativo risparmiato.</w:t>
      </w:r>
    </w:p>
    <w:p w14:paraId="02B58C92" w14:textId="77777777" w:rsidR="007C4598" w:rsidRDefault="00000000">
      <w:pPr>
        <w:jc w:val="both"/>
      </w:pPr>
      <w:r>
        <w:rPr>
          <w:color w:val="555555"/>
          <w:sz w:val="16"/>
          <w:szCs w:val="16"/>
          <w:vertAlign w:val="superscript"/>
        </w:rPr>
        <w:t>[28]</w:t>
      </w:r>
      <w:r>
        <w:t>: Il dominio culturale è trattato come dominio a prevalente natura qualitativa: solo la componente dello stigma come barriera all’accesso è quantificata, nella sua quota monetizzabile residua, mentre l’alfabetizzazione psicologica è riconosciuta nella sua dimensione qualitativa e non monetizzata. L’esclusione del qualitativo dall’aggregato monetario non ne nega il valore, ma ne rispetta l’irriducibilità, ed evita di attribuire una falsa precisione numerica a un bene immateriale. Questo criterio governa i domini a prevalente natura culturale, formativa e relazionale della presente tranche.</w:t>
      </w:r>
    </w:p>
    <w:p w14:paraId="09DE7E15" w14:textId="77777777" w:rsidR="007C4598" w:rsidRDefault="00000000">
      <w:pPr>
        <w:jc w:val="both"/>
      </w:pPr>
      <w:r>
        <w:rPr>
          <w:color w:val="555555"/>
          <w:sz w:val="16"/>
          <w:szCs w:val="16"/>
          <w:vertAlign w:val="superscript"/>
        </w:rPr>
        <w:t>[29]</w:t>
      </w:r>
      <w:r>
        <w:t xml:space="preserve">: Lo stigma, sociale e interiorizzato, costituisce una barriera documentata all’accesso alle cure per la salute mentale, e ritarda la richiesta di aiuto. La letteratura sulla salute pubblica documenta l’effetto dello stigma sul ritardo nell’accesso e l’effetto di normalizzazione esercitato dalla prossimità e dalla diffusione dei servizi. La componente monetizzata del dominio culturale coglie la sola quota della riduzione del ritardo non già contabilizzata dai domini sanitari e produttivi e dal dominio </w:t>
      </w:r>
      <w:proofErr w:type="spellStart"/>
      <w:r>
        <w:t>prevenzionalistico</w:t>
      </w:r>
      <w:proofErr w:type="spellEnd"/>
      <w:r>
        <w:t>.</w:t>
      </w:r>
    </w:p>
    <w:p w14:paraId="37979238" w14:textId="77777777" w:rsidR="007C4598" w:rsidRDefault="00000000">
      <w:pPr>
        <w:jc w:val="both"/>
      </w:pPr>
      <w:r>
        <w:rPr>
          <w:color w:val="555555"/>
          <w:sz w:val="16"/>
          <w:szCs w:val="16"/>
          <w:vertAlign w:val="superscript"/>
        </w:rPr>
        <w:t>[30]</w:t>
      </w:r>
      <w:r>
        <w:t>: Il disagio psichico in età evolutiva incide su un capitale umano in formazione, e le sue conseguenze, se il disturbo non è intercettato, si protraggono per l’intera vita, con la dispersione scolastica quale esito più grave sul piano del capitale umano. La relazione tra disagio non trattato e dispersione è mediata dal contesto socio-economico, particolarmente rilevante in Puglia. Il valore del capitale umano dei giovani preservato è valutato secondo l’approccio del capitale umano e attualizzato, data la sua proiezione sulla vita futura.</w:t>
      </w:r>
    </w:p>
    <w:p w14:paraId="4CD14DB8" w14:textId="77777777" w:rsidR="007C4598" w:rsidRDefault="00000000">
      <w:pPr>
        <w:jc w:val="both"/>
      </w:pPr>
      <w:r>
        <w:rPr>
          <w:color w:val="555555"/>
          <w:sz w:val="16"/>
          <w:szCs w:val="16"/>
          <w:vertAlign w:val="superscript"/>
        </w:rPr>
        <w:t>[31]</w:t>
      </w:r>
      <w:r>
        <w:t>: La distinzione tra il dominio pedagogico-scolastico (9.10) e i domini lavorativo (9.1) e produttivistico (9.3) si fonda sulla diversa popolazione e sulla diversa fase del ciclo di vita: il dominio pedagogico-scolastico riguarda la popolazione giovanile in formazione, i domini lavorativo e produttivistico la popolazione adulta occupata. Il capitale umano dei giovani preservato non si sovrappone alla produttività degli adulti né al loro capitale umano di lungo periodo; le popolazioni e le fasi sono diverse. La decurtazione per non duplicazione è ripresa nella sezione 9.17.</w:t>
      </w:r>
    </w:p>
    <w:p w14:paraId="149F5F2B" w14:textId="77777777" w:rsidR="007C4598" w:rsidRDefault="00000000">
      <w:pPr>
        <w:jc w:val="both"/>
      </w:pPr>
      <w:r>
        <w:rPr>
          <w:color w:val="555555"/>
          <w:sz w:val="16"/>
          <w:szCs w:val="16"/>
          <w:vertAlign w:val="superscript"/>
        </w:rPr>
        <w:t>[32]</w:t>
      </w:r>
      <w:r>
        <w:t>: Il dominio accademico è quello in cui il divario tra valore reale e valore monetizzabile è più ampio: il valore della riforma come infrastruttura di conoscenza, di ricerca e di innovazione è reale e potenzialmente rilevante, ma prevalentemente qualitativo e di lungo periodo. Solo la quota traducibile della generazione di evidenza è monetizzata, in misura minima; l’innovazione e la formazione sono riconosciute qualitativamente e non monetizzate, nel rispetto della loro natura immateriale.</w:t>
      </w:r>
    </w:p>
    <w:p w14:paraId="4112A77F" w14:textId="77777777" w:rsidR="007C4598" w:rsidRDefault="00000000">
      <w:pPr>
        <w:jc w:val="both"/>
      </w:pPr>
      <w:r>
        <w:rPr>
          <w:color w:val="555555"/>
          <w:sz w:val="16"/>
          <w:szCs w:val="16"/>
          <w:vertAlign w:val="superscript"/>
        </w:rPr>
        <w:t>[33]</w:t>
      </w:r>
      <w:r>
        <w:t>: Il dominio industriale coglie il livello dell’organizzazione — turnover, costi di sostituzione, clima organizzativo — distinto dal livello individuale del lavoratore colto dal dominio lavorativo (9.1). La graduazione è intermedia, soggetta alla difficoltà di misurare il valore organizzativo distintamente da quello individuale e alla qualità variabile dell’evidenza sulla relazione tra benessere, turnover e clima.</w:t>
      </w:r>
    </w:p>
    <w:p w14:paraId="03B099CB" w14:textId="77777777" w:rsidR="007C4598" w:rsidRDefault="00000000">
      <w:pPr>
        <w:jc w:val="both"/>
      </w:pPr>
      <w:r>
        <w:rPr>
          <w:color w:val="555555"/>
          <w:sz w:val="16"/>
          <w:szCs w:val="16"/>
          <w:vertAlign w:val="superscript"/>
        </w:rPr>
        <w:t>[34]</w:t>
      </w:r>
      <w:r>
        <w:t xml:space="preserve">: La distinzione tra il dominio industriale (9.12) e il dominio lavorativo (9.1) si fonda sul diverso livello di analisi: il dominio lavorativo coglie la produttività del singolo lavoratore (assenteismo, </w:t>
      </w:r>
      <w:proofErr w:type="spellStart"/>
      <w:r>
        <w:t>presenteismo</w:t>
      </w:r>
      <w:proofErr w:type="spellEnd"/>
      <w:r>
        <w:t xml:space="preserve"> individuali); il dominio industriale coglie gli effetti a livello dell’organizzazione (turnover, costi di sostituzione, clima). I due livelli sono distinti e additivi, perché colgono dimensioni diverse — l’individuo e l’organizzazione — del medesimo fenomeno. La decurtazione per non duplicazione è ripresa nella sezione 9.17.</w:t>
      </w:r>
    </w:p>
    <w:p w14:paraId="2908AE61" w14:textId="77777777" w:rsidR="007C4598" w:rsidRDefault="00000000">
      <w:pPr>
        <w:jc w:val="both"/>
      </w:pPr>
      <w:r>
        <w:rPr>
          <w:color w:val="555555"/>
          <w:sz w:val="16"/>
          <w:szCs w:val="16"/>
          <w:vertAlign w:val="superscript"/>
        </w:rPr>
        <w:t>[35]</w:t>
      </w:r>
      <w:r>
        <w:t>: Il dominio sindacale reca un valore prevalentemente istituzionale, connesso al rafforzamento della tutela della salute mentale dei lavoratori e della cultura della prevenzione del rischio psicosociale. Solo la minima componente residua del sostegno alla prevenzione del rischio psicosociale è monetizzata, distinta dai domini lavorativo (9.1) e industriale (9.12); il rafforzamento della tutela collettiva è riconosciuto nella sua dimensione istituzionale e non monetizzato.</w:t>
      </w:r>
    </w:p>
    <w:p w14:paraId="4D168A77" w14:textId="77777777" w:rsidR="007C4598" w:rsidRDefault="00000000">
      <w:pPr>
        <w:jc w:val="both"/>
      </w:pPr>
      <w:r>
        <w:rPr>
          <w:color w:val="555555"/>
          <w:sz w:val="16"/>
          <w:szCs w:val="16"/>
          <w:vertAlign w:val="superscript"/>
        </w:rPr>
        <w:t>[36]</w:t>
      </w:r>
      <w:r>
        <w:t>: Il rischio psicosociale — lo stress lavoro-correlato e i fattori organizzativi e relazionali che incidono sulla salute mentale — è riconosciuto tra i rischi da prevenire nei luoghi di lavoro dalla normativa sulla sicurezza. La tutela della salute mentale dei lavoratori è una funzione della protezione collettiva, su cui la riforma incide indirettamente rafforzando la disponibilità di cure prossime; la componente monetizzata coglie la sola quota residua non già attribuita ai domini lavorativo e industriale.</w:t>
      </w:r>
    </w:p>
    <w:p w14:paraId="74CADF27" w14:textId="77777777" w:rsidR="007C4598" w:rsidRDefault="00000000">
      <w:pPr>
        <w:jc w:val="both"/>
      </w:pPr>
      <w:r>
        <w:rPr>
          <w:color w:val="555555"/>
          <w:sz w:val="16"/>
          <w:szCs w:val="16"/>
          <w:vertAlign w:val="superscript"/>
        </w:rPr>
        <w:t>[37]</w:t>
      </w:r>
      <w:r>
        <w:t>: Il dominio antropologico è trattato come genuinamente non monetizzabile: il valore della trasformazione del rapporto della comunità con la sofferenza psichica e dell’accrescimento della sua capacità di accoglienza e cura informale è profondo e reale, ma di natura tale da non potersi ridurre a una cifra senza tradirlo. La sua esclusione dall’aggregato monetario è una scelta di rigore e di rispetto per la natura del valore, non un segno di marginalità; il valore è riconosciuto nella sua dimensione qualitativa e antropologica.</w:t>
      </w:r>
    </w:p>
    <w:p w14:paraId="25DFD8E6" w14:textId="77777777" w:rsidR="007C4598" w:rsidRDefault="00000000">
      <w:pPr>
        <w:jc w:val="both"/>
      </w:pPr>
      <w:r>
        <w:rPr>
          <w:color w:val="555555"/>
          <w:sz w:val="16"/>
          <w:szCs w:val="16"/>
          <w:vertAlign w:val="superscript"/>
        </w:rPr>
        <w:t>[38]</w:t>
      </w:r>
      <w:r>
        <w:t>: Il dominio sociale, come l’antropologico, è trattato come genuinamente non monetizzabile: il capitale sociale — il patrimonio immateriale di fiducia, reti di relazioni, partecipazione e coesione — è un bene collettivo e relazionale, reale e fondamentale per il benessere delle comunità, ma irriducibile alla misura monetaria. La presenza di domini non monetizzati nel perimetro integrale riconosce che non tutto il valore generato dalla riforma è monetizzabile, e che la pluralità dei valori esige una pluralità di trattamenti.</w:t>
      </w:r>
    </w:p>
    <w:p w14:paraId="1790C174" w14:textId="77777777" w:rsidR="007C4598" w:rsidRDefault="00000000">
      <w:pPr>
        <w:jc w:val="both"/>
      </w:pPr>
      <w:r>
        <w:rPr>
          <w:color w:val="555555"/>
          <w:sz w:val="16"/>
          <w:szCs w:val="16"/>
          <w:vertAlign w:val="superscript"/>
        </w:rPr>
        <w:t>[39]</w:t>
      </w:r>
      <w:r>
        <w:t>: Il dominio finanziario è trattato come lente di consolidamento, non come addendo autonomo, in applicazione della regola di non duplicazione: esso ricompone in una prospettiva finanziaria unitaria gli effetti sui bilanci regionali già attribuiti agli altri domini e ai risparmi diretti (parte ottava), senza ricontarli. Solo la componente residua di stabilizzazione e prevedibilità dei bilanci — distinta dall’entità della spesa, già contabilizzata — è quantificata. La sintesi finanziaria compiuta è sviluppata nella decima parte (analisi di impatto di bilancio) e nell’undicesima (modellazione di lungo periodo).</w:t>
      </w:r>
    </w:p>
    <w:p w14:paraId="275A4713" w14:textId="77777777" w:rsidR="007C4598" w:rsidRDefault="00000000">
      <w:pPr>
        <w:jc w:val="both"/>
      </w:pPr>
      <w:r>
        <w:rPr>
          <w:color w:val="555555"/>
          <w:sz w:val="16"/>
          <w:szCs w:val="16"/>
          <w:vertAlign w:val="superscript"/>
        </w:rPr>
        <w:t>[40]</w:t>
      </w:r>
      <w:r>
        <w:t>: La funzione di consolidamento del dominio finanziario non aggiunge valore, ma lo ricompone: essa ricostruisce il quadro complessivo dell’impatto della riforma sui bilanci regionali a partire dagli effetti già attribuiti agli altri domini, offrendo al decisore una visione finanziaria unitaria. Il doppio conteggio è evitato distinguendo la ricomposizione (che non riconta) dalla sola componente residua di stabilizzazione (che il dominio aggiunge in proprio).</w:t>
      </w:r>
    </w:p>
    <w:p w14:paraId="4D6565C4" w14:textId="77777777" w:rsidR="007C4598" w:rsidRDefault="00000000">
      <w:pPr>
        <w:jc w:val="both"/>
      </w:pPr>
      <w:r>
        <w:rPr>
          <w:color w:val="555555"/>
          <w:sz w:val="16"/>
          <w:szCs w:val="16"/>
          <w:vertAlign w:val="superscript"/>
        </w:rPr>
        <w:t>[41]</w:t>
      </w:r>
      <w:r>
        <w:t xml:space="preserve">: Con il dominio finanziario il perimetro multidisciplinare integrale è interamente percorso: sedici domini, dal lavorativo al finanziario, attraversati ciascuno nella sua natura — economica, sociale, culturale, istituzionale, relazionale o di sintesi — e con il rispetto costante della regola di non duplicazione. La voce conclusiva (sezione 9.17) ricompone i domini monetizzabili in un aggregato netto, applica le decurtazioni per le sovrapposizioni residue tra domini contigui, e ne verifica la coerenza con l’ancora invariante di </w:t>
      </w:r>
      <w:proofErr w:type="spellStart"/>
      <w:r>
        <w:t>Chisholm</w:t>
      </w:r>
      <w:proofErr w:type="spellEnd"/>
      <w:r>
        <w:t>.</w:t>
      </w:r>
    </w:p>
    <w:p w14:paraId="45FDDD14" w14:textId="77777777" w:rsidR="007C4598" w:rsidRDefault="00000000">
      <w:r>
        <w:br w:type="page"/>
      </w:r>
    </w:p>
    <w:p w14:paraId="3717300B" w14:textId="77777777" w:rsidR="007C4598" w:rsidRDefault="00000000">
      <w:pPr>
        <w:spacing w:before="1200" w:after="200"/>
        <w:jc w:val="center"/>
      </w:pPr>
      <w:r>
        <w:rPr>
          <w:b/>
          <w:bCs/>
          <w:color w:val="C49A48"/>
          <w:sz w:val="64"/>
          <w:szCs w:val="64"/>
        </w:rPr>
        <w:t>PARTE X</w:t>
      </w:r>
    </w:p>
    <w:p w14:paraId="0F9ADF6E" w14:textId="77777777" w:rsidR="007C4598" w:rsidRDefault="00000000">
      <w:pPr>
        <w:spacing w:after="600"/>
        <w:jc w:val="center"/>
      </w:pPr>
      <w:r>
        <w:rPr>
          <w:b/>
          <w:bCs/>
          <w:color w:val="16264B"/>
          <w:sz w:val="32"/>
          <w:szCs w:val="32"/>
        </w:rPr>
        <w:t>Valutazione economica integrata e saldo consolidato</w:t>
      </w:r>
    </w:p>
    <w:p w14:paraId="437A32BD" w14:textId="77777777" w:rsidR="007C4598" w:rsidRDefault="007C4598">
      <w:pPr>
        <w:pBdr>
          <w:bottom w:val="single" w:sz="6" w:space="1" w:color="C49A48"/>
        </w:pBdr>
        <w:spacing w:after="200"/>
      </w:pPr>
    </w:p>
    <w:p w14:paraId="41F943D8" w14:textId="77777777" w:rsidR="007C4598" w:rsidRDefault="00000000">
      <w:pPr>
        <w:jc w:val="both"/>
      </w:pPr>
      <w:r>
        <w:t>Studio Integrale Puglia · Parte X — Valutazione economica integrata</w:t>
      </w:r>
    </w:p>
    <w:p w14:paraId="12AC7E61" w14:textId="77777777" w:rsidR="007C4598" w:rsidRDefault="007C4598"/>
    <w:p w14:paraId="7E78F898" w14:textId="77777777" w:rsidR="007C4598" w:rsidRDefault="00000000">
      <w:pPr>
        <w:jc w:val="both"/>
      </w:pPr>
      <w:r>
        <w:rPr>
          <w:b/>
          <w:bCs/>
        </w:rPr>
        <w:t>PROGETTO « PSICOLOGO DI BASE » · REGIONE PUGLIA</w:t>
      </w:r>
    </w:p>
    <w:p w14:paraId="01E5E99E" w14:textId="77777777" w:rsidR="007C4598" w:rsidRDefault="007C4598"/>
    <w:p w14:paraId="6C3FF264" w14:textId="77777777" w:rsidR="007C4598" w:rsidRDefault="00000000">
      <w:pPr>
        <w:jc w:val="both"/>
      </w:pPr>
      <w:r>
        <w:rPr>
          <w:b/>
          <w:bCs/>
        </w:rPr>
        <w:t>Studio Integrale, Finale e Definitivo</w:t>
      </w:r>
    </w:p>
    <w:p w14:paraId="6C42D5AC" w14:textId="77777777" w:rsidR="007C4598" w:rsidRDefault="007C4598"/>
    <w:p w14:paraId="5B0C151A" w14:textId="77777777" w:rsidR="007C4598" w:rsidRDefault="00000000">
      <w:pPr>
        <w:jc w:val="both"/>
      </w:pPr>
      <w:r>
        <w:rPr>
          <w:b/>
          <w:bCs/>
        </w:rPr>
        <w:t>Parte X</w:t>
      </w:r>
    </w:p>
    <w:p w14:paraId="79927CC1" w14:textId="77777777" w:rsidR="007C4598" w:rsidRDefault="007C4598"/>
    <w:p w14:paraId="03C8F10D" w14:textId="77777777" w:rsidR="007C4598" w:rsidRDefault="00000000">
      <w:pPr>
        <w:jc w:val="both"/>
      </w:pPr>
      <w:r>
        <w:rPr>
          <w:b/>
          <w:bCs/>
        </w:rPr>
        <w:t>Valutazione economica integrata</w:t>
      </w:r>
    </w:p>
    <w:p w14:paraId="4ED439A4" w14:textId="77777777" w:rsidR="007C4598" w:rsidRDefault="007C4598"/>
    <w:p w14:paraId="3EB43214" w14:textId="77777777" w:rsidR="007C4598" w:rsidRDefault="00000000">
      <w:pPr>
        <w:jc w:val="both"/>
      </w:pPr>
      <w:r>
        <w:rPr>
          <w:b/>
          <w:bCs/>
        </w:rPr>
        <w:t>e saldo consolidato</w:t>
      </w:r>
    </w:p>
    <w:p w14:paraId="21F1F984" w14:textId="77777777" w:rsidR="007C4598" w:rsidRDefault="007C4598"/>
    <w:p w14:paraId="5AFE0508" w14:textId="77777777" w:rsidR="007C4598" w:rsidRDefault="00000000">
      <w:pPr>
        <w:jc w:val="both"/>
      </w:pPr>
      <w:r>
        <w:rPr>
          <w:i/>
          <w:iCs/>
        </w:rPr>
        <w:t>La ricomposizione unitaria dei costi diretti, dei risparmi diretti e dei benefici indiretti, con la valutazione costo-</w:t>
      </w:r>
      <w:proofErr w:type="spellStart"/>
      <w:r>
        <w:rPr>
          <w:i/>
          <w:iCs/>
        </w:rPr>
        <w:t>utilit</w:t>
      </w:r>
      <w:proofErr w:type="spellEnd"/>
      <w:r>
        <w:rPr>
          <w:i/>
          <w:iCs/>
        </w:rPr>
        <w:t xml:space="preserve">\u00E0, l\u2019analisi di impatto di bilancio, il rendimento sociale </w:t>
      </w:r>
      <w:proofErr w:type="spellStart"/>
      <w:r>
        <w:rPr>
          <w:i/>
          <w:iCs/>
        </w:rPr>
        <w:t>dell</w:t>
      </w:r>
      <w:proofErr w:type="spellEnd"/>
      <w:r>
        <w:rPr>
          <w:i/>
          <w:iCs/>
        </w:rPr>
        <w:t>\u2019investimento e la sintesi multi-criterio, nel rispetto della distinzione tra grandezze fiscali e sociali</w:t>
      </w:r>
    </w:p>
    <w:p w14:paraId="5E13FA11" w14:textId="77777777" w:rsidR="007C4598" w:rsidRDefault="007C4598"/>
    <w:p w14:paraId="3F6D492C" w14:textId="77777777" w:rsidR="007C4598" w:rsidRDefault="00000000">
      <w:pPr>
        <w:jc w:val="both"/>
      </w:pPr>
      <w:r>
        <w:t xml:space="preserve">Telaio HTA · </w:t>
      </w:r>
      <w:proofErr w:type="spellStart"/>
      <w:r>
        <w:t>Five</w:t>
      </w:r>
      <w:proofErr w:type="spellEnd"/>
      <w:r>
        <w:t xml:space="preserve"> Case Model · CHEERS 2022 · criteri OCSE-DAC</w:t>
      </w:r>
    </w:p>
    <w:p w14:paraId="5E9D0582" w14:textId="77777777" w:rsidR="007C4598" w:rsidRDefault="007C4598"/>
    <w:p w14:paraId="48E934FA" w14:textId="77777777" w:rsidR="007C4598" w:rsidRDefault="00000000">
      <w:pPr>
        <w:jc w:val="both"/>
      </w:pPr>
      <w:r>
        <w:t>Cascata gerarchica piramidale dallo Psicologo di Base · perimetro multidisciplinare integrale</w:t>
      </w:r>
    </w:p>
    <w:p w14:paraId="35A2321D" w14:textId="77777777" w:rsidR="007C4598" w:rsidRDefault="007C4598"/>
    <w:p w14:paraId="2A694D77" w14:textId="77777777" w:rsidR="007C4598" w:rsidRDefault="00000000">
      <w:pPr>
        <w:jc w:val="both"/>
      </w:pPr>
      <w:r>
        <w:rPr>
          <w:b/>
          <w:bCs/>
        </w:rPr>
        <w:t>Autore intellettuale della riforma: Luigi De Michele</w:t>
      </w:r>
    </w:p>
    <w:p w14:paraId="24CD9A49" w14:textId="77777777" w:rsidR="007C4598" w:rsidRDefault="007C4598"/>
    <w:p w14:paraId="7EA4A401" w14:textId="77777777" w:rsidR="007C4598" w:rsidRDefault="00000000">
      <w:pPr>
        <w:jc w:val="both"/>
      </w:pPr>
      <w:r>
        <w:t>Codice fiscale DMCLGU82E11Z112C · PEC luigidemichele@legalmail.it</w:t>
      </w:r>
    </w:p>
    <w:p w14:paraId="0D34B121" w14:textId="77777777" w:rsidR="007C4598" w:rsidRDefault="007C4598"/>
    <w:p w14:paraId="397BEEB8" w14:textId="77777777" w:rsidR="007C4598" w:rsidRDefault="00000000">
      <w:pPr>
        <w:jc w:val="both"/>
      </w:pPr>
      <w:r>
        <w:t>Giugno 2026</w:t>
      </w:r>
    </w:p>
    <w:p w14:paraId="6281D75E"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9026"/>
      </w:tblGrid>
      <w:tr w:rsidR="007C4598" w14:paraId="123345CA"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A3018C7" w14:textId="77777777" w:rsidR="007C4598" w:rsidRDefault="00000000">
            <w:pPr>
              <w:spacing w:after="40"/>
            </w:pPr>
            <w:r>
              <w:rPr>
                <w:b/>
                <w:bCs/>
                <w:color w:val="FFFFFF"/>
                <w:sz w:val="18"/>
                <w:szCs w:val="18"/>
              </w:rPr>
              <w:t xml:space="preserve">Avvertenza sui vincoli metodologici invarianti La presente parte ricompone in un quadro unitario le grandezze economiche stabilite nelle parti precedenti — i costi diretti della settima parte, i risparmi fiscali diretti dell’ottava e i benefici sociali indiretti della nona — ma ne preserva la distinzione cardine: le grandezze fiscali dirette e quelle sociali indirette non sono mai sommate in un unico saldo, e il saldo consolidato le presenta affiancate e tuttavia distinte, sì che il decisore apprezzi separatamente il risparmio per il bilancio sanitario e il beneficio per il tessuto sociale. Il ritorno economico degli investimenti in salute mentale è espresso nei soli intervalli corretti, compresi tra 2,3 e 3,0 a 1 per i soli benefici economici e tra 3,3 e 5,7 a 1 con l’inclusione dei ritorni in salute; entrambi gli intervalli operano in questa parte come ancora di validazione, il primo per il rapporto dei soli benefici economici, il secondo per il rapporto che include il valore dei guadagni di salute. Il </w:t>
            </w:r>
            <w:proofErr w:type="spellStart"/>
            <w:r>
              <w:rPr>
                <w:b/>
                <w:bCs/>
                <w:color w:val="FFFFFF"/>
                <w:sz w:val="18"/>
                <w:szCs w:val="18"/>
              </w:rPr>
              <w:t>caveat</w:t>
            </w:r>
            <w:proofErr w:type="spellEnd"/>
            <w:r>
              <w:rPr>
                <w:b/>
                <w:bCs/>
                <w:color w:val="FFFFFF"/>
                <w:sz w:val="18"/>
                <w:szCs w:val="18"/>
              </w:rPr>
              <w:t xml:space="preserve"> dell’IMPACT trial, secondo cui i risparmi sui costi sanitari diretti non raggiungono la significatività statistica, è preservato e governa l’analisi di impatto di bilancio, che presenta perciò una variante prudenziale in cui i risparmi diretti non sono computati. La valutazione costo-utilità è condotta con la soglia di disponibilità a pagare per anno di vita in buona salute guadagnato, dichiarata e impiegata entro l’intervallo convenzionale; il rendimento sociale dell’investimento applica i deflatori metodologici di prudenza; la sintesi multi-criterio impiega pesi dichiarati e ne saggia la robustezza. Ogni stima adotta bande prudenziali e previsioni falsificabili, e ogni evidenza è graduata secondo la sua qualità con i criteri GRADE, applicati con il medesimo rigore alle affermazioni economiche e a quelle cliniche.</w:t>
            </w:r>
          </w:p>
        </w:tc>
      </w:tr>
    </w:tbl>
    <w:p w14:paraId="54091266" w14:textId="77777777" w:rsidR="007C4598" w:rsidRDefault="007C4598"/>
    <w:p w14:paraId="7B13BFD9" w14:textId="77777777" w:rsidR="007C4598" w:rsidRDefault="00000000">
      <w:pPr>
        <w:pStyle w:val="Titolo1"/>
        <w:pageBreakBefore/>
      </w:pPr>
      <w:r>
        <w:rPr>
          <w:sz w:val="22"/>
          <w:szCs w:val="22"/>
        </w:rPr>
        <w:t>Premessa</w:t>
      </w:r>
    </w:p>
    <w:p w14:paraId="3FB3DE25" w14:textId="77777777" w:rsidR="007C4598" w:rsidRDefault="007C4598"/>
    <w:p w14:paraId="725E0416" w14:textId="77777777" w:rsidR="007C4598" w:rsidRDefault="00000000">
      <w:pPr>
        <w:jc w:val="both"/>
      </w:pPr>
      <w:r>
        <w:rPr>
          <w:i/>
          <w:iCs/>
        </w:rPr>
        <w:t>La decima parte dello studio integrale ricompone in un quadro economico unitario le grandezze che le parti precedenti hanno stabilito distintamente, e ne trae la valutazione economica complessiva della riforma del Servizio di Psicologia di Base in Puglia. Essa non introduce nuove categorie di costo o di beneficio, ma raccoglie quelle già stimate — i costi diretti dell’investimento, i risparmi fiscali diretti per il bilancio sanitario e i benefici sociali indiretti per il tessuto economico e sociale — e le sottopone agli strumenti della valutazione economica integrata: la valutazione costo-efficacia e costo-utilità, l’analisi di impatto di bilancio, il rendimento sociale dell’investimento e la sintesi multi-criterio. Il risultato è il saldo economico consolidato della riforma, che presenta affiancate, e tuttavia rigorosamente distinte, le grandezze fiscali dirette e quelle sociali indirette, e che restituisce al decisore la misura complessiva del valore economico della riforma sul perimetro più ampio.</w:t>
      </w:r>
    </w:p>
    <w:p w14:paraId="1BCFA73F" w14:textId="77777777" w:rsidR="007C4598" w:rsidRDefault="007C4598"/>
    <w:p w14:paraId="084FDAE8" w14:textId="77777777" w:rsidR="007C4598" w:rsidRDefault="00000000">
      <w:pPr>
        <w:jc w:val="both"/>
      </w:pPr>
      <w:r>
        <w:t xml:space="preserve">La funzione di questa parte è dunque di sintesi, e la sua difficoltà specifica è quella propria di ogni sintesi economica rigorosa: ricomporre in un quadro unitario grandezze di natura diversa senza confonderle, e in particolare senza sommare in un’unica cifra ciò che appartiene a categorie distinte. La distinzione cardine tra le grandezze fiscali dirette — i risparmi per il bilancio sanitario regionale — e le grandezze sociali indirette — i benefici per il tessuto economico e sociale — governa l’intera parte, e impone che il saldo consolidato presenti le due categorie in colonne separate, ricomposte in una visione complessiva ma mai fuse in un unico saldo. A questa distinzione si aggiungono i vincoli invarianti che governano l’intero studio: gli intervalli di </w:t>
      </w:r>
      <w:proofErr w:type="spellStart"/>
      <w:r>
        <w:t>Chisholm</w:t>
      </w:r>
      <w:proofErr w:type="spellEnd"/>
      <w:r>
        <w:t xml:space="preserve">, ora impiegati nelle loro due fasce — quella dei soli benefici economici e quella che include i ritorni di salute; il </w:t>
      </w:r>
      <w:proofErr w:type="spellStart"/>
      <w:r>
        <w:t>caveat</w:t>
      </w:r>
      <w:proofErr w:type="spellEnd"/>
      <w:r>
        <w:t xml:space="preserve"> dell’IMPACT trial sui risparmi diretti, che governa l’analisi di impatto di bilancio; e la graduazione dell’evidenza e il ricorso alle bande prudenziali, che accompagnano ogni stima. La parte è perciò la sede in cui le componenti economiche della rinegoziazione integrale, stabilite distintamente nelle parti settima, ottava e nona, trovano la loro ricomposizione in un quadro che ne preserva la natura e ne dichiara i confini.</w:t>
      </w:r>
    </w:p>
    <w:p w14:paraId="7A8DA08A" w14:textId="77777777" w:rsidR="007C4598" w:rsidRDefault="007C4598"/>
    <w:p w14:paraId="2654B90F" w14:textId="77777777" w:rsidR="007C4598" w:rsidRDefault="00000000">
      <w:pPr>
        <w:pStyle w:val="Titolo1"/>
        <w:pageBreakBefore/>
      </w:pPr>
      <w:r>
        <w:rPr>
          <w:sz w:val="22"/>
          <w:szCs w:val="22"/>
        </w:rPr>
        <w:t>Introduzione</w:t>
      </w:r>
    </w:p>
    <w:p w14:paraId="1B4C2FB8" w14:textId="77777777" w:rsidR="007C4598" w:rsidRDefault="007C4598"/>
    <w:p w14:paraId="54CF7352" w14:textId="77777777" w:rsidR="007C4598" w:rsidRDefault="00000000">
      <w:pPr>
        <w:jc w:val="both"/>
      </w:pPr>
      <w:r>
        <w:rPr>
          <w:i/>
          <w:iCs/>
        </w:rPr>
        <w:t xml:space="preserve">L’introduzione definisce il compito della valutazione economica integrata, richiama le grandezze ereditate dalle parti precedenti, espone gli strumenti che la parte impiega e dichiara il principio che ne governa la composizione. Essa stabilisce, in particolare, la distinzione tra le grandezze fiscali dirette e quelle sociali indirette, che la parte ricompone senza sommare, e il duplice impiego degli intervalli di </w:t>
      </w:r>
      <w:proofErr w:type="spellStart"/>
      <w:r>
        <w:rPr>
          <w:i/>
          <w:iCs/>
        </w:rPr>
        <w:t>Chisholm</w:t>
      </w:r>
      <w:proofErr w:type="spellEnd"/>
      <w:r>
        <w:rPr>
          <w:i/>
          <w:iCs/>
        </w:rPr>
        <w:t xml:space="preserve"> come ancora di validazione dei rapporti economici.</w:t>
      </w:r>
    </w:p>
    <w:p w14:paraId="3587E396" w14:textId="77777777" w:rsidR="007C4598" w:rsidRDefault="007C4598"/>
    <w:p w14:paraId="3932C051" w14:textId="77777777" w:rsidR="007C4598" w:rsidRDefault="00000000">
      <w:pPr>
        <w:pStyle w:val="Titolo2"/>
        <w:spacing w:before="200" w:after="100"/>
      </w:pPr>
      <w:r>
        <w:rPr>
          <w:sz w:val="22"/>
          <w:szCs w:val="22"/>
        </w:rPr>
        <w:t>Il compito della valutazione economica integrata</w:t>
      </w:r>
    </w:p>
    <w:p w14:paraId="6B08C08F" w14:textId="77777777" w:rsidR="007C4598" w:rsidRDefault="007C4598"/>
    <w:p w14:paraId="49D025AF" w14:textId="77777777" w:rsidR="007C4598" w:rsidRDefault="00000000">
      <w:pPr>
        <w:jc w:val="both"/>
      </w:pPr>
      <w:r>
        <w:t>Il compito della decima parte è quello di ricomporre in un quadro economico unitario le grandezze che le parti settima, ottava e nona hanno stabilito distintamente, e di trarne la valutazione economica complessiva della riforma. Le parti precedenti hanno proceduto per componenti: la settima ha stabilito i costi diretti dell’investimento, ossia il costo del personale, delle strutture, della leva digitale e della formazione lungo la cascata delle figure; l’ottava ha stabilito i risparmi fiscali diretti per il bilancio sanitario regionale, ossia la riduzione della spesa farmaceutica inappropriata, degli accessi impropri, della mobilità passiva e degli invii impropri; la nona ha stabilito i benefici sociali indiretti per il tessuto economico e sociale, ossia le ricadute sui sedici domini del perimetro multidisciplinare integrale. Ciascuna di queste componenti è stata stimata con il proprio metodo e nei propri confini; ma nessuna di esse, da sola, restituisce la valutazione economica complessiva della riforma, che richiede la loro ricomposizione in un quadro unitario. È questo il compito della decima parte: comporre le componenti in una valutazione integrata, che ne mostri il rapporto reciproco e ne tragga il saldo complessivo, nel rispetto della distinzione tra le loro categorie.</w:t>
      </w:r>
    </w:p>
    <w:p w14:paraId="51428E74" w14:textId="77777777" w:rsidR="007C4598" w:rsidRDefault="007C4598"/>
    <w:p w14:paraId="015FD6DB" w14:textId="77777777" w:rsidR="007C4598" w:rsidRDefault="00000000">
      <w:pPr>
        <w:jc w:val="both"/>
      </w:pPr>
      <w:r>
        <w:t>La valutazione economica integrata si avvale di quattro strumenti, ciascuno dei quali illumina una dimensione del valore economico della riforma. Il primo è la valutazione costo-efficacia e costo-utilità, che rapporta il costo della riforma agli esiti di salute prodotti, misurati attraverso gli anni di vita in buona salute guadagnati, e che colloca la riforma rispetto alla soglia convenzionale di costo-efficacia. Il secondo è l’analisi di impatto di bilancio, che misura l’effetto della riforma sul bilancio sanitario regionale nel tempo, e che ne valuta la sostenibilità finanziaria. Il terzo è il rendimento sociale dell’investimento, che misura il valore sociale complessivo creato per ogni euro investito, applicando i deflatori di prudenza propri del metodo. Il quarto è la sintesi multi-criterio, che ricompone le molteplici dimensioni della riforma — economica, di salute, di equità, di sostenibilità, di fattibilità — in una valutazione strutturata che eccede la sola dimensione monetaria. A questi quattro strumenti segue il saldo economico consolidato, che li ricompone in un quadro unitario e che costituisce la sintesi quantitativa della valutazione integrata.</w:t>
      </w:r>
    </w:p>
    <w:p w14:paraId="54C23373" w14:textId="77777777" w:rsidR="007C4598" w:rsidRDefault="007C4598"/>
    <w:p w14:paraId="393C9CD8" w14:textId="77777777" w:rsidR="007C4598" w:rsidRDefault="00000000">
      <w:pPr>
        <w:pStyle w:val="Titolo2"/>
        <w:spacing w:before="200" w:after="100"/>
      </w:pPr>
      <w:r>
        <w:rPr>
          <w:sz w:val="22"/>
          <w:szCs w:val="22"/>
        </w:rPr>
        <w:t>Le grandezze ereditate e la distinzione cardine</w:t>
      </w:r>
    </w:p>
    <w:p w14:paraId="6559D625" w14:textId="77777777" w:rsidR="007C4598" w:rsidRDefault="007C4598"/>
    <w:p w14:paraId="427934D0" w14:textId="77777777" w:rsidR="007C4598" w:rsidRDefault="00000000">
      <w:pPr>
        <w:jc w:val="both"/>
      </w:pPr>
      <w:r>
        <w:t xml:space="preserve">La valutazione integrata muove dalle grandezze stabilite dalle parti precedenti, che è opportuno richiamare nei loro ordini di grandezza. I costi diretti dell’investimento, stabiliti dalla settima parte, sono dell’ordine di venticinque, trentotto e cinquanta milioni di euro l’anno nei tre scenari di dimensionamento — conservativo, intermedio ed espansivo — e rappresentano il costo che la riforma comporta per il bilancio pubblico. I risparmi fiscali diretti per il bilancio sanitario regionale, stabiliti dall’ottava parte, sono dell’ordine di venti, trentaquattro e cinquanta milioni di euro l’anno nei tre scenari, e rappresentano la riduzione della spesa sanitaria che la riforma genera, soggetta al </w:t>
      </w:r>
      <w:proofErr w:type="spellStart"/>
      <w:r>
        <w:t>caveat</w:t>
      </w:r>
      <w:proofErr w:type="spellEnd"/>
      <w:r>
        <w:t xml:space="preserve"> dell’IMPACT trial sulla loro significatività statistica. I benefici sociali indiretti per il tessuto economico e sociale, stabiliti dalla nona parte, sono dell’ordine di sessantacinque, novantotto e </w:t>
      </w:r>
      <w:proofErr w:type="spellStart"/>
      <w:r>
        <w:t>centotrentanove</w:t>
      </w:r>
      <w:proofErr w:type="spellEnd"/>
      <w:r>
        <w:t xml:space="preserve"> milioni di euro l’anno nei tre scenari, e rappresentano il valore economico-sociale che la riforma genera sui sedici domini del perimetro integrale, depurato delle duplicazioni e verificato con l’ancora di </w:t>
      </w:r>
      <w:proofErr w:type="spellStart"/>
      <w:r>
        <w:t>Chisholm</w:t>
      </w:r>
      <w:proofErr w:type="spellEnd"/>
      <w:r>
        <w:t>. Queste tre grandezze sono il materiale su cui la valutazione integrata opera.</w:t>
      </w:r>
    </w:p>
    <w:p w14:paraId="3EEBF491" w14:textId="77777777" w:rsidR="007C4598" w:rsidRDefault="007C4598"/>
    <w:p w14:paraId="7D1232D1" w14:textId="77777777" w:rsidR="007C4598" w:rsidRDefault="00000000">
      <w:pPr>
        <w:jc w:val="both"/>
      </w:pPr>
      <w:r>
        <w:t>La distinzione cardine che governa la composizione di queste grandezze è quella tra le grandezze fiscali dirette e le grandezze sociali indirette. I risparmi diretti per il bilancio sanitario sono grandezze fiscali, che incidono su un bilancio determinato — quello sanitario regionale — e che si traducono in minori uscite per quel bilancio; i benefici indiretti per il tessuto economico e sociale sono grandezze sociali, che gravano su una pluralità di bilanci e di soggetti — le imprese, le famiglie, gli istituti previdenziali e assistenziali, la collettività — e che si traducono in maggiore produzione, minori prestazioni e maggiore benessere. Le due categorie sono di natura diversa, e la regola di non duplicazione, che governa l’intero studio, impone di non sommarle in un’unica cifra, perché la loro somma confonderebbe ciò che è distinto e attribuirebbe alla riforma un valore complessivo non interpretabile. Il medesimo miglioramento clinico genera, distintamente, un risparmio fiscale diretto per il bilancio sanitario e un beneficio sociale indiretto per il tessuto economico; i due effetti sono reali e contestuali, ma vanno computati separatamente, e la valutazione integrata li ricompone in colonne distinte, affiancate ma mai fuse.</w:t>
      </w:r>
      <w:r>
        <w:rPr>
          <w:color w:val="555555"/>
          <w:sz w:val="16"/>
          <w:szCs w:val="16"/>
          <w:vertAlign w:val="superscript"/>
        </w:rPr>
        <w:t>[1]</w:t>
      </w:r>
      <w:r>
        <w:t xml:space="preserve"> È in questa distinzione, mantenuta rigorosamente, che risiede il rigore della valutazione integrata.</w:t>
      </w:r>
    </w:p>
    <w:p w14:paraId="3E347B74" w14:textId="77777777" w:rsidR="007C4598" w:rsidRDefault="007C4598"/>
    <w:p w14:paraId="7E70F0D2" w14:textId="77777777" w:rsidR="007C4598" w:rsidRDefault="00000000">
      <w:pPr>
        <w:pStyle w:val="Titolo2"/>
        <w:spacing w:before="200" w:after="100"/>
      </w:pPr>
      <w:r>
        <w:rPr>
          <w:sz w:val="22"/>
          <w:szCs w:val="22"/>
        </w:rPr>
        <w:t xml:space="preserve">Gli intervalli di </w:t>
      </w:r>
      <w:proofErr w:type="spellStart"/>
      <w:r>
        <w:rPr>
          <w:sz w:val="22"/>
          <w:szCs w:val="22"/>
        </w:rPr>
        <w:t>Chisholm</w:t>
      </w:r>
      <w:proofErr w:type="spellEnd"/>
      <w:r>
        <w:rPr>
          <w:sz w:val="22"/>
          <w:szCs w:val="22"/>
        </w:rPr>
        <w:t xml:space="preserve"> come duplice ancora</w:t>
      </w:r>
    </w:p>
    <w:p w14:paraId="4DD3A6C4" w14:textId="77777777" w:rsidR="007C4598" w:rsidRDefault="007C4598"/>
    <w:p w14:paraId="4BB19E6B" w14:textId="77777777" w:rsidR="007C4598" w:rsidRDefault="00000000">
      <w:pPr>
        <w:jc w:val="both"/>
      </w:pPr>
      <w:r>
        <w:t xml:space="preserve">Gli intervalli di </w:t>
      </w:r>
      <w:proofErr w:type="spellStart"/>
      <w:r>
        <w:t>Chisholm</w:t>
      </w:r>
      <w:proofErr w:type="spellEnd"/>
      <w:r>
        <w:t xml:space="preserve">, che hanno governato l’intero studio come ancora del rendimento dell’investimento in salute mentale, trovano in questa parte il loro impiego più compiuto, nelle loro due fasce distinte. La prima fascia, compresa tra 2,3 e 3,0 a 1, esprime il rendimento dei soli benefici economici — la produttività conservata, le prestazioni evitate, i costi sociali risparmiati — rispetto al costo dell’investimento; essa ha già operato, nella nona parte, come ancora di validazione dell’aggregato dei benefici indiretti, il cui rapporto al costo si è collocato entro tale fascia. La seconda fascia, compresa tra 3,3 e 5,7 a 1, esprime il rendimento che include, accanto ai benefici economici, il valore dei guadagni di salute — gli anni di vita in buona salute guadagnati, valutati monetariamente; essa opera in questa parte, attraverso la valutazione costo-utilità, come ancora del rapporto che include il valore della salute. Il passaggio dalla prima alla seconda fascia di </w:t>
      </w:r>
      <w:proofErr w:type="spellStart"/>
      <w:r>
        <w:t>Chisholm</w:t>
      </w:r>
      <w:proofErr w:type="spellEnd"/>
      <w:r>
        <w:t xml:space="preserve"> corrisponde, nella struttura della valutazione, all’aggiunta del valore dei guadagni di salute ai benefici economici, e la collocazione del rapporto entro l’una e l’altra fascia costituisce, in entrambi i casi, una verifica di coerenza con la letteratura internazionale.</w:t>
      </w:r>
    </w:p>
    <w:p w14:paraId="78175A51" w14:textId="77777777" w:rsidR="007C4598" w:rsidRDefault="007C4598"/>
    <w:p w14:paraId="32F0C166" w14:textId="77777777" w:rsidR="007C4598" w:rsidRDefault="00000000">
      <w:pPr>
        <w:jc w:val="both"/>
      </w:pPr>
      <w:r>
        <w:t xml:space="preserve">La parte è dunque organizzata in cinque voci. La prima voce conduce la valutazione costo-efficacia e costo-utilità, stima i guadagni di salute, ne calcola il rapporto costo-efficacia rispetto alla soglia, e ne monetizza il valore, operando il passaggio alla fascia superiore di </w:t>
      </w:r>
      <w:proofErr w:type="spellStart"/>
      <w:r>
        <w:t>Chisholm</w:t>
      </w:r>
      <w:proofErr w:type="spellEnd"/>
      <w:r>
        <w:t xml:space="preserve">. La seconda voce conduce l’analisi di impatto di bilancio per il Servizio Sanitario Regionale, proiettando nel tempo l’effetto della riforma sul bilancio sanitario e valutandone la sostenibilità, con il </w:t>
      </w:r>
      <w:proofErr w:type="spellStart"/>
      <w:r>
        <w:t>caveat</w:t>
      </w:r>
      <w:proofErr w:type="spellEnd"/>
      <w:r>
        <w:t xml:space="preserve"> dell’IMPACT trial. La terza voce stima il rendimento sociale dell’investimento, applicando i deflatori di prudenza propri del metodo. La quarta voce conduce la sintesi multi-criterio, ricomponendo le molteplici dimensioni della riforma in una valutazione strutturata. La quinta e conclusiva voce compone il saldo economico consolidato, che presenta le grandezze dirette e indirette affiancate e distinte, e che costituisce la sintesi quantitativa della valutazione integrata. A queste voci seguono il quadro conclusivo, la conclusione e le note bibliografiche integrali.</w:t>
      </w:r>
    </w:p>
    <w:p w14:paraId="59383627" w14:textId="77777777" w:rsidR="007C4598" w:rsidRDefault="007C4598"/>
    <w:p w14:paraId="5C8256AD" w14:textId="77777777" w:rsidR="007C4598" w:rsidRDefault="00000000">
      <w:pPr>
        <w:pStyle w:val="Titolo1"/>
        <w:pageBreakBefore/>
      </w:pPr>
      <w:r>
        <w:rPr>
          <w:sz w:val="22"/>
          <w:szCs w:val="22"/>
        </w:rPr>
        <w:t>10.1  Costo-efficacia e costo-utilità (anni di vita in buona salute, rapporto incrementale costo-efficacia)</w:t>
      </w:r>
    </w:p>
    <w:p w14:paraId="0F4402E4" w14:textId="77777777" w:rsidR="007C4598" w:rsidRDefault="007C4598"/>
    <w:p w14:paraId="3F2FA8B7" w14:textId="77777777" w:rsidR="007C4598" w:rsidRDefault="00000000">
      <w:pPr>
        <w:jc w:val="both"/>
      </w:pPr>
      <w:r>
        <w:rPr>
          <w:i/>
          <w:iCs/>
        </w:rPr>
        <w:t xml:space="preserve">La prima voce della valutazione integrata conduce l’analisi costo-efficacia e costo-utilità, che rapporta il costo della riforma agli esiti di salute che essa produce. A differenza delle analisi delle parti precedenti, che hanno misurato i costi e i benefici in termini monetari, la valutazione costo-utilità misura gli esiti in termini di salute — gli anni di vita in buona salute guadagnati — e li rapporta al costo, ottenendo il rapporto incrementale costo-efficacia, che esprime il costo per anno di vita in buona salute guadagnato e che si confronta con la soglia convenzionale di costo-efficacia. La voce stima i guadagni di salute della riforma, ne calcola il rapporto costo-efficacia, ne valuta la collocazione rispetto alla soglia, e ne monetizza infine il valore, operando il passaggio dalla fascia dei soli benefici economici alla fascia che include i ritorni di salute, in coerenza con il duplice intervallo di </w:t>
      </w:r>
      <w:proofErr w:type="spellStart"/>
      <w:r>
        <w:rPr>
          <w:i/>
          <w:iCs/>
        </w:rPr>
        <w:t>Chisholm</w:t>
      </w:r>
      <w:proofErr w:type="spellEnd"/>
      <w:r>
        <w:rPr>
          <w:i/>
          <w:iCs/>
        </w:rPr>
        <w:t>. La voce stabilisce così la dimensione di salute del valore della riforma, complementare alle dimensioni fiscale e sociale stabilite dalle parti precedenti.</w:t>
      </w:r>
    </w:p>
    <w:p w14:paraId="22683DB0" w14:textId="77777777" w:rsidR="007C4598" w:rsidRDefault="007C4598"/>
    <w:p w14:paraId="14134E2D" w14:textId="77777777" w:rsidR="007C4598" w:rsidRDefault="00000000">
      <w:pPr>
        <w:pStyle w:val="Titolo2"/>
        <w:spacing w:before="200" w:after="100"/>
      </w:pPr>
      <w:r>
        <w:rPr>
          <w:sz w:val="22"/>
          <w:szCs w:val="22"/>
        </w:rPr>
        <w:t>10.1.1  La logica della valutazione costo-efficacia e costo-utilità</w:t>
      </w:r>
    </w:p>
    <w:p w14:paraId="43AAC188" w14:textId="77777777" w:rsidR="007C4598" w:rsidRDefault="007C4598"/>
    <w:p w14:paraId="08CF4631" w14:textId="77777777" w:rsidR="007C4598" w:rsidRDefault="00000000">
      <w:pPr>
        <w:jc w:val="both"/>
      </w:pPr>
      <w:r>
        <w:t>La valutazione costo-efficacia e costo-utilità è lo strumento con cui la valutazione economica in sanità misura il valore di un intervento in termini del rapporto tra il suo costo e gli esiti di salute che esso produce. A differenza dell’analisi costi-benefici, che monetizza tutti gli esiti e li confronta con i costi in un’unica unità monetaria, l’analisi costo-efficacia misura gli esiti in unità naturali di salute, e l’analisi costo-utilità li misura in una unità di salute che combina la durata e la qualità della vita: l’anno di vita in buona salute guadagnato, comunemente designato con l’acronimo inglese QALY, che pondera ciascun anno di vita per la qualità della salute in cui è vissuto, sì che un anno vissuto in piena salute valga uno e un anno vissuto in salute compromessa valga meno di uno. Il guadagno di salute prodotto da un intervento si misura allora come la somma degli anni di vita in buona salute che esso aggiunge, rispetto all’assenza dell’intervento, attraverso il miglioramento della qualità della vita e, ove pertinente, l’allungamento della sua durata.</w:t>
      </w:r>
    </w:p>
    <w:p w14:paraId="12C479BB" w14:textId="77777777" w:rsidR="007C4598" w:rsidRDefault="007C4598"/>
    <w:p w14:paraId="167EA9B1" w14:textId="77777777" w:rsidR="007C4598" w:rsidRDefault="00000000">
      <w:pPr>
        <w:jc w:val="both"/>
      </w:pPr>
      <w:r>
        <w:t>Il rapporto tra il costo dell’intervento e i guadagni di salute che esso produce è il rapporto incrementale costo-efficacia, che esprime il costo sostenuto per ciascun anno di vita in buona salute guadagnato. Questo rapporto è la misura sintetica dell’efficienza dell’intervento sul piano della salute: un intervento che produce molti anni di vita in buona salute a basso costo ha un rapporto basso, e un intervento che ne produce pochi ad alto costo ha un rapporto alto. La valutazione della costo-efficacia di un intervento si conduce confrontando il suo rapporto incrementale costo-efficacia con una soglia convenzionale di disponibilità a pagare per anno di vita in buona salute guadagnato, che esprime il valore che il sistema sanitario è disposto a riconoscere a un anno di vita in buona salute: un intervento il cui rapporto è inferiore alla soglia è considerato costo-efficace, perché produce salute a un costo inferiore a quello che il sistema è disposto a sostenere; un intervento il cui rapporto è superiore alla soglia non è considerato costo-efficace. La soglia convenzionale comunemente adottata nella letteratura economico-sanitaria europea e italiana è dell’ordine di venticinque-quarantamila euro per anno di vita in buona salute guadagnato, ed è entro questo intervallo che la valutazione si conduce.</w:t>
      </w:r>
      <w:r>
        <w:rPr>
          <w:color w:val="555555"/>
          <w:sz w:val="16"/>
          <w:szCs w:val="16"/>
          <w:vertAlign w:val="superscript"/>
        </w:rPr>
        <w:t>[2]</w:t>
      </w:r>
    </w:p>
    <w:p w14:paraId="1440ABF8" w14:textId="77777777" w:rsidR="007C4598" w:rsidRDefault="007C4598"/>
    <w:p w14:paraId="1011F335" w14:textId="77777777" w:rsidR="007C4598" w:rsidRDefault="00000000">
      <w:pPr>
        <w:jc w:val="both"/>
      </w:pPr>
      <w:r>
        <w:t>Nel caso della riforma del primo livello psicologico, la valutazione costo-utilità presenta una specificità che ne accresce il favore. L’intervento sul disagio psichico comune — la depressione e l’ansia, segnatamente — produce i suoi guadagni di salute prevalentemente attraverso il miglioramento della qualità della vita, perché il disagio psichico comune, pur incidendo poco sulla durata della vita, ne compromette gravemente la qualità, e la sua intercettazione e cura restituisce qualità alla vita di chi ne è affetto. Il guadagno di salute della riforma si misura dunque prevalentemente come miglioramento della qualità della vita della popolazione trattata, ponderato per la durata del miglioramento, e si traduce in un numero di anni di vita in buona salute guadagnati la cui entità dipende dalla popolazione trattata, dall’efficacia del trattamento e dalla durata del beneficio. La specificità favorevole consiste nel fatto che l’intervento è di costo contenuto rispetto al guadagno di salute che produce, sì che il suo rapporto incrementale costo-efficacia si colloca, come si vedrà, ampiamente al di sotto della soglia convenzionale, e l’intervento risulta nettamente costo-efficace.</w:t>
      </w:r>
    </w:p>
    <w:p w14:paraId="1BABEEE1" w14:textId="77777777" w:rsidR="007C4598" w:rsidRDefault="007C4598"/>
    <w:p w14:paraId="2DF7F12D" w14:textId="77777777" w:rsidR="007C4598" w:rsidRDefault="00000000">
      <w:pPr>
        <w:pStyle w:val="Titolo2"/>
        <w:spacing w:before="200" w:after="100"/>
      </w:pPr>
      <w:r>
        <w:rPr>
          <w:sz w:val="22"/>
          <w:szCs w:val="22"/>
        </w:rPr>
        <w:t>10.1.2  La stima dei guadagni di salute della riforma</w:t>
      </w:r>
    </w:p>
    <w:p w14:paraId="1BEC111C" w14:textId="77777777" w:rsidR="007C4598" w:rsidRDefault="007C4598"/>
    <w:p w14:paraId="4A5916C5" w14:textId="77777777" w:rsidR="007C4598" w:rsidRDefault="00000000">
      <w:pPr>
        <w:jc w:val="both"/>
      </w:pPr>
      <w:r>
        <w:t>La stima dei guadagni di salute della riforma procede dalla popolazione trattata, dall’efficacia del trattamento e dalla durata del beneficio. La popolazione trattata è la quota della popolazione affetta da disagio psichico comune che la riforma intercetta e prende in carico, e che varia secondo lo scenario di dimensionamento: maggiore nello scenario espansivo, in cui il numero di incarichi è più elevato e la copertura più ampia, e minore nello scenario conservativo. L’efficacia del trattamento è la quota della popolazione trattata che consegue un miglioramento clinico, e il guadagno medio di qualità della vita che ne deriva, desunti dall’evidenza sull’efficacia degli interventi psicologici per il disagio comune nelle cure primarie, graduata nella sesta parte. La durata del beneficio è il periodo per cui il miglioramento si mantiene, prudenzialmente riferito all’orizzonte annuale per la stima dei guadagni di salute annui. Dalla composizione di questi fattori si ricava il numero di anni di vita in buona salute guadagnati l’anno, per ciascuno scenario.</w:t>
      </w:r>
    </w:p>
    <w:p w14:paraId="56CB54DD" w14:textId="77777777" w:rsidR="007C4598" w:rsidRDefault="007C4598"/>
    <w:p w14:paraId="51837F32" w14:textId="77777777" w:rsidR="007C4598" w:rsidRDefault="00000000">
      <w:pPr>
        <w:jc w:val="both"/>
      </w:pPr>
      <w:r>
        <w:t>La stima è condotta con prudenza, adottando valori conservativi per ciascuno dei fattori, sì che il numero di anni di vita in buona salute guadagnati non sia sovrastimato. Il guadagno medio di qualità della vita per persona trattata con miglioramento clinico è riferito al valore prudenziale desumibile dall’evidenza, che riflette il miglioramento medio della popolazione trattata, comprensiva tanto dei soggetti che conseguono la remissione quanto di quelli che conseguono un miglioramento parziale; e la durata del beneficio è riferita all’orizzonte annuale, senza proiezione pluriennale, che la modellazione dell’undicesima parte svilupperà. La tabella che segue espone la stima degli anni di vita in buona salute guadagnati l’anno, per ciascuno scenario, con le bande prudenziali che ne riflettono l’incertezza.</w:t>
      </w:r>
    </w:p>
    <w:p w14:paraId="3CB383FF"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2976EDB4"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DDB9784" w14:textId="77777777" w:rsidR="007C4598" w:rsidRDefault="00000000">
            <w:pPr>
              <w:spacing w:after="40"/>
            </w:pPr>
            <w:r>
              <w:rPr>
                <w:b/>
                <w:bCs/>
                <w:color w:val="FFFFFF"/>
                <w:sz w:val="18"/>
                <w:szCs w:val="18"/>
              </w:rPr>
              <w:t>Stima dei guadagni di salute (anni di vita in buona salute guadagnati l’anno)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C508089" w14:textId="77777777" w:rsidR="007C4598" w:rsidRDefault="00000000">
            <w:pPr>
              <w:spacing w:after="40"/>
            </w:pPr>
            <w:r>
              <w:rPr>
                <w:b/>
                <w:bCs/>
                <w:color w:val="FFFFFF"/>
                <w:sz w:val="18"/>
                <w:szCs w:val="18"/>
              </w:rPr>
              <w:t>Conservativo (~450)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76002F4" w14:textId="77777777" w:rsidR="007C4598" w:rsidRDefault="00000000">
            <w:pPr>
              <w:spacing w:after="40"/>
            </w:pPr>
            <w:r>
              <w:rPr>
                <w:b/>
                <w:bCs/>
                <w:color w:val="FFFFFF"/>
                <w:sz w:val="18"/>
                <w:szCs w:val="18"/>
              </w:rPr>
              <w:t>Intermedio (~700)</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95E15CA" w14:textId="77777777" w:rsidR="007C4598" w:rsidRDefault="00000000">
            <w:pPr>
              <w:spacing w:after="40"/>
            </w:pPr>
            <w:r>
              <w:rPr>
                <w:b/>
                <w:bCs/>
                <w:color w:val="FFFFFF"/>
                <w:sz w:val="18"/>
                <w:szCs w:val="18"/>
              </w:rPr>
              <w:t>Espansivo (~900)</w:t>
            </w:r>
          </w:p>
        </w:tc>
      </w:tr>
      <w:tr w:rsidR="007C4598" w14:paraId="3FAC69FC"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289EDE1" w14:textId="77777777" w:rsidR="007C4598" w:rsidRDefault="00000000">
            <w:pPr>
              <w:spacing w:after="40"/>
            </w:pPr>
            <w:r>
              <w:t>Stima centrale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077A243" w14:textId="77777777" w:rsidR="007C4598" w:rsidRDefault="00000000">
            <w:pPr>
              <w:spacing w:after="40"/>
            </w:pPr>
            <w:r>
              <w:t>~1.300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898AFCB" w14:textId="77777777" w:rsidR="007C4598" w:rsidRDefault="00000000">
            <w:pPr>
              <w:spacing w:after="40"/>
            </w:pPr>
            <w:r>
              <w:t>~2.200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49CD536" w14:textId="77777777" w:rsidR="007C4598" w:rsidRDefault="00000000">
            <w:pPr>
              <w:spacing w:after="40"/>
            </w:pPr>
            <w:r>
              <w:t>~3.100</w:t>
            </w:r>
          </w:p>
        </w:tc>
      </w:tr>
      <w:tr w:rsidR="007C4598" w14:paraId="71071F4F"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46ABBA4" w14:textId="77777777" w:rsidR="007C4598" w:rsidRDefault="00000000">
            <w:pPr>
              <w:spacing w:after="40"/>
            </w:pPr>
            <w:r>
              <w:t>Banda prudenziale inferiore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DAD6D47" w14:textId="77777777" w:rsidR="007C4598" w:rsidRDefault="00000000">
            <w:pPr>
              <w:spacing w:after="40"/>
            </w:pPr>
            <w:r>
              <w:t>~1.000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1460972" w14:textId="77777777" w:rsidR="007C4598" w:rsidRDefault="00000000">
            <w:pPr>
              <w:spacing w:after="40"/>
            </w:pPr>
            <w:r>
              <w:t>~1.700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6E52D4A" w14:textId="77777777" w:rsidR="007C4598" w:rsidRDefault="00000000">
            <w:pPr>
              <w:spacing w:after="40"/>
            </w:pPr>
            <w:r>
              <w:t>~2.400</w:t>
            </w:r>
          </w:p>
        </w:tc>
      </w:tr>
      <w:tr w:rsidR="007C4598" w14:paraId="5DE5243A"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9491914" w14:textId="77777777" w:rsidR="007C4598" w:rsidRDefault="00000000">
            <w:pPr>
              <w:spacing w:after="40"/>
            </w:pPr>
            <w:r>
              <w:t>Banda prudenziale superiore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453E603" w14:textId="77777777" w:rsidR="007C4598" w:rsidRDefault="00000000">
            <w:pPr>
              <w:spacing w:after="40"/>
            </w:pPr>
            <w:r>
              <w:t>~1.600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1ABE172" w14:textId="77777777" w:rsidR="007C4598" w:rsidRDefault="00000000">
            <w:pPr>
              <w:spacing w:after="40"/>
            </w:pPr>
            <w:r>
              <w:t>~2.700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9F4C2E2" w14:textId="77777777" w:rsidR="007C4598" w:rsidRDefault="00000000">
            <w:pPr>
              <w:spacing w:after="40"/>
            </w:pPr>
            <w:r>
              <w:t>~3.800</w:t>
            </w:r>
          </w:p>
        </w:tc>
      </w:tr>
    </w:tbl>
    <w:p w14:paraId="3AABB3E4" w14:textId="77777777" w:rsidR="007C4598" w:rsidRDefault="007C4598"/>
    <w:p w14:paraId="6820FE1A" w14:textId="77777777" w:rsidR="007C4598" w:rsidRDefault="00000000">
      <w:pPr>
        <w:jc w:val="both"/>
      </w:pPr>
      <w:r>
        <w:rPr>
          <w:i/>
          <w:iCs/>
        </w:rPr>
        <w:t>Tabella 10.1 — Stima prudenziale degli anni di vita in buona salute guadagnati l’anno dalla riforma, per scenario, con bande prudenziali. La stima procede dalla popolazione trattata, dall’efficacia del trattamento e dal guadagno medio di qualità della vita, riferiti a valori conservativi; la durata è riferita all’orizzonte annuale, riservando alla modellazione dell’undicesima parte la proiezione pluriennale.</w:t>
      </w:r>
    </w:p>
    <w:p w14:paraId="54C12833" w14:textId="77777777" w:rsidR="007C4598" w:rsidRDefault="007C4598"/>
    <w:p w14:paraId="113016EE" w14:textId="77777777" w:rsidR="007C4598" w:rsidRDefault="00000000">
      <w:pPr>
        <w:jc w:val="both"/>
      </w:pPr>
      <w:r>
        <w:t xml:space="preserve">La riforma è dunque stimata produrre, nello scenario intermedio, dell’ordine di duemiladuecento anni di vita in buona salute guadagnati l’anno, con una banda compresa tra circa millesettecento e circa duemilasettecento; nello scenario conservativo, dell’ordine di milletrecento, e nello scenario espansivo, dell’ordine di </w:t>
      </w:r>
      <w:proofErr w:type="spellStart"/>
      <w:r>
        <w:t>tremilacento</w:t>
      </w:r>
      <w:proofErr w:type="spellEnd"/>
      <w:r>
        <w:t>. Questi guadagni di salute, pur prudenzialmente stimati, sono considerevoli, e riflettono l’ampiezza della popolazione che la riforma intercetta e l’efficacia dell’intervento sul disagio comune: il miglioramento della qualità della vita di decine di migliaia di persone affette da depressione e ansia, ponderato per la qualità e la durata, si traduce in alcune migliaia di anni di vita in buona salute guadagnati l’anno. La stima è riferita ai guadagni annui, e va intesa come il flusso di salute prodotto dalla riforma in ciascun anno di regime; la sua proiezione nel tempo, che ne accumula i guadagni lungo l’orizzonte di valutazione, è riservata alla modellazione dell’undicesima parte. I guadagni di salute così stimati costituiscono la base su cui si calcola il rapporto incrementale costo-efficacia.</w:t>
      </w:r>
    </w:p>
    <w:p w14:paraId="7CEC593C" w14:textId="77777777" w:rsidR="007C4598" w:rsidRDefault="007C4598"/>
    <w:p w14:paraId="12285C85" w14:textId="77777777" w:rsidR="007C4598" w:rsidRDefault="00000000">
      <w:pPr>
        <w:pStyle w:val="Titolo2"/>
        <w:spacing w:before="200" w:after="100"/>
      </w:pPr>
      <w:r>
        <w:rPr>
          <w:sz w:val="22"/>
          <w:szCs w:val="22"/>
        </w:rPr>
        <w:t>10.1.3  Il rapporto incrementale costo-efficacia e la soglia</w:t>
      </w:r>
    </w:p>
    <w:p w14:paraId="31720840" w14:textId="77777777" w:rsidR="007C4598" w:rsidRDefault="007C4598"/>
    <w:p w14:paraId="7EB33FFC" w14:textId="77777777" w:rsidR="007C4598" w:rsidRDefault="00000000">
      <w:pPr>
        <w:jc w:val="both"/>
      </w:pPr>
      <w:r>
        <w:t xml:space="preserve">Il rapporto incrementale costo-efficacia si calcola rapportando il costo della riforma ai guadagni di salute che essa produce, ed esprime il costo sostenuto per ciascun anno di vita in buona salute guadagnato. Il calcolo si conduce, in via prudenziale, rapportando il costo diretto lordo dell’investimento — senza dedurre i risparmi diretti — ai guadagni di salute, sì da ottenere un rapporto conservativo che non beneficia della deduzione dei risparmi; in via complementare, si calcola il rapporto netto, deducendo dal costo i risparmi diretti, che restituisce un rapporto più favorevole ma soggetto al </w:t>
      </w:r>
      <w:proofErr w:type="spellStart"/>
      <w:r>
        <w:t>caveat</w:t>
      </w:r>
      <w:proofErr w:type="spellEnd"/>
      <w:r>
        <w:t xml:space="preserve"> dell’IMPACT trial sulla significatività dei risparmi. La tabella che segue espone il rapporto incrementale costo-efficacia, lordo e netto, per ciascuno scenario, e lo confronta con la soglia convenzionale.</w:t>
      </w:r>
    </w:p>
    <w:p w14:paraId="3DAAA45A"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5725CF1E"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66FE9A2" w14:textId="77777777" w:rsidR="007C4598" w:rsidRDefault="00000000">
            <w:pPr>
              <w:spacing w:after="40"/>
            </w:pPr>
            <w:r>
              <w:rPr>
                <w:b/>
                <w:bCs/>
                <w:color w:val="FFFFFF"/>
                <w:sz w:val="18"/>
                <w:szCs w:val="18"/>
              </w:rPr>
              <w:t>Rapporto incrementale costo-efficacia (€ per anno di vita in buona salute)</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E62DCFF" w14:textId="77777777" w:rsidR="007C4598" w:rsidRDefault="00000000">
            <w:pPr>
              <w:spacing w:after="40"/>
            </w:pPr>
            <w:r>
              <w:rPr>
                <w:b/>
                <w:bCs/>
                <w:color w:val="FFFFFF"/>
                <w:sz w:val="18"/>
                <w:szCs w:val="18"/>
              </w:rPr>
              <w:t>Conservativo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1C4E0C0" w14:textId="77777777" w:rsidR="007C4598" w:rsidRDefault="00000000">
            <w:pPr>
              <w:spacing w:after="40"/>
            </w:pPr>
            <w:r>
              <w:rPr>
                <w:b/>
                <w:bCs/>
                <w:color w:val="FFFFFF"/>
                <w:sz w:val="18"/>
                <w:szCs w:val="18"/>
              </w:rPr>
              <w:t>Intermedio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8EF15D9" w14:textId="77777777" w:rsidR="007C4598" w:rsidRDefault="00000000">
            <w:pPr>
              <w:spacing w:after="40"/>
            </w:pPr>
            <w:r>
              <w:rPr>
                <w:b/>
                <w:bCs/>
                <w:color w:val="FFFFFF"/>
                <w:sz w:val="18"/>
                <w:szCs w:val="18"/>
              </w:rPr>
              <w:t>Espansivo</w:t>
            </w:r>
          </w:p>
        </w:tc>
      </w:tr>
      <w:tr w:rsidR="007C4598" w14:paraId="235A9BDE"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0878EF5" w14:textId="77777777" w:rsidR="007C4598" w:rsidRDefault="00000000">
            <w:pPr>
              <w:spacing w:after="40"/>
            </w:pPr>
            <w:r>
              <w:t>Costo diretto lordo (mln €/anno)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B843DC5" w14:textId="77777777" w:rsidR="007C4598" w:rsidRDefault="00000000">
            <w:pPr>
              <w:spacing w:after="40"/>
            </w:pPr>
            <w:r>
              <w:t>~25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B429692" w14:textId="77777777" w:rsidR="007C4598" w:rsidRDefault="00000000">
            <w:pPr>
              <w:spacing w:after="40"/>
            </w:pPr>
            <w:r>
              <w:t>~38</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4971703" w14:textId="77777777" w:rsidR="007C4598" w:rsidRDefault="00000000">
            <w:pPr>
              <w:spacing w:after="40"/>
            </w:pPr>
            <w:r>
              <w:t>~50</w:t>
            </w:r>
          </w:p>
        </w:tc>
      </w:tr>
      <w:tr w:rsidR="007C4598" w14:paraId="35102068"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61A5BF4" w14:textId="77777777" w:rsidR="007C4598" w:rsidRDefault="00000000">
            <w:pPr>
              <w:spacing w:after="40"/>
            </w:pPr>
            <w:r>
              <w:t>Guadagni di salute (anni di vita in buona salute, stima centrale)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C468459" w14:textId="77777777" w:rsidR="007C4598" w:rsidRDefault="00000000">
            <w:pPr>
              <w:spacing w:after="40"/>
            </w:pPr>
            <w:r>
              <w:t>~1.300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850029A" w14:textId="77777777" w:rsidR="007C4598" w:rsidRDefault="00000000">
            <w:pPr>
              <w:spacing w:after="40"/>
            </w:pPr>
            <w:r>
              <w:t>~2.200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080B799" w14:textId="77777777" w:rsidR="007C4598" w:rsidRDefault="00000000">
            <w:pPr>
              <w:spacing w:after="40"/>
            </w:pPr>
            <w:r>
              <w:t>~3.100</w:t>
            </w:r>
          </w:p>
        </w:tc>
      </w:tr>
      <w:tr w:rsidR="007C4598" w14:paraId="1A3E1B78"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6B7F59F" w14:textId="77777777" w:rsidR="007C4598" w:rsidRDefault="00000000">
            <w:pPr>
              <w:spacing w:after="40"/>
            </w:pPr>
            <w:r>
              <w:t>Rapporto lordo (€/anno di vita in buona salute)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A56A550" w14:textId="77777777" w:rsidR="007C4598" w:rsidRDefault="00000000">
            <w:pPr>
              <w:spacing w:after="40"/>
            </w:pPr>
            <w:r>
              <w:t>~19.200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910ABA8" w14:textId="77777777" w:rsidR="007C4598" w:rsidRDefault="00000000">
            <w:pPr>
              <w:spacing w:after="40"/>
            </w:pPr>
            <w:r>
              <w:t>~17.300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F960B58" w14:textId="77777777" w:rsidR="007C4598" w:rsidRDefault="00000000">
            <w:pPr>
              <w:spacing w:after="40"/>
            </w:pPr>
            <w:r>
              <w:t>~16.100</w:t>
            </w:r>
          </w:p>
        </w:tc>
      </w:tr>
      <w:tr w:rsidR="007C4598" w14:paraId="2E6B3459"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BB07EAB" w14:textId="77777777" w:rsidR="007C4598" w:rsidRDefault="00000000">
            <w:pPr>
              <w:spacing w:after="40"/>
            </w:pPr>
            <w:r>
              <w:t xml:space="preserve">Rapporto netto dei risparmi diretti (con </w:t>
            </w:r>
            <w:proofErr w:type="spellStart"/>
            <w:r>
              <w:t>caveat</w:t>
            </w:r>
            <w:proofErr w:type="spellEnd"/>
            <w:r>
              <w:t xml:space="preserve"> IMPACT)</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CF8492E" w14:textId="77777777" w:rsidR="007C4598" w:rsidRDefault="00000000">
            <w:pPr>
              <w:spacing w:after="40"/>
            </w:pPr>
            <w:r>
              <w:t>~3.800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C1C2221" w14:textId="77777777" w:rsidR="007C4598" w:rsidRDefault="00000000">
            <w:pPr>
              <w:spacing w:after="40"/>
            </w:pPr>
            <w:r>
              <w:t>~1.800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E564393" w14:textId="77777777" w:rsidR="007C4598" w:rsidRDefault="00000000">
            <w:pPr>
              <w:spacing w:after="40"/>
            </w:pPr>
            <w:r>
              <w:t>~prossimo a zero</w:t>
            </w:r>
          </w:p>
        </w:tc>
      </w:tr>
      <w:tr w:rsidR="007C4598" w14:paraId="574AF744"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1C3FAEB" w14:textId="77777777" w:rsidR="007C4598" w:rsidRDefault="00000000">
            <w:pPr>
              <w:spacing w:after="40"/>
            </w:pPr>
            <w:r>
              <w:t>Soglia convenzionale (€/anno di vita in buona salute)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67DF93D" w14:textId="77777777" w:rsidR="007C4598" w:rsidRDefault="00000000">
            <w:pPr>
              <w:spacing w:after="40"/>
            </w:pPr>
            <w:r>
              <w:t>25.000–40.000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9CF7A45" w14:textId="77777777" w:rsidR="007C4598" w:rsidRDefault="00000000">
            <w:pPr>
              <w:spacing w:after="40"/>
            </w:pPr>
            <w:r>
              <w:t>25.000–40.000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7926C21" w14:textId="77777777" w:rsidR="007C4598" w:rsidRDefault="00000000">
            <w:pPr>
              <w:spacing w:after="40"/>
            </w:pPr>
            <w:r>
              <w:t>25.000–40.000</w:t>
            </w:r>
          </w:p>
        </w:tc>
      </w:tr>
    </w:tbl>
    <w:p w14:paraId="71FCDE44" w14:textId="77777777" w:rsidR="007C4598" w:rsidRDefault="007C4598"/>
    <w:p w14:paraId="0CE7CC7E" w14:textId="77777777" w:rsidR="007C4598" w:rsidRDefault="00000000">
      <w:pPr>
        <w:jc w:val="both"/>
      </w:pPr>
      <w:r>
        <w:rPr>
          <w:i/>
          <w:iCs/>
        </w:rPr>
        <w:t xml:space="preserve">Tabella 10.2 — Rapporto incrementale costo-efficacia della riforma, lordo e netto dei risparmi diretti, per scenario, a confronto con la soglia convenzionale. Il rapporto lordo, calcolato sul solo costo diretto senza deduzione dei risparmi, si colloca ampiamente al di sotto della soglia in tutti gli scenari; il rapporto netto, più favorevole, è soggetto al </w:t>
      </w:r>
      <w:proofErr w:type="spellStart"/>
      <w:r>
        <w:rPr>
          <w:i/>
          <w:iCs/>
        </w:rPr>
        <w:t>caveat</w:t>
      </w:r>
      <w:proofErr w:type="spellEnd"/>
      <w:r>
        <w:rPr>
          <w:i/>
          <w:iCs/>
        </w:rPr>
        <w:t xml:space="preserve"> dell’IMPACT trial sulla significatività dei risparmi diretti.</w:t>
      </w:r>
    </w:p>
    <w:p w14:paraId="339CC5EE" w14:textId="77777777" w:rsidR="007C4598" w:rsidRDefault="007C4598"/>
    <w:p w14:paraId="2062123B" w14:textId="77777777" w:rsidR="007C4598" w:rsidRDefault="00000000">
      <w:pPr>
        <w:jc w:val="both"/>
      </w:pPr>
      <w:r>
        <w:t xml:space="preserve">Il rapporto incrementale costo-efficacia della riforma si colloca, in tutti gli scenari, ampiamente al di sotto della soglia convenzionale di costo-efficacia. Il rapporto lordo, calcolato in via prudenziale sul solo costo diretto dell’investimento senza dedurre i risparmi, è dell’ordine di diciassettemila euro per anno di vita in buona salute guadagnato nello scenario intermedio, di circa </w:t>
      </w:r>
      <w:proofErr w:type="spellStart"/>
      <w:r>
        <w:t>diciannovemiladuecento</w:t>
      </w:r>
      <w:proofErr w:type="spellEnd"/>
      <w:r>
        <w:t xml:space="preserve"> nello scenario conservativo e di circa </w:t>
      </w:r>
      <w:proofErr w:type="spellStart"/>
      <w:r>
        <w:t>sedicimilacento</w:t>
      </w:r>
      <w:proofErr w:type="spellEnd"/>
      <w:r>
        <w:t xml:space="preserve"> nello scenario espansivo — tutti valori nettamente inferiori alla soglia convenzionale di venticinque-quarantamila euro. Già su questa base prudenziale, che non beneficia della deduzione dei risparmi diretti, la riforma risulta dunque nettamente costo-efficace: essa produce salute a un costo per anno di vita in buona salute sensibilmente inferiore a quello che il sistema sanitario è convenzionalmente disposto a sostenere. Il rapporto netto, calcolato deducendo dal costo i risparmi diretti, è ancora più favorevole — dell’ordine di alcune migliaia di euro per anno di vita in buona salute, e prossimo a zero nello scenario espansivo, in cui i risparmi diretti eguagliano il costo — ma è soggetto al </w:t>
      </w:r>
      <w:proofErr w:type="spellStart"/>
      <w:r>
        <w:t>caveat</w:t>
      </w:r>
      <w:proofErr w:type="spellEnd"/>
      <w:r>
        <w:t xml:space="preserve"> dell’IMPACT trial, che non consente di considerare statisticamente significativi i risparmi diretti; per questo la valutazione si fonda prudenzialmente sul rapporto lordo, che è già ampiamente favorevole e che non dipende dai risparmi </w:t>
      </w:r>
      <w:proofErr w:type="spellStart"/>
      <w:r>
        <w:t>caveati</w:t>
      </w:r>
      <w:proofErr w:type="spellEnd"/>
      <w:r>
        <w:t>.</w:t>
      </w:r>
      <w:r>
        <w:rPr>
          <w:color w:val="555555"/>
          <w:sz w:val="16"/>
          <w:szCs w:val="16"/>
          <w:vertAlign w:val="superscript"/>
        </w:rPr>
        <w:t>[3]</w:t>
      </w:r>
    </w:p>
    <w:p w14:paraId="6D6221F2" w14:textId="77777777" w:rsidR="007C4598" w:rsidRDefault="007C4598"/>
    <w:p w14:paraId="68BD29D0" w14:textId="77777777" w:rsidR="007C4598" w:rsidRDefault="00000000">
      <w:pPr>
        <w:jc w:val="both"/>
      </w:pPr>
      <w:r>
        <w:t xml:space="preserve">La netta costo-efficacia della riforma, stabilita sul rapporto lordo, è un risultato di notevole solidità, perché non dipende né dai risparmi diretti, soggetti a </w:t>
      </w:r>
      <w:proofErr w:type="spellStart"/>
      <w:r>
        <w:t>caveat</w:t>
      </w:r>
      <w:proofErr w:type="spellEnd"/>
      <w:r>
        <w:t xml:space="preserve">, né dai benefici indiretti, ma soltanto dal rapporto tra il costo diretto dell’investimento e i guadagni di salute prodotti. Anche nell’ipotesi prudenziale in cui si trascurassero interamente i risparmi diretti e i benefici indiretti, e si valutasse la riforma sul solo terreno della costo-efficacia sanitaria, essa risulterebbe un impiego efficiente delle risorse, perché produce anni di vita in buona salute a un costo unitario nettamente inferiore alla soglia. Questo risultato fornisce alla valutazione integrata un primo, solido fondamento: la riforma è costo-efficace sul piano della salute indipendentemente dai risparmi e dai benefici, e la sua costo-efficacia è tanto più netta quanto più si considerino anche i risparmi diretti, che ne abbattono ulteriormente il rapporto. La costo-efficacia sanitaria è dunque il presidio più robusto del valore della riforma, perché poggia sul solo rapporto tra costo e salute, indenne dai </w:t>
      </w:r>
      <w:proofErr w:type="spellStart"/>
      <w:r>
        <w:t>caveat</w:t>
      </w:r>
      <w:proofErr w:type="spellEnd"/>
      <w:r>
        <w:t xml:space="preserve"> che gravano sulle altre grandezze.</w:t>
      </w:r>
    </w:p>
    <w:p w14:paraId="3BF9F5CB" w14:textId="77777777" w:rsidR="007C4598" w:rsidRDefault="007C4598"/>
    <w:p w14:paraId="7F572F6E" w14:textId="77777777" w:rsidR="007C4598" w:rsidRDefault="00000000">
      <w:pPr>
        <w:pStyle w:val="Titolo2"/>
        <w:spacing w:before="200" w:after="100"/>
      </w:pPr>
      <w:r>
        <w:rPr>
          <w:sz w:val="22"/>
          <w:szCs w:val="22"/>
        </w:rPr>
        <w:t xml:space="preserve">10.1.4  Il valore monetizzato dei guadagni di salute e la fascia superiore di </w:t>
      </w:r>
      <w:proofErr w:type="spellStart"/>
      <w:r>
        <w:rPr>
          <w:sz w:val="22"/>
          <w:szCs w:val="22"/>
        </w:rPr>
        <w:t>Chisholm</w:t>
      </w:r>
      <w:proofErr w:type="spellEnd"/>
    </w:p>
    <w:p w14:paraId="4EC38220" w14:textId="77777777" w:rsidR="007C4598" w:rsidRDefault="007C4598"/>
    <w:p w14:paraId="3D63E682" w14:textId="77777777" w:rsidR="007C4598" w:rsidRDefault="00000000">
      <w:pPr>
        <w:jc w:val="both"/>
      </w:pPr>
      <w:r>
        <w:t xml:space="preserve">Stabilita la costo-efficacia della riforma, la valutazione costo-utilità procede a monetizzare il valore dei guadagni di salute, sì da poterlo comporre con i benefici economici e operare il passaggio alla fascia superiore di </w:t>
      </w:r>
      <w:proofErr w:type="spellStart"/>
      <w:r>
        <w:t>Chisholm</w:t>
      </w:r>
      <w:proofErr w:type="spellEnd"/>
      <w:r>
        <w:t>. La monetizzazione del valore dei guadagni di salute si conduce valorizzando ciascun anno di vita in buona salute guadagnato al valore convenzionale che il sistema riconosce a un anno di vita in buona salute, prudenzialmente riferito a un valore intermedio dell’intervallo convenzionale, dell’ordine di trentamila euro per anno di vita in buona salute. Il valore monetizzato dei guadagni di salute è allora il prodotto del numero di anni di vita in buona salute guadagnati per il valore unitario, e rappresenta il valore monetario dei guadagni di salute che la riforma produce. La tabella che segue espone il valore monetizzato dei guadagni di salute per ciascuno scenario.</w:t>
      </w:r>
    </w:p>
    <w:p w14:paraId="3C8EDDBF"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6E961962"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FDDBE07" w14:textId="77777777" w:rsidR="007C4598" w:rsidRDefault="00000000">
            <w:pPr>
              <w:spacing w:after="40"/>
            </w:pPr>
            <w:r>
              <w:rPr>
                <w:b/>
                <w:bCs/>
                <w:color w:val="FFFFFF"/>
                <w:sz w:val="18"/>
                <w:szCs w:val="18"/>
              </w:rPr>
              <w:t>Valore monetizzato dei guadagni di salute (mln €/anno)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8D003FD" w14:textId="77777777" w:rsidR="007C4598" w:rsidRDefault="00000000">
            <w:pPr>
              <w:spacing w:after="40"/>
            </w:pPr>
            <w:r>
              <w:rPr>
                <w:b/>
                <w:bCs/>
                <w:color w:val="FFFFFF"/>
                <w:sz w:val="18"/>
                <w:szCs w:val="18"/>
              </w:rPr>
              <w:t>Conservativo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F35B489" w14:textId="77777777" w:rsidR="007C4598" w:rsidRDefault="00000000">
            <w:pPr>
              <w:spacing w:after="40"/>
            </w:pPr>
            <w:r>
              <w:rPr>
                <w:b/>
                <w:bCs/>
                <w:color w:val="FFFFFF"/>
                <w:sz w:val="18"/>
                <w:szCs w:val="18"/>
              </w:rPr>
              <w:t>Intermedio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A5BCB61" w14:textId="77777777" w:rsidR="007C4598" w:rsidRDefault="00000000">
            <w:pPr>
              <w:spacing w:after="40"/>
            </w:pPr>
            <w:r>
              <w:rPr>
                <w:b/>
                <w:bCs/>
                <w:color w:val="FFFFFF"/>
                <w:sz w:val="18"/>
                <w:szCs w:val="18"/>
              </w:rPr>
              <w:t>Espansivo</w:t>
            </w:r>
          </w:p>
        </w:tc>
      </w:tr>
      <w:tr w:rsidR="007C4598" w14:paraId="6EA1E05F"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F58B9F1" w14:textId="77777777" w:rsidR="007C4598" w:rsidRDefault="00000000">
            <w:pPr>
              <w:spacing w:after="40"/>
            </w:pPr>
            <w:r>
              <w:t>Anni di vita in buona salute guadagnati (stima centrale)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9E21742" w14:textId="77777777" w:rsidR="007C4598" w:rsidRDefault="00000000">
            <w:pPr>
              <w:spacing w:after="40"/>
            </w:pPr>
            <w:r>
              <w:t>~1.300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1A32E78" w14:textId="77777777" w:rsidR="007C4598" w:rsidRDefault="00000000">
            <w:pPr>
              <w:spacing w:after="40"/>
            </w:pPr>
            <w:r>
              <w:t>~2.200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C3A9638" w14:textId="77777777" w:rsidR="007C4598" w:rsidRDefault="00000000">
            <w:pPr>
              <w:spacing w:after="40"/>
            </w:pPr>
            <w:r>
              <w:t>~3.100</w:t>
            </w:r>
          </w:p>
        </w:tc>
      </w:tr>
      <w:tr w:rsidR="007C4598" w14:paraId="02783C89"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3298A48" w14:textId="77777777" w:rsidR="007C4598" w:rsidRDefault="00000000">
            <w:pPr>
              <w:spacing w:after="40"/>
            </w:pPr>
            <w:r>
              <w:t>Valore unitario convenzionale (€/anno di vita in buona salute)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BAACA0A" w14:textId="77777777" w:rsidR="007C4598" w:rsidRDefault="00000000">
            <w:pPr>
              <w:spacing w:after="40"/>
            </w:pPr>
            <w:r>
              <w:t>~30.000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215D253" w14:textId="77777777" w:rsidR="007C4598" w:rsidRDefault="00000000">
            <w:pPr>
              <w:spacing w:after="40"/>
            </w:pPr>
            <w:r>
              <w:t>~30.000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A329B2E" w14:textId="77777777" w:rsidR="007C4598" w:rsidRDefault="00000000">
            <w:pPr>
              <w:spacing w:after="40"/>
            </w:pPr>
            <w:r>
              <w:t>~30.000</w:t>
            </w:r>
          </w:p>
        </w:tc>
      </w:tr>
      <w:tr w:rsidR="007C4598" w14:paraId="6430E74F"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9B6FACE" w14:textId="77777777" w:rsidR="007C4598" w:rsidRDefault="00000000">
            <w:pPr>
              <w:spacing w:after="40"/>
            </w:pPr>
            <w:r>
              <w:t>Valore monetizzato dei guadagni di salute (mln €/anno)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BC0A307" w14:textId="77777777" w:rsidR="007C4598" w:rsidRDefault="00000000">
            <w:pPr>
              <w:spacing w:after="40"/>
            </w:pPr>
            <w:r>
              <w:t>~39</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83B2D7F" w14:textId="77777777" w:rsidR="007C4598" w:rsidRDefault="00000000">
            <w:pPr>
              <w:spacing w:after="40"/>
            </w:pPr>
            <w:r>
              <w:t>~66</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14D0E77" w14:textId="77777777" w:rsidR="007C4598" w:rsidRDefault="00000000">
            <w:pPr>
              <w:spacing w:after="40"/>
            </w:pPr>
            <w:r>
              <w:t>~93</w:t>
            </w:r>
          </w:p>
        </w:tc>
      </w:tr>
    </w:tbl>
    <w:p w14:paraId="4326BA1C" w14:textId="77777777" w:rsidR="007C4598" w:rsidRDefault="007C4598"/>
    <w:p w14:paraId="3FBE9A0A" w14:textId="77777777" w:rsidR="007C4598" w:rsidRDefault="00000000">
      <w:pPr>
        <w:jc w:val="both"/>
      </w:pPr>
      <w:r>
        <w:rPr>
          <w:i/>
          <w:iCs/>
        </w:rPr>
        <w:t xml:space="preserve">Tabella 10.3 — Valore monetizzato dei guadagni di salute della riforma, per scenario, calcolato valorizzando ciascun anno di vita in buona salute guadagnato al valore convenzionale intermedio dell’intervallo. Il valore monetizzato è impiegato esclusivamente per il passaggio alla fascia superiore di </w:t>
      </w:r>
      <w:proofErr w:type="spellStart"/>
      <w:r>
        <w:rPr>
          <w:i/>
          <w:iCs/>
        </w:rPr>
        <w:t>Chisholm</w:t>
      </w:r>
      <w:proofErr w:type="spellEnd"/>
      <w:r>
        <w:rPr>
          <w:i/>
          <w:iCs/>
        </w:rPr>
        <w:t>, e non è sommato ai benefici economici in un’unica cifra di saldo, ma vi è composto come dimensione distinta del valore.</w:t>
      </w:r>
    </w:p>
    <w:p w14:paraId="0E28519F" w14:textId="77777777" w:rsidR="007C4598" w:rsidRDefault="007C4598"/>
    <w:p w14:paraId="3BCFE806" w14:textId="77777777" w:rsidR="007C4598" w:rsidRDefault="00000000">
      <w:pPr>
        <w:jc w:val="both"/>
      </w:pPr>
      <w:r>
        <w:t xml:space="preserve">Il valore monetizzato dei guadagni di salute è dunque dell’ordine di sessantasei milioni di euro l’anno nello scenario intermedio, di circa trentanove milioni nello scenario conservativo e di circa novantatré milioni nello scenario espansivo. Questo valore, composto con i benefici economici indiretti stabiliti dalla nona parte, consente di calcolare il rapporto che include il valore dei guadagni di salute, e di operare il passaggio dalla fascia dei soli benefici economici alla fascia superiore di </w:t>
      </w:r>
      <w:proofErr w:type="spellStart"/>
      <w:r>
        <w:t>Chisholm</w:t>
      </w:r>
      <w:proofErr w:type="spellEnd"/>
      <w:r>
        <w:t>. Il rapporto che include il valore della salute si calcola sommando, al numeratore, i benefici economici indiretti e il valore monetizzato dei guadagni di salute, e rapportando tale somma al costo diretto dell’investimento; esso esprime il rendimento complessivo della riforma quando si consideri, accanto ai benefici economici, anche il valore intrinseco della salute prodotta. La tabella che segue espone il passaggio dalla fascia dei soli benefici economici alla fascia che include il valore della salute.</w:t>
      </w:r>
    </w:p>
    <w:p w14:paraId="32050EEA"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1B0E1907"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719ED98" w14:textId="77777777" w:rsidR="007C4598" w:rsidRDefault="00000000">
            <w:pPr>
              <w:spacing w:after="40"/>
            </w:pPr>
            <w:r>
              <w:rPr>
                <w:b/>
                <w:bCs/>
                <w:color w:val="FFFFFF"/>
                <w:sz w:val="18"/>
                <w:szCs w:val="18"/>
              </w:rPr>
              <w:t>Dal rendimento economico al rendimento con valore della salute</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8BC97BF" w14:textId="77777777" w:rsidR="007C4598" w:rsidRDefault="00000000">
            <w:pPr>
              <w:spacing w:after="40"/>
            </w:pPr>
            <w:r>
              <w:rPr>
                <w:b/>
                <w:bCs/>
                <w:color w:val="FFFFFF"/>
                <w:sz w:val="18"/>
                <w:szCs w:val="18"/>
              </w:rPr>
              <w:t>Conservativo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6161E5A" w14:textId="77777777" w:rsidR="007C4598" w:rsidRDefault="00000000">
            <w:pPr>
              <w:spacing w:after="40"/>
            </w:pPr>
            <w:r>
              <w:rPr>
                <w:b/>
                <w:bCs/>
                <w:color w:val="FFFFFF"/>
                <w:sz w:val="18"/>
                <w:szCs w:val="18"/>
              </w:rPr>
              <w:t>Intermedio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99743BA" w14:textId="77777777" w:rsidR="007C4598" w:rsidRDefault="00000000">
            <w:pPr>
              <w:spacing w:after="40"/>
            </w:pPr>
            <w:r>
              <w:rPr>
                <w:b/>
                <w:bCs/>
                <w:color w:val="FFFFFF"/>
                <w:sz w:val="18"/>
                <w:szCs w:val="18"/>
              </w:rPr>
              <w:t>Espansivo</w:t>
            </w:r>
          </w:p>
        </w:tc>
      </w:tr>
      <w:tr w:rsidR="007C4598" w14:paraId="13BC5075"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6E2EEF3" w14:textId="77777777" w:rsidR="007C4598" w:rsidRDefault="00000000">
            <w:pPr>
              <w:spacing w:after="40"/>
            </w:pPr>
            <w:r>
              <w:t>Benefici economici indiretti (mln €/anno)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AF585BE" w14:textId="77777777" w:rsidR="007C4598" w:rsidRDefault="00000000">
            <w:pPr>
              <w:spacing w:after="40"/>
            </w:pPr>
            <w:r>
              <w:t>~65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8189CF8" w14:textId="77777777" w:rsidR="007C4598" w:rsidRDefault="00000000">
            <w:pPr>
              <w:spacing w:after="40"/>
            </w:pPr>
            <w:r>
              <w:t>~98</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34AB2DA" w14:textId="77777777" w:rsidR="007C4598" w:rsidRDefault="00000000">
            <w:pPr>
              <w:spacing w:after="40"/>
            </w:pPr>
            <w:r>
              <w:t>~139</w:t>
            </w:r>
          </w:p>
        </w:tc>
      </w:tr>
      <w:tr w:rsidR="007C4598" w14:paraId="3F0583FB"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A674456" w14:textId="77777777" w:rsidR="007C4598" w:rsidRDefault="00000000">
            <w:pPr>
              <w:spacing w:after="40"/>
            </w:pPr>
            <w:r>
              <w:t xml:space="preserve">Rapporto dei soli benefici economici (fascia </w:t>
            </w:r>
            <w:proofErr w:type="spellStart"/>
            <w:r>
              <w:t>Chisholm</w:t>
            </w:r>
            <w:proofErr w:type="spellEnd"/>
            <w:r>
              <w:t xml:space="preserve"> 2,3–3,0 : 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6B57B0C" w14:textId="77777777" w:rsidR="007C4598" w:rsidRDefault="00000000">
            <w:pPr>
              <w:spacing w:after="40"/>
            </w:pPr>
            <w:r>
              <w:t>~2,6 : 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B3E531A" w14:textId="77777777" w:rsidR="007C4598" w:rsidRDefault="00000000">
            <w:pPr>
              <w:spacing w:after="40"/>
            </w:pPr>
            <w:r>
              <w:t>~2,6 : 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106DAD2" w14:textId="77777777" w:rsidR="007C4598" w:rsidRDefault="00000000">
            <w:pPr>
              <w:spacing w:after="40"/>
            </w:pPr>
            <w:r>
              <w:t>~2,8 : 1</w:t>
            </w:r>
          </w:p>
        </w:tc>
      </w:tr>
      <w:tr w:rsidR="007C4598" w14:paraId="6120FDBE"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1A4F7EB" w14:textId="77777777" w:rsidR="007C4598" w:rsidRDefault="00000000">
            <w:pPr>
              <w:spacing w:after="40"/>
            </w:pPr>
            <w:r>
              <w:t>Valore monetizzato dei guadagni di salute (mln €/anno)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0C7D401" w14:textId="77777777" w:rsidR="007C4598" w:rsidRDefault="00000000">
            <w:pPr>
              <w:spacing w:after="40"/>
            </w:pPr>
            <w:r>
              <w:t>~39</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D1CF7D7" w14:textId="77777777" w:rsidR="007C4598" w:rsidRDefault="00000000">
            <w:pPr>
              <w:spacing w:after="40"/>
            </w:pPr>
            <w:r>
              <w:t>~66</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B5CC5E6" w14:textId="77777777" w:rsidR="007C4598" w:rsidRDefault="00000000">
            <w:pPr>
              <w:spacing w:after="40"/>
            </w:pPr>
            <w:r>
              <w:t>~93</w:t>
            </w:r>
          </w:p>
        </w:tc>
      </w:tr>
      <w:tr w:rsidR="007C4598" w14:paraId="2E85FD4E"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9B33F29" w14:textId="77777777" w:rsidR="007C4598" w:rsidRDefault="00000000">
            <w:pPr>
              <w:spacing w:after="40"/>
            </w:pPr>
            <w:r>
              <w:t>Benefici economici e valore della salute (mln €/anno)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C8AD943" w14:textId="77777777" w:rsidR="007C4598" w:rsidRDefault="00000000">
            <w:pPr>
              <w:spacing w:after="40"/>
            </w:pPr>
            <w:r>
              <w:t>~104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5BDE994" w14:textId="77777777" w:rsidR="007C4598" w:rsidRDefault="00000000">
            <w:pPr>
              <w:spacing w:after="40"/>
            </w:pPr>
            <w:r>
              <w:t>~164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1B6D7EB" w14:textId="77777777" w:rsidR="007C4598" w:rsidRDefault="00000000">
            <w:pPr>
              <w:spacing w:after="40"/>
            </w:pPr>
            <w:r>
              <w:t>~232</w:t>
            </w:r>
          </w:p>
        </w:tc>
      </w:tr>
      <w:tr w:rsidR="007C4598" w14:paraId="30AEEFA4"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553763F" w14:textId="77777777" w:rsidR="007C4598" w:rsidRDefault="00000000">
            <w:pPr>
              <w:spacing w:after="40"/>
            </w:pPr>
            <w:r>
              <w:t xml:space="preserve">Rapporto con valore della salute (fascia </w:t>
            </w:r>
            <w:proofErr w:type="spellStart"/>
            <w:r>
              <w:t>Chisholm</w:t>
            </w:r>
            <w:proofErr w:type="spellEnd"/>
            <w:r>
              <w:t xml:space="preserve"> 3,3–5,7 : 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DEC31B7" w14:textId="77777777" w:rsidR="007C4598" w:rsidRDefault="00000000">
            <w:pPr>
              <w:spacing w:after="40"/>
            </w:pPr>
            <w:r>
              <w:t>~4,2 : 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93C29B8" w14:textId="77777777" w:rsidR="007C4598" w:rsidRDefault="00000000">
            <w:pPr>
              <w:spacing w:after="40"/>
            </w:pPr>
            <w:r>
              <w:t>~4,3 : 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4197BCC" w14:textId="77777777" w:rsidR="007C4598" w:rsidRDefault="00000000">
            <w:pPr>
              <w:spacing w:after="40"/>
            </w:pPr>
            <w:r>
              <w:t>~4,6 : 1</w:t>
            </w:r>
          </w:p>
        </w:tc>
      </w:tr>
    </w:tbl>
    <w:p w14:paraId="422C38B3" w14:textId="77777777" w:rsidR="007C4598" w:rsidRDefault="007C4598"/>
    <w:p w14:paraId="358807DD" w14:textId="77777777" w:rsidR="007C4598" w:rsidRDefault="00000000">
      <w:pPr>
        <w:jc w:val="both"/>
      </w:pPr>
      <w:r>
        <w:rPr>
          <w:i/>
          <w:iCs/>
        </w:rPr>
        <w:t xml:space="preserve">Tabella 10.4 — Passaggio dal rendimento dei soli benefici economici al rendimento che include il valore dei guadagni di salute, per scenario. Il rapporto dei soli benefici economici si colloca nella prima fascia di </w:t>
      </w:r>
      <w:proofErr w:type="spellStart"/>
      <w:r>
        <w:rPr>
          <w:i/>
          <w:iCs/>
        </w:rPr>
        <w:t>Chisholm</w:t>
      </w:r>
      <w:proofErr w:type="spellEnd"/>
      <w:r>
        <w:rPr>
          <w:i/>
          <w:iCs/>
        </w:rPr>
        <w:t xml:space="preserve"> (2,3–3,0 a 1); l’aggiunta del valore monetizzato dei guadagni di salute sospinge il rapporto nella fascia superiore (3,3–5,7 a 1). Le grandezze sono composte per il calcolo del rapporto, non fuse con i risparmi diretti, che restano distinti.</w:t>
      </w:r>
    </w:p>
    <w:p w14:paraId="3EA28526" w14:textId="77777777" w:rsidR="007C4598" w:rsidRDefault="007C4598"/>
    <w:p w14:paraId="7BDAD0CD" w14:textId="77777777" w:rsidR="007C4598" w:rsidRDefault="00000000">
      <w:pPr>
        <w:jc w:val="both"/>
      </w:pPr>
      <w:r>
        <w:t xml:space="preserve">Il passaggio dalla fascia dei soli benefici economici alla fascia che include il valore della salute restituisce un esito di notevole rilievo, e in tutto coerente con il duplice intervallo di </w:t>
      </w:r>
      <w:proofErr w:type="spellStart"/>
      <w:r>
        <w:t>Chisholm</w:t>
      </w:r>
      <w:proofErr w:type="spellEnd"/>
      <w:r>
        <w:t xml:space="preserve">. Il rapporto dei soli benefici economici indiretti rispetto al costo, stabilito dalla nona parte, è dell’ordine di 2,6 a 1 negli scenari conservativo e intermedio e di 2,8 a 1 nello scenario espansivo, e si colloca entro la prima fascia di </w:t>
      </w:r>
      <w:proofErr w:type="spellStart"/>
      <w:r>
        <w:t>Chisholm</w:t>
      </w:r>
      <w:proofErr w:type="spellEnd"/>
      <w:r>
        <w:t xml:space="preserve">, compresa tra 2,3 e 3,0 a 1. L’aggiunta del valore monetizzato dei guadagni di salute — sessantasei milioni nello scenario intermedio — porta il numeratore da novantotto a </w:t>
      </w:r>
      <w:proofErr w:type="spellStart"/>
      <w:r>
        <w:t>centosessantaquattro</w:t>
      </w:r>
      <w:proofErr w:type="spellEnd"/>
      <w:r>
        <w:t xml:space="preserve"> milioni nello scenario intermedio, e il rapporto da 2,6 a circa 4,3 a 1; e analogamente, il rapporto sale a circa 4,2 a 1 nello scenario conservativo e a circa 4,6 a 1 nello scenario espansivo. Tutti questi rapporti, comprensivi del valore della salute, si collocano entro la seconda fascia di </w:t>
      </w:r>
      <w:proofErr w:type="spellStart"/>
      <w:r>
        <w:t>Chisholm</w:t>
      </w:r>
      <w:proofErr w:type="spellEnd"/>
      <w:r>
        <w:t xml:space="preserve">, compresa tra 3,3 e 5,7 a 1. Il passaggio dalla prima alla seconda fascia, operato dall’aggiunta del valore della salute, è dunque confermato dai dati: la riforma rende, sui soli benefici economici, entro la prima fascia di </w:t>
      </w:r>
      <w:proofErr w:type="spellStart"/>
      <w:r>
        <w:t>Chisholm</w:t>
      </w:r>
      <w:proofErr w:type="spellEnd"/>
      <w:r>
        <w:t xml:space="preserve">, e, con l’aggiunta del valore della salute, entro la seconda fascia, esattamente come il duplice intervallo della letteratura internazionale prevede. Questa duplice collocazione entro le due fasce di </w:t>
      </w:r>
      <w:proofErr w:type="spellStart"/>
      <w:r>
        <w:t>Chisholm</w:t>
      </w:r>
      <w:proofErr w:type="spellEnd"/>
      <w:r>
        <w:t xml:space="preserve"> è una seconda convergenza, dopo quella stabilita nella nona parte, tra la stima costruita per questa riforma e il rendimento validato dalla letteratura, e fornisce alla valutazione un ulteriore presidio di robustezza.</w:t>
      </w:r>
      <w:r>
        <w:rPr>
          <w:color w:val="555555"/>
          <w:sz w:val="16"/>
          <w:szCs w:val="16"/>
          <w:vertAlign w:val="superscript"/>
        </w:rPr>
        <w:t>[4]</w:t>
      </w:r>
    </w:p>
    <w:p w14:paraId="14894C0D"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6F0C1A8A"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23740B2" w14:textId="77777777" w:rsidR="007C4598" w:rsidRDefault="00000000">
            <w:pPr>
              <w:spacing w:after="40"/>
            </w:pPr>
            <w:r>
              <w:rPr>
                <w:b/>
                <w:bCs/>
                <w:color w:val="FFFFFF"/>
                <w:sz w:val="18"/>
                <w:szCs w:val="18"/>
              </w:rPr>
              <w:t xml:space="preserve">◆ SEGNAPOSTO INFOGRAFICA — FIG. 10.A · DA INSERIRE A POSTERIORI Titolo previsto: Dal rendimento economico al rendimento con valore della salute: le due fasce di </w:t>
            </w:r>
            <w:proofErr w:type="spellStart"/>
            <w:r>
              <w:rPr>
                <w:b/>
                <w:bCs/>
                <w:color w:val="FFFFFF"/>
                <w:sz w:val="18"/>
                <w:szCs w:val="18"/>
              </w:rPr>
              <w:t>Chisholm</w:t>
            </w:r>
            <w:proofErr w:type="spellEnd"/>
            <w:r>
              <w:rPr>
                <w:b/>
                <w:bCs/>
                <w:color w:val="FFFFFF"/>
                <w:sz w:val="18"/>
                <w:szCs w:val="18"/>
              </w:rPr>
              <w:t xml:space="preserve"> — Puglia CODICE CANVA-FRIENDLY (scheda di generazione) Tipo di grafico: diagramma a fasce orizzontali che rappresenta le due fasce di </w:t>
            </w:r>
            <w:proofErr w:type="spellStart"/>
            <w:r>
              <w:rPr>
                <w:b/>
                <w:bCs/>
                <w:color w:val="FFFFFF"/>
                <w:sz w:val="18"/>
                <w:szCs w:val="18"/>
              </w:rPr>
              <w:t>Chisholm</w:t>
            </w:r>
            <w:proofErr w:type="spellEnd"/>
            <w:r>
              <w:rPr>
                <w:b/>
                <w:bCs/>
                <w:color w:val="FFFFFF"/>
                <w:sz w:val="18"/>
                <w:szCs w:val="18"/>
              </w:rPr>
              <w:t xml:space="preserve"> — quella dei soli benefici economici (2,3–3,0 a 1) e quella che include i ritorni di salute (3,3–5,7 a 1) — con sovrapposte, per i tre scenari, le posizioni del rapporto dei soli benefici economici e del rapporto con valore della salute. Lettura: due bande orizzontali (la prima da 2,3 a 3,0; la seconda da 3,3 a 5,7); marcatori del rapporto dei soli benefici economici (~2,6, ~2,6, ~2,8) entro la prima banda; frecce che salgono ai marcatori del rapporto con valore della salute (~4,2, ~4,3, ~4,6) entro la seconda banda, a illustrare il passaggio operato dall’aggiunta del valore della salute. Palette: prima fascia (benefici economici) in blu medio #244272; seconda fascia (con valore salute) in blu </w:t>
            </w:r>
            <w:proofErr w:type="spellStart"/>
            <w:r>
              <w:rPr>
                <w:b/>
                <w:bCs/>
                <w:color w:val="FFFFFF"/>
                <w:sz w:val="18"/>
                <w:szCs w:val="18"/>
              </w:rPr>
              <w:t>navy</w:t>
            </w:r>
            <w:proofErr w:type="spellEnd"/>
            <w:r>
              <w:rPr>
                <w:b/>
                <w:bCs/>
                <w:color w:val="FFFFFF"/>
                <w:sz w:val="18"/>
                <w:szCs w:val="18"/>
              </w:rPr>
              <w:t xml:space="preserve"> #16264B; marcatori dei rapporti in oro #C49A48; frecce di passaggio in blu #2E5AA0; soglie delle fasce in grigio #D8D8D8.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etichette delle fasce </w:t>
            </w:r>
            <w:proofErr w:type="spellStart"/>
            <w:r>
              <w:rPr>
                <w:b/>
                <w:bCs/>
                <w:color w:val="FFFFFF"/>
                <w:sz w:val="18"/>
                <w:szCs w:val="18"/>
              </w:rPr>
              <w:t>Bold</w:t>
            </w:r>
            <w:proofErr w:type="spellEnd"/>
            <w:r>
              <w:rPr>
                <w:b/>
                <w:bCs/>
                <w:color w:val="FFFFFF"/>
                <w:sz w:val="18"/>
                <w:szCs w:val="18"/>
              </w:rPr>
              <w:t xml:space="preserve">, valori dei rapporti Medium, etichette degli scenari Regular.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xml:space="preserve">. Valori da rappresentare: prima fascia 2,3–3,0; rapporti economici Conservativo ~2,6; Intermedio ~2,6; Espansivo ~2,8. Seconda fascia 3,3–5,7; rapporti con valore salute Conservativo ~4,2; Intermedio ~4,3; Espansivo ~4,6. Variante 3D (consigliata): le due fasce come piani sovrapposti a diversa quota; le frecce di passaggio che salgono dal piano inferiore al superiore, a rendere il passaggio dall’una all’altra fascia operato dall’aggiunta del valore della salute. Fonte (piè di figura): Elaborazione dello studio; rapporti coerenti con il duplice intervallo di </w:t>
            </w:r>
            <w:proofErr w:type="spellStart"/>
            <w:r>
              <w:rPr>
                <w:b/>
                <w:bCs/>
                <w:color w:val="FFFFFF"/>
                <w:sz w:val="18"/>
                <w:szCs w:val="18"/>
              </w:rPr>
              <w:t>Chisholm</w:t>
            </w:r>
            <w:proofErr w:type="spellEnd"/>
            <w:r>
              <w:rPr>
                <w:b/>
                <w:bCs/>
                <w:color w:val="FFFFFF"/>
                <w:sz w:val="18"/>
                <w:szCs w:val="18"/>
              </w:rPr>
              <w:t xml:space="preserve"> et al. 2016; valore della salute monetizzato al valore convenzionale intermedio; grandezze distinte dai risparmi diretti. La figura deve rendere evidente che il rapporto dei soli benefici economici si colloca nella prima fascia di </w:t>
            </w:r>
            <w:proofErr w:type="spellStart"/>
            <w:r>
              <w:rPr>
                <w:b/>
                <w:bCs/>
                <w:color w:val="FFFFFF"/>
                <w:sz w:val="18"/>
                <w:szCs w:val="18"/>
              </w:rPr>
              <w:t>Chisholm</w:t>
            </w:r>
            <w:proofErr w:type="spellEnd"/>
            <w:r>
              <w:rPr>
                <w:b/>
                <w:bCs/>
                <w:color w:val="FFFFFF"/>
                <w:sz w:val="18"/>
                <w:szCs w:val="18"/>
              </w:rPr>
              <w:t>, e che l’aggiunta del valore dei guadagni di salute sospinge il rapporto nella fascia superiore, in coerenza con il duplice intervallo della letteratura.</w:t>
            </w:r>
          </w:p>
          <w:p w14:paraId="4CB9F2C9" w14:textId="77777777" w:rsidR="007C4598" w:rsidRDefault="00000000">
            <w:pPr>
              <w:spacing w:before="120" w:after="60"/>
              <w:jc w:val="center"/>
            </w:pPr>
            <w:r>
              <w:rPr>
                <w:noProof/>
              </w:rPr>
              <w:drawing>
                <wp:inline distT="0" distB="0" distL="0" distR="0" wp14:anchorId="0BFA86A3" wp14:editId="250BE180">
                  <wp:extent cx="8229600" cy="4629150"/>
                  <wp:effectExtent l="0" t="0" r="0" b="0"/>
                  <wp:docPr id="156" name="Infografica56" descr="Le due fasce di Chisho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Infografica56"/>
                          <pic:cNvPicPr>
                            <a:picLocks noChangeAspect="1" noChangeArrowheads="1"/>
                          </pic:cNvPicPr>
                        </pic:nvPicPr>
                        <pic:blipFill>
                          <a:blip r:embed="rId101">
                            <a:extLst>
                              <a:ext uri="{96DAC541-7B7A-43D3-8B79-37D633B846F1}">
                                <asvg:svgBlip xmlns:asvg="http://schemas.microsoft.com/office/drawing/2016/SVG/main" r:embed="rId102"/>
                              </a:ext>
                            </a:extLst>
                          </a:blip>
                          <a:stretch>
                            <a:fillRect/>
                          </a:stretch>
                        </pic:blipFill>
                        <pic:spPr bwMode="auto">
                          <a:xfrm>
                            <a:off x="0" y="0"/>
                            <a:ext cx="8229600" cy="4629150"/>
                          </a:xfrm>
                          <a:prstGeom prst="rect">
                            <a:avLst/>
                          </a:prstGeom>
                          <a:noFill/>
                          <a:ln>
                            <a:noFill/>
                          </a:ln>
                        </pic:spPr>
                      </pic:pic>
                    </a:graphicData>
                  </a:graphic>
                </wp:inline>
              </w:drawing>
            </w:r>
          </w:p>
          <w:p w14:paraId="14A3E81B" w14:textId="77777777" w:rsidR="007C4598" w:rsidRDefault="00000000">
            <w:pPr>
              <w:spacing w:before="40" w:after="200"/>
              <w:jc w:val="center"/>
            </w:pPr>
            <w:r>
              <w:rPr>
                <w:i/>
                <w:color w:val="2E5A8F"/>
                <w:sz w:val="16"/>
                <w:szCs w:val="16"/>
              </w:rPr>
              <w:t xml:space="preserve">Fig. 10.A — Le due fasce di </w:t>
            </w:r>
            <w:proofErr w:type="spellStart"/>
            <w:r>
              <w:rPr>
                <w:i/>
                <w:color w:val="2E5A8F"/>
                <w:sz w:val="16"/>
                <w:szCs w:val="16"/>
              </w:rPr>
              <w:t>Chisholm</w:t>
            </w:r>
            <w:proofErr w:type="spellEnd"/>
            <w:r>
              <w:rPr>
                <w:i/>
                <w:color w:val="2E5A8F"/>
                <w:sz w:val="16"/>
                <w:szCs w:val="16"/>
              </w:rPr>
              <w:t>. Elaborazione dello studio · Luigi De Michele · Giugno 2026.</w:t>
            </w:r>
          </w:p>
        </w:tc>
      </w:tr>
    </w:tbl>
    <w:p w14:paraId="3E630BF4" w14:textId="77777777" w:rsidR="007C4598" w:rsidRDefault="007C4598"/>
    <w:p w14:paraId="78CE782A" w14:textId="77777777" w:rsidR="007C4598" w:rsidRDefault="00000000">
      <w:pPr>
        <w:pStyle w:val="Titolo2"/>
        <w:spacing w:before="200" w:after="100"/>
      </w:pPr>
      <w:r>
        <w:rPr>
          <w:sz w:val="22"/>
          <w:szCs w:val="22"/>
        </w:rPr>
        <w:t>10.1.5  La graduazione, le bande prudenziali e i confini della valutazione costo-utilità</w:t>
      </w:r>
    </w:p>
    <w:p w14:paraId="23E4CC02" w14:textId="77777777" w:rsidR="007C4598" w:rsidRDefault="007C4598"/>
    <w:p w14:paraId="1B734005" w14:textId="77777777" w:rsidR="007C4598" w:rsidRDefault="00000000">
      <w:pPr>
        <w:jc w:val="both"/>
      </w:pPr>
      <w:r>
        <w:t xml:space="preserve">La solidità della valutazione costo-utilità va dichiarata, distinguendone le componenti. La costo-efficacia della riforma, stabilita sul rapporto lordo tra costo diretto e guadagni di salute, è sostenuta da evidenza solida sull’efficacia degli interventi psicologici per il disagio comune, graduata da moderata ad alta nella sesta parte, e dalla stima prudenziale dei guadagni di salute; essa è il risultato più robusto della voce, perché non dipende né dai risparmi diretti né dai benefici indiretti, ma soltanto dal rapporto tra costo e salute. La monetizzazione del valore dei guadagni di salute, e il conseguente rapporto con valore della salute, dipendono invece dal valore convenzionale attribuito all’anno di vita in buona salute, che è una convenzione e non una grandezza osservata, e vanno perciò letti come stime soggette alla scelta del valore unitario; la loro robustezza è condizionata da tale scelta, dichiarata e prudenzialmente riferita al valore intermedio dell’intervallo. Le bande prudenziali dei guadagni di salute, riportate nella stima, si propagano ai rapporti, che vanno letti come valori centrali di intervalli; e la collocazione dei rapporti entro le fasce di </w:t>
      </w:r>
      <w:proofErr w:type="spellStart"/>
      <w:r>
        <w:t>Chisholm</w:t>
      </w:r>
      <w:proofErr w:type="spellEnd"/>
      <w:r>
        <w:t xml:space="preserve"> è verificata sui valori centrali, con la consapevolezza che le bande ne ampliano l’intervallo.</w:t>
      </w:r>
      <w:r>
        <w:rPr>
          <w:color w:val="555555"/>
          <w:sz w:val="16"/>
          <w:szCs w:val="16"/>
          <w:vertAlign w:val="superscript"/>
        </w:rPr>
        <w:t>[5]</w:t>
      </w:r>
    </w:p>
    <w:p w14:paraId="2F6BCABF" w14:textId="77777777" w:rsidR="007C4598" w:rsidRDefault="007C4598"/>
    <w:p w14:paraId="554DCD70" w14:textId="77777777" w:rsidR="007C4598" w:rsidRDefault="00000000">
      <w:pPr>
        <w:jc w:val="both"/>
      </w:pPr>
      <w:r>
        <w:t xml:space="preserve">Da questa graduazione discendono i confini della valutazione costo-utilità e il suo rapporto con le altre grandezze. In primo luogo, i guadagni di salute e il loro valore monetizzato sono una grandezza distinta tanto dai risparmi fiscali diretti quanto dai benefici sociali indiretti: essi misurano il valore intrinseco della salute prodotta, che non coincide né con il risparmio per il bilancio sanitario né con il beneficio per il tessuto economico, ma costituisce una terza dimensione del valore della riforma, quella di salute. In secondo luogo, il valore monetizzato dei guadagni di salute è composto con i benefici economici per il solo calcolo del rapporto che include il valore della salute, e non è sommato ai risparmi diretti in un’unica cifra di saldo: il saldo consolidato, sviluppato nella quinta voce, terrà distinte le tre dimensioni — fiscale, sociale e di salute — affiancandole senza fonderle. In terzo luogo, la valutazione costo-utilità è riferita ai guadagni di salute annui, e la loro proiezione nel tempo, che ne accumula il valore lungo l’orizzonte, è riservata alla modellazione dell’undicesima parte. La valutazione costo-utilità stabilisce così la dimensione di salute del valore della riforma, netta nella sua costo-efficacia e coerente, nel suo rapporto con valore della salute, con la fascia superiore di </w:t>
      </w:r>
      <w:proofErr w:type="spellStart"/>
      <w:r>
        <w:t>Chisholm</w:t>
      </w:r>
      <w:proofErr w:type="spellEnd"/>
      <w:r>
        <w:t>, e la consegna alla valutazione integrata come terza dimensione, distinta dalla fiscale e dalla sociale. Stabilita la dimensione di salute, la valutazione integrata può ora muovere verso l’analisi di impatto di bilancio, che ne valuta la sostenibilità finanziaria per il bilancio sanitario regionale.</w:t>
      </w:r>
    </w:p>
    <w:p w14:paraId="24CF298A" w14:textId="77777777" w:rsidR="007C4598" w:rsidRDefault="007C4598"/>
    <w:p w14:paraId="3A796388" w14:textId="77777777" w:rsidR="007C4598" w:rsidRDefault="00000000">
      <w:pPr>
        <w:pStyle w:val="Titolo1"/>
        <w:pageBreakBefore/>
      </w:pPr>
      <w:r>
        <w:rPr>
          <w:sz w:val="22"/>
          <w:szCs w:val="22"/>
        </w:rPr>
        <w:t>10.2  L’analisi di impatto di bilancio per il Servizio Sanitario Regionale pugliese</w:t>
      </w:r>
    </w:p>
    <w:p w14:paraId="5DEC2E6C" w14:textId="77777777" w:rsidR="007C4598" w:rsidRDefault="007C4598"/>
    <w:p w14:paraId="48BDD327" w14:textId="77777777" w:rsidR="007C4598" w:rsidRDefault="00000000">
      <w:pPr>
        <w:jc w:val="both"/>
      </w:pPr>
      <w:r>
        <w:rPr>
          <w:i/>
          <w:iCs/>
        </w:rPr>
        <w:t xml:space="preserve">La seconda voce della valutazione integrata conduce l’analisi di impatto di bilancio, che misura l’effetto della riforma sul bilancio sanitario regionale nel tempo, e ne valuta la sostenibilità finanziaria. A differenza della valutazione costo-utilità, che misura l’efficienza dell’intervento sul piano della salute, l’analisi di impatto di bilancio misura la sua sostenibilità sul piano finanziario: non quanto la riforma renda per ogni euro speso o per ogni anno di vita guadagnato, ma quanto essa pesi sul bilancio sanitario regionale anno per anno, e se tale peso sia sostenibile. La voce proietta la traiettoria pluriennale dell’impatto della riforma sul bilancio sanitario, distinguendo il graduale crescere dei costi e il ritardato manifestarsi dei risparmi, espone la variante prudenziale in cui i risparmi non sono computati, in ossequio al </w:t>
      </w:r>
      <w:proofErr w:type="spellStart"/>
      <w:r>
        <w:rPr>
          <w:i/>
          <w:iCs/>
        </w:rPr>
        <w:t>caveat</w:t>
      </w:r>
      <w:proofErr w:type="spellEnd"/>
      <w:r>
        <w:rPr>
          <w:i/>
          <w:iCs/>
        </w:rPr>
        <w:t xml:space="preserve"> dell’IMPACT trial, e valuta la sostenibilità dell’impatto rispetto alla dimensione del bilancio sanitario regionale. La voce stabilisce così la sostenibilità finanziaria della riforma, complementare alla sua costo-efficacia, e ne dimostra il peso contenuto sul bilancio sanitario.</w:t>
      </w:r>
    </w:p>
    <w:p w14:paraId="355A6AEA" w14:textId="77777777" w:rsidR="007C4598" w:rsidRDefault="007C4598"/>
    <w:p w14:paraId="68C4747D" w14:textId="77777777" w:rsidR="007C4598" w:rsidRDefault="00000000">
      <w:pPr>
        <w:pStyle w:val="Titolo2"/>
        <w:spacing w:before="200" w:after="100"/>
      </w:pPr>
      <w:r>
        <w:rPr>
          <w:sz w:val="22"/>
          <w:szCs w:val="22"/>
        </w:rPr>
        <w:t>10.2.1  La logica dell’analisi di impatto di bilancio</w:t>
      </w:r>
    </w:p>
    <w:p w14:paraId="53B5C550" w14:textId="77777777" w:rsidR="007C4598" w:rsidRDefault="007C4598"/>
    <w:p w14:paraId="7F5F6919" w14:textId="77777777" w:rsidR="007C4598" w:rsidRDefault="00000000">
      <w:pPr>
        <w:jc w:val="both"/>
      </w:pPr>
      <w:r>
        <w:t>L’analisi di impatto di bilancio è lo strumento con cui la valutazione economica in sanità misura l’effetto di un intervento sul bilancio di un sistema sanitario in un orizzonte temporale definito, e ne valuta la sostenibilità finanziaria. Essa risponde a una domanda diversa da quella della valutazione costo-efficacia: non se l’intervento sia efficiente nel produrre salute, ma se il sistema possa permettersi di finanziarlo, ossia se l’impatto dell’intervento sul bilancio sia compatibile con le risorse disponibili. La differenza tra le due analisi è sostanziale: un intervento può essere costo-efficace — produrre salute a un costo unitario inferiore alla soglia — e tuttavia comportare un impatto di bilancio rilevante, se la popolazione che lo riceve è ampia; e viceversa, un intervento poco costo-efficace può avere un impatto di bilancio contenuto, se la popolazione è ristretta. La valutazione completa di un intervento richiede perciò entrambe le analisi: la valutazione costo-efficacia, per l’efficienza, e l’analisi di impatto di bilancio, per la sostenibilità.</w:t>
      </w:r>
      <w:r>
        <w:rPr>
          <w:color w:val="555555"/>
          <w:sz w:val="16"/>
          <w:szCs w:val="16"/>
          <w:vertAlign w:val="superscript"/>
        </w:rPr>
        <w:t>[6]</w:t>
      </w:r>
    </w:p>
    <w:p w14:paraId="0A4FD886" w14:textId="77777777" w:rsidR="007C4598" w:rsidRDefault="007C4598"/>
    <w:p w14:paraId="34324A7F" w14:textId="77777777" w:rsidR="007C4598" w:rsidRDefault="00000000">
      <w:pPr>
        <w:jc w:val="both"/>
      </w:pPr>
      <w:r>
        <w:t>L’analisi di impatto di bilancio misura, per ciascun anno dell’orizzonte di valutazione, la differenza tra i costi che l’intervento comporta per il bilancio e i risparmi che esso genera per il medesimo bilancio, e ne ricava l’impatto netto sul bilancio anno per anno, oltre all’impatto cumulato lungo l’orizzonte. Nel caso della riforma del primo livello psicologico, il bilancio interessato è quello sanitario regionale, ossia il Fondo Sanitario Regionale della Puglia, e l’analisi misura l’effetto della riforma su tale bilancio: i costi sono quelli diretti dell’investimento, stabiliti dalla settima parte; i risparmi sono quelli fiscali diretti per il bilancio sanitario, stabiliti dall’ottava parte. L’impatto netto sul bilancio sanitario è la differenza tra i costi e i risparmi, e rappresenta l’onere netto che la riforma comporta per il bilancio sanitario in ciascun anno. L’analisi di impatto di bilancio è dunque condotta sul solo bilancio sanitario regionale, e impiega le sole grandezze fiscali dirette — i costi diretti e i risparmi diretti — escludendo i benefici indiretti, che gravano su altri bilanci e non incidono sul bilancio sanitario regionale.</w:t>
      </w:r>
    </w:p>
    <w:p w14:paraId="0860BE5C" w14:textId="77777777" w:rsidR="007C4598" w:rsidRDefault="007C4598"/>
    <w:p w14:paraId="02738932" w14:textId="77777777" w:rsidR="007C4598" w:rsidRDefault="00000000">
      <w:pPr>
        <w:jc w:val="both"/>
      </w:pPr>
      <w:r>
        <w:t>Una specificità governa l’analisi di impatto di bilancio della riforma, e ne determina la traiettoria temporale: lo sfasamento tra il manifestarsi dei costi e il manifestarsi dei risparmi. I costi diretti dell’investimento si manifestano fin dall’avvio della riforma, e crescono gradualmente man mano che il servizio si stabilisce — gli incarichi sono conferiti, le strutture allestite, la leva digitale dispiegata — fino a raggiungere il livello di regime; i risparmi diretti, invece, si manifestano con ritardo, perché la presa in carico dei pazienti deve prima produrre i suoi effetti clinici, e questi devono poi tradursi in minori accessi, minori prescrizioni inappropriate e minore mobilità passiva, in un processo che richiede tempo. Ne consegue che, nei primi anni della riforma, i costi eccedono i risparmi, e l’impatto netto sul bilancio è positivo — la riforma comporta un onere per il bilancio; man mano che i risparmi maturano e si avvicinano ai costi, l’impatto netto si riduce, fino ad avvicinarsi al pareggio a regime, quando i risparmi diretti quasi eguagliano i costi. La traiettoria temporale dell’impatto di bilancio è dunque quella di un onere che cresce nei primi anni, raggiunge un massimo e poi declina verso il pareggio, e va proiettata su un orizzonte pluriennale per coglierne l’andamento.</w:t>
      </w:r>
    </w:p>
    <w:p w14:paraId="2562F85D" w14:textId="77777777" w:rsidR="007C4598" w:rsidRDefault="007C4598"/>
    <w:p w14:paraId="60DEE047" w14:textId="77777777" w:rsidR="007C4598" w:rsidRDefault="00000000">
      <w:pPr>
        <w:pStyle w:val="Titolo2"/>
        <w:spacing w:before="200" w:after="100"/>
      </w:pPr>
      <w:r>
        <w:rPr>
          <w:sz w:val="22"/>
          <w:szCs w:val="22"/>
        </w:rPr>
        <w:t>10.2.2  La traiettoria pluriennale: il crescere dei costi e il ritardo dei risparmi</w:t>
      </w:r>
    </w:p>
    <w:p w14:paraId="614EE220" w14:textId="77777777" w:rsidR="007C4598" w:rsidRDefault="007C4598"/>
    <w:p w14:paraId="2A45D9C4" w14:textId="77777777" w:rsidR="007C4598" w:rsidRDefault="00000000">
      <w:pPr>
        <w:jc w:val="both"/>
      </w:pPr>
      <w:r>
        <w:t>La traiettoria pluriennale dell’impatto di bilancio si proietta su un orizzonte quinquennale, che è l’orizzonte convenzionale dell’analisi di impatto di bilancio, sufficiente a cogliere il passaggio dalla fase di avvio alla fase di regime. La proiezione è condotta per lo scenario intermedio, che è lo scenario di riferimento, e modella il graduale crescere dei costi — dal livello parziale del primo anno al livello di regime del terzo anno in poi — e il ritardato manifestarsi dei risparmi — dal livello minimo del primo anno al livello di regime del quinto anno. La tabella che segue espone la traiettoria quinquennale dell’impatto di bilancio per lo scenario intermedio.</w:t>
      </w:r>
    </w:p>
    <w:p w14:paraId="54BFFC82"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686"/>
        <w:gridCol w:w="1468"/>
        <w:gridCol w:w="1468"/>
        <w:gridCol w:w="1468"/>
        <w:gridCol w:w="1468"/>
        <w:gridCol w:w="1468"/>
      </w:tblGrid>
      <w:tr w:rsidR="007C4598" w14:paraId="3E32A94D" w14:textId="77777777">
        <w:tc>
          <w:tcPr>
            <w:tcW w:w="1504"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446EBEE" w14:textId="77777777" w:rsidR="007C4598" w:rsidRDefault="00000000">
            <w:pPr>
              <w:spacing w:after="40"/>
            </w:pPr>
            <w:r>
              <w:rPr>
                <w:b/>
                <w:bCs/>
                <w:color w:val="FFFFFF"/>
                <w:sz w:val="18"/>
                <w:szCs w:val="18"/>
              </w:rPr>
              <w:t>Traiettoria quinquennale (scenario intermedio, mln €/anno)</w:t>
            </w:r>
          </w:p>
        </w:tc>
        <w:tc>
          <w:tcPr>
            <w:tcW w:w="1504"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FD5E819" w14:textId="77777777" w:rsidR="007C4598" w:rsidRDefault="00000000">
            <w:pPr>
              <w:spacing w:after="40"/>
            </w:pPr>
            <w:r>
              <w:rPr>
                <w:b/>
                <w:bCs/>
                <w:color w:val="FFFFFF"/>
                <w:sz w:val="18"/>
                <w:szCs w:val="18"/>
              </w:rPr>
              <w:t>Anno 1</w:t>
            </w:r>
          </w:p>
        </w:tc>
        <w:tc>
          <w:tcPr>
            <w:tcW w:w="1504"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C35CA5F" w14:textId="77777777" w:rsidR="007C4598" w:rsidRDefault="00000000">
            <w:pPr>
              <w:spacing w:after="40"/>
            </w:pPr>
            <w:r>
              <w:rPr>
                <w:b/>
                <w:bCs/>
                <w:color w:val="FFFFFF"/>
                <w:sz w:val="18"/>
                <w:szCs w:val="18"/>
              </w:rPr>
              <w:t>Anno 2</w:t>
            </w:r>
          </w:p>
        </w:tc>
        <w:tc>
          <w:tcPr>
            <w:tcW w:w="1504"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6A15655" w14:textId="77777777" w:rsidR="007C4598" w:rsidRDefault="00000000">
            <w:pPr>
              <w:spacing w:after="40"/>
            </w:pPr>
            <w:r>
              <w:rPr>
                <w:b/>
                <w:bCs/>
                <w:color w:val="FFFFFF"/>
                <w:sz w:val="18"/>
                <w:szCs w:val="18"/>
              </w:rPr>
              <w:t>Anno 3</w:t>
            </w:r>
          </w:p>
        </w:tc>
        <w:tc>
          <w:tcPr>
            <w:tcW w:w="1504"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679E116" w14:textId="77777777" w:rsidR="007C4598" w:rsidRDefault="00000000">
            <w:pPr>
              <w:spacing w:after="40"/>
            </w:pPr>
            <w:r>
              <w:rPr>
                <w:b/>
                <w:bCs/>
                <w:color w:val="FFFFFF"/>
                <w:sz w:val="18"/>
                <w:szCs w:val="18"/>
              </w:rPr>
              <w:t>Anno 4</w:t>
            </w:r>
          </w:p>
        </w:tc>
        <w:tc>
          <w:tcPr>
            <w:tcW w:w="1504"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CBCB32E" w14:textId="77777777" w:rsidR="007C4598" w:rsidRDefault="00000000">
            <w:pPr>
              <w:spacing w:after="40"/>
            </w:pPr>
            <w:r>
              <w:rPr>
                <w:b/>
                <w:bCs/>
                <w:color w:val="FFFFFF"/>
                <w:sz w:val="18"/>
                <w:szCs w:val="18"/>
              </w:rPr>
              <w:t>Anno 5</w:t>
            </w:r>
          </w:p>
        </w:tc>
      </w:tr>
      <w:tr w:rsidR="007C4598" w14:paraId="707B3CF6" w14:textId="77777777">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895D4A7" w14:textId="77777777" w:rsidR="007C4598" w:rsidRDefault="00000000">
            <w:pPr>
              <w:spacing w:after="40"/>
            </w:pPr>
            <w:r>
              <w:t>Costo diretto lordo dell’investimento</w:t>
            </w:r>
          </w:p>
        </w:tc>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70BD0CC" w14:textId="77777777" w:rsidR="007C4598" w:rsidRDefault="00000000">
            <w:pPr>
              <w:spacing w:after="40"/>
            </w:pPr>
            <w:r>
              <w:t>22</w:t>
            </w:r>
          </w:p>
        </w:tc>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B5622E9" w14:textId="77777777" w:rsidR="007C4598" w:rsidRDefault="00000000">
            <w:pPr>
              <w:spacing w:after="40"/>
            </w:pPr>
            <w:r>
              <w:t>32</w:t>
            </w:r>
          </w:p>
        </w:tc>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28627B3" w14:textId="77777777" w:rsidR="007C4598" w:rsidRDefault="00000000">
            <w:pPr>
              <w:spacing w:after="40"/>
            </w:pPr>
            <w:r>
              <w:t>38</w:t>
            </w:r>
          </w:p>
        </w:tc>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FADDCD0" w14:textId="77777777" w:rsidR="007C4598" w:rsidRDefault="00000000">
            <w:pPr>
              <w:spacing w:after="40"/>
            </w:pPr>
            <w:r>
              <w:t>38</w:t>
            </w:r>
          </w:p>
        </w:tc>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BFCE8C9" w14:textId="77777777" w:rsidR="007C4598" w:rsidRDefault="00000000">
            <w:pPr>
              <w:spacing w:after="40"/>
            </w:pPr>
            <w:r>
              <w:t>38</w:t>
            </w:r>
          </w:p>
        </w:tc>
      </w:tr>
      <w:tr w:rsidR="007C4598" w14:paraId="7627AD57" w14:textId="77777777">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2DE9052" w14:textId="77777777" w:rsidR="007C4598" w:rsidRDefault="00000000">
            <w:pPr>
              <w:spacing w:after="40"/>
            </w:pPr>
            <w:r>
              <w:t>Risparmi diretti (con ritardo di maturazione)</w:t>
            </w:r>
          </w:p>
        </w:tc>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F53634B" w14:textId="77777777" w:rsidR="007C4598" w:rsidRDefault="00000000">
            <w:pPr>
              <w:spacing w:after="40"/>
            </w:pPr>
            <w:r>
              <w:t>2</w:t>
            </w:r>
          </w:p>
        </w:tc>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D15155A" w14:textId="77777777" w:rsidR="007C4598" w:rsidRDefault="00000000">
            <w:pPr>
              <w:spacing w:after="40"/>
            </w:pPr>
            <w:r>
              <w:t>9</w:t>
            </w:r>
          </w:p>
        </w:tc>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CE1071E" w14:textId="77777777" w:rsidR="007C4598" w:rsidRDefault="00000000">
            <w:pPr>
              <w:spacing w:after="40"/>
            </w:pPr>
            <w:r>
              <w:t>18</w:t>
            </w:r>
          </w:p>
        </w:tc>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FDAF99E" w14:textId="77777777" w:rsidR="007C4598" w:rsidRDefault="00000000">
            <w:pPr>
              <w:spacing w:after="40"/>
            </w:pPr>
            <w:r>
              <w:t>27</w:t>
            </w:r>
          </w:p>
        </w:tc>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EA6F591" w14:textId="77777777" w:rsidR="007C4598" w:rsidRDefault="00000000">
            <w:pPr>
              <w:spacing w:after="40"/>
            </w:pPr>
            <w:r>
              <w:t>34</w:t>
            </w:r>
          </w:p>
        </w:tc>
      </w:tr>
      <w:tr w:rsidR="007C4598" w14:paraId="6FB9225A" w14:textId="77777777">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B31D17F" w14:textId="77777777" w:rsidR="007C4598" w:rsidRDefault="00000000">
            <w:pPr>
              <w:spacing w:after="40"/>
            </w:pPr>
            <w:r>
              <w:t>Impatto netto sul bilancio sanitario regionale</w:t>
            </w:r>
          </w:p>
        </w:tc>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13EEEBE" w14:textId="77777777" w:rsidR="007C4598" w:rsidRDefault="00000000">
            <w:pPr>
              <w:spacing w:after="40"/>
            </w:pPr>
            <w:r>
              <w:t>+20</w:t>
            </w:r>
          </w:p>
        </w:tc>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659E7BC" w14:textId="77777777" w:rsidR="007C4598" w:rsidRDefault="00000000">
            <w:pPr>
              <w:spacing w:after="40"/>
            </w:pPr>
            <w:r>
              <w:t>+23</w:t>
            </w:r>
          </w:p>
        </w:tc>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21BE2C1" w14:textId="77777777" w:rsidR="007C4598" w:rsidRDefault="00000000">
            <w:pPr>
              <w:spacing w:after="40"/>
            </w:pPr>
            <w:r>
              <w:t>+20</w:t>
            </w:r>
          </w:p>
        </w:tc>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2D6B637" w14:textId="77777777" w:rsidR="007C4598" w:rsidRDefault="00000000">
            <w:pPr>
              <w:spacing w:after="40"/>
            </w:pPr>
            <w:r>
              <w:t>+11</w:t>
            </w:r>
          </w:p>
        </w:tc>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2194D5A" w14:textId="77777777" w:rsidR="007C4598" w:rsidRDefault="00000000">
            <w:pPr>
              <w:spacing w:after="40"/>
            </w:pPr>
            <w:r>
              <w:t>+4</w:t>
            </w:r>
          </w:p>
        </w:tc>
      </w:tr>
    </w:tbl>
    <w:p w14:paraId="2C67BA6D" w14:textId="77777777" w:rsidR="007C4598" w:rsidRDefault="007C4598"/>
    <w:p w14:paraId="2267B873" w14:textId="77777777" w:rsidR="007C4598" w:rsidRDefault="00000000">
      <w:pPr>
        <w:jc w:val="both"/>
      </w:pPr>
      <w:r>
        <w:rPr>
          <w:i/>
          <w:iCs/>
        </w:rPr>
        <w:t>Tabella 10.5 — Traiettoria quinquennale dell’impatto di bilancio della riforma sul bilancio sanitario regionale, scenario intermedio. Il costo cresce dal livello parziale del primo anno al regime dal terzo anno; i risparmi maturano con ritardo, dal livello minimo del primo anno al regime del quinto. L’impatto netto cresce nei primi anni, raggiunge un massimo nel secondo e declina verso il pareggio dal quinto anno.</w:t>
      </w:r>
    </w:p>
    <w:p w14:paraId="001BC6E2" w14:textId="77777777" w:rsidR="007C4598" w:rsidRDefault="007C4598"/>
    <w:p w14:paraId="44A97AEF" w14:textId="77777777" w:rsidR="007C4598" w:rsidRDefault="00000000">
      <w:pPr>
        <w:jc w:val="both"/>
      </w:pPr>
      <w:r>
        <w:t>La traiettoria quinquennale rivela l’andamento caratteristico dell’impatto di bilancio della riforma. Nel primo anno, in cui il servizio si stabilisce e i risparmi sono ancora minimi, l’impatto netto sul bilancio sanitario è dell’ordine di venti milioni di euro, perché il costo parziale di ventidue milioni è quasi interamente a carico del bilancio, essendo i risparmi appena di due milioni. Nel secondo anno, in cui il costo cresce a trentadue milioni mentre i risparmi salgono soltanto a nove, l’impatto netto raggiunge il suo massimo, dell’ordine di ventitré milioni. Dal terzo anno, in cui il costo raggiunge il regime di trentotto milioni e i risparmi maturano a diciotto, l’impatto netto comincia a declinare, a venti milioni; e prosegue nel suo declino al quarto anno, a undici milioni, man mano che i risparmi salgono a ventisette, e al quinto anno, a quattro milioni, quando i risparmi raggiungono il regime di trentaquattro milioni e quasi eguagliano il costo. La traiettoria è dunque quella di un onere che cresce nei primi due anni, raggiunge il massimo nel secondo, e poi declina costantemente verso il pareggio, che è quasi raggiunto al quinto anno, quando l’impatto netto si riduce a una frazione del costo. L’impatto cumulato del quinquennio, somma degli impatti netti annui, è dell’ordine di settantotto milioni di euro, concentrato nei primi anni e via via assottigliato negli ultimi.</w:t>
      </w:r>
      <w:r>
        <w:rPr>
          <w:color w:val="555555"/>
          <w:sz w:val="16"/>
          <w:szCs w:val="16"/>
          <w:vertAlign w:val="superscript"/>
        </w:rPr>
        <w:t>[7]</w:t>
      </w:r>
    </w:p>
    <w:p w14:paraId="34DDEA75" w14:textId="77777777" w:rsidR="007C4598" w:rsidRDefault="007C4598"/>
    <w:p w14:paraId="4078653E" w14:textId="77777777" w:rsidR="007C4598" w:rsidRDefault="00000000">
      <w:pPr>
        <w:jc w:val="both"/>
      </w:pPr>
      <w:r>
        <w:t>La lettura della traiettoria va condotta tenendo presente la sua dinamica, che ne è la caratteristica più rilevante per il decisore. L’impatto di bilancio della riforma non è costante, ma decrescente nel tempo: l’onere maggiore si concentra nei primi anni, quando i costi sono già rilevanti ma i risparmi non sono ancora maturati, e si assottiglia progressivamente man mano che i risparmi maturano, fino ad avvicinarsi al pareggio a regime. Questa dinamica ha un’implicazione importante per la sostenibilità: l’onere che la riforma comporta per il bilancio sanitario è massimo nella fase di avvio, e tende ad annullarsi nella fase di regime, sì che la riforma, a regime, è quasi neutra per il bilancio sanitario — i risparmi che essa genera quasi eguagliano i costi che essa comporta. La sostenibilità della riforma va dunque valutata distinguendo la fase di avvio, in cui l’onere è maggiore e va finanziato, e la fase di regime, in cui l’onere è minimo e la riforma quasi si autofinanzia attraverso i risparmi che genera. Il pareggio quasi raggiunto al quinto anno è coerente con il saldo fiscale diretto stabilito dall’ottava parte, dell’ordine del pareggio a regime, e ne costituisce la proiezione temporale.</w:t>
      </w:r>
    </w:p>
    <w:p w14:paraId="65D0D416" w14:textId="77777777" w:rsidR="007C4598" w:rsidRDefault="007C4598"/>
    <w:p w14:paraId="176544A9" w14:textId="77777777" w:rsidR="007C4598" w:rsidRDefault="00000000">
      <w:pPr>
        <w:pStyle w:val="Titolo2"/>
        <w:spacing w:before="200" w:after="100"/>
      </w:pPr>
      <w:r>
        <w:rPr>
          <w:sz w:val="22"/>
          <w:szCs w:val="22"/>
        </w:rPr>
        <w:t xml:space="preserve">10.2.3  La variante prudenziale senza risparmi diretti e il </w:t>
      </w:r>
      <w:proofErr w:type="spellStart"/>
      <w:r>
        <w:rPr>
          <w:sz w:val="22"/>
          <w:szCs w:val="22"/>
        </w:rPr>
        <w:t>caveat</w:t>
      </w:r>
      <w:proofErr w:type="spellEnd"/>
      <w:r>
        <w:rPr>
          <w:sz w:val="22"/>
          <w:szCs w:val="22"/>
        </w:rPr>
        <w:t xml:space="preserve"> dell’IMPACT trial</w:t>
      </w:r>
    </w:p>
    <w:p w14:paraId="2307B3C1" w14:textId="77777777" w:rsidR="007C4598" w:rsidRDefault="007C4598"/>
    <w:p w14:paraId="7987BAF7" w14:textId="77777777" w:rsidR="007C4598" w:rsidRDefault="00000000">
      <w:pPr>
        <w:jc w:val="both"/>
      </w:pPr>
      <w:r>
        <w:t xml:space="preserve">La traiettoria esposta computa i risparmi diretti che la riforma genera per il bilancio sanitario; ma il </w:t>
      </w:r>
      <w:proofErr w:type="spellStart"/>
      <w:r>
        <w:t>caveat</w:t>
      </w:r>
      <w:proofErr w:type="spellEnd"/>
      <w:r>
        <w:t xml:space="preserve"> dell’IMPACT trial, preservato nell’intero studio, impone di non considerare statisticamente significativi i risparmi sui costi sanitari diretti, e dunque di valutare la riforma anche nell’ipotesi prudenziale in cui tali risparmi non si manifestino. La variante prudenziale dell’analisi di impatto di bilancio computa perciò il solo costo diretto dell’investimento, senza dedurre alcun risparmio, e restituisce l’impatto netto sul bilancio sanitario nell’ipotesi più cautelativa. La tabella che segue confronta la variante centrale, che computa i risparmi, con la variante prudenziale, che li esclude, esponendo per ciascuna l’impatto netto annuo e l’impatto cumulato del quinquennio.</w:t>
      </w:r>
    </w:p>
    <w:p w14:paraId="671C9D59"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290"/>
        <w:gridCol w:w="1290"/>
        <w:gridCol w:w="1290"/>
        <w:gridCol w:w="1289"/>
        <w:gridCol w:w="1289"/>
        <w:gridCol w:w="1289"/>
        <w:gridCol w:w="1289"/>
      </w:tblGrid>
      <w:tr w:rsidR="007C4598" w14:paraId="50D0FF9C" w14:textId="77777777">
        <w:tc>
          <w:tcPr>
            <w:tcW w:w="1289"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FCD56B1" w14:textId="77777777" w:rsidR="007C4598" w:rsidRDefault="00000000">
            <w:pPr>
              <w:spacing w:after="40"/>
            </w:pPr>
            <w:r>
              <w:rPr>
                <w:b/>
                <w:bCs/>
                <w:color w:val="FFFFFF"/>
                <w:sz w:val="18"/>
                <w:szCs w:val="18"/>
              </w:rPr>
              <w:t>Confronto delle varianti (impatto netto sul bilancio, mln €)</w:t>
            </w:r>
          </w:p>
        </w:tc>
        <w:tc>
          <w:tcPr>
            <w:tcW w:w="1289"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383ABB4" w14:textId="77777777" w:rsidR="007C4598" w:rsidRDefault="00000000">
            <w:pPr>
              <w:spacing w:after="40"/>
            </w:pPr>
            <w:r>
              <w:rPr>
                <w:b/>
                <w:bCs/>
                <w:color w:val="FFFFFF"/>
                <w:sz w:val="18"/>
                <w:szCs w:val="18"/>
              </w:rPr>
              <w:t>Anno 1</w:t>
            </w:r>
          </w:p>
        </w:tc>
        <w:tc>
          <w:tcPr>
            <w:tcW w:w="1289"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D5EE558" w14:textId="77777777" w:rsidR="007C4598" w:rsidRDefault="00000000">
            <w:pPr>
              <w:spacing w:after="40"/>
            </w:pPr>
            <w:r>
              <w:rPr>
                <w:b/>
                <w:bCs/>
                <w:color w:val="FFFFFF"/>
                <w:sz w:val="18"/>
                <w:szCs w:val="18"/>
              </w:rPr>
              <w:t>Anno 2</w:t>
            </w:r>
          </w:p>
        </w:tc>
        <w:tc>
          <w:tcPr>
            <w:tcW w:w="1289"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C912959" w14:textId="77777777" w:rsidR="007C4598" w:rsidRDefault="00000000">
            <w:pPr>
              <w:spacing w:after="40"/>
            </w:pPr>
            <w:r>
              <w:rPr>
                <w:b/>
                <w:bCs/>
                <w:color w:val="FFFFFF"/>
                <w:sz w:val="18"/>
                <w:szCs w:val="18"/>
              </w:rPr>
              <w:t>Anno 3</w:t>
            </w:r>
          </w:p>
        </w:tc>
        <w:tc>
          <w:tcPr>
            <w:tcW w:w="1289"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7EC2700" w14:textId="77777777" w:rsidR="007C4598" w:rsidRDefault="00000000">
            <w:pPr>
              <w:spacing w:after="40"/>
            </w:pPr>
            <w:r>
              <w:rPr>
                <w:b/>
                <w:bCs/>
                <w:color w:val="FFFFFF"/>
                <w:sz w:val="18"/>
                <w:szCs w:val="18"/>
              </w:rPr>
              <w:t>Anno 4</w:t>
            </w:r>
          </w:p>
        </w:tc>
        <w:tc>
          <w:tcPr>
            <w:tcW w:w="1289"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9A12BF3" w14:textId="77777777" w:rsidR="007C4598" w:rsidRDefault="00000000">
            <w:pPr>
              <w:spacing w:after="40"/>
            </w:pPr>
            <w:r>
              <w:rPr>
                <w:b/>
                <w:bCs/>
                <w:color w:val="FFFFFF"/>
                <w:sz w:val="18"/>
                <w:szCs w:val="18"/>
              </w:rPr>
              <w:t>Anno 5</w:t>
            </w:r>
          </w:p>
        </w:tc>
        <w:tc>
          <w:tcPr>
            <w:tcW w:w="1289"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71FFA44" w14:textId="77777777" w:rsidR="007C4598" w:rsidRDefault="00000000">
            <w:pPr>
              <w:spacing w:after="40"/>
            </w:pPr>
            <w:r>
              <w:rPr>
                <w:b/>
                <w:bCs/>
                <w:color w:val="FFFFFF"/>
                <w:sz w:val="18"/>
                <w:szCs w:val="18"/>
              </w:rPr>
              <w:t>Cumulato</w:t>
            </w:r>
          </w:p>
        </w:tc>
      </w:tr>
      <w:tr w:rsidR="007C4598" w14:paraId="4F081C22" w14:textId="77777777">
        <w:tc>
          <w:tcPr>
            <w:tcW w:w="1289"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CEAD5A4" w14:textId="77777777" w:rsidR="007C4598" w:rsidRDefault="00000000">
            <w:pPr>
              <w:spacing w:after="40"/>
            </w:pPr>
            <w:r>
              <w:t>Variante centrale (con risparmi diretti)</w:t>
            </w:r>
          </w:p>
        </w:tc>
        <w:tc>
          <w:tcPr>
            <w:tcW w:w="1289"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812E9D7" w14:textId="77777777" w:rsidR="007C4598" w:rsidRDefault="00000000">
            <w:pPr>
              <w:spacing w:after="40"/>
            </w:pPr>
            <w:r>
              <w:t>+20</w:t>
            </w:r>
          </w:p>
        </w:tc>
        <w:tc>
          <w:tcPr>
            <w:tcW w:w="1289"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8A1C148" w14:textId="77777777" w:rsidR="007C4598" w:rsidRDefault="00000000">
            <w:pPr>
              <w:spacing w:after="40"/>
            </w:pPr>
            <w:r>
              <w:t>+23</w:t>
            </w:r>
          </w:p>
        </w:tc>
        <w:tc>
          <w:tcPr>
            <w:tcW w:w="1289"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080E1BE" w14:textId="77777777" w:rsidR="007C4598" w:rsidRDefault="00000000">
            <w:pPr>
              <w:spacing w:after="40"/>
            </w:pPr>
            <w:r>
              <w:t>+20</w:t>
            </w:r>
          </w:p>
        </w:tc>
        <w:tc>
          <w:tcPr>
            <w:tcW w:w="1289"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B60EFCC" w14:textId="77777777" w:rsidR="007C4598" w:rsidRDefault="00000000">
            <w:pPr>
              <w:spacing w:after="40"/>
            </w:pPr>
            <w:r>
              <w:t>+11</w:t>
            </w:r>
          </w:p>
        </w:tc>
        <w:tc>
          <w:tcPr>
            <w:tcW w:w="1289"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0DC1A50" w14:textId="77777777" w:rsidR="007C4598" w:rsidRDefault="00000000">
            <w:pPr>
              <w:spacing w:after="40"/>
            </w:pPr>
            <w:r>
              <w:t>+4</w:t>
            </w:r>
          </w:p>
        </w:tc>
        <w:tc>
          <w:tcPr>
            <w:tcW w:w="1289"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6EA2131" w14:textId="77777777" w:rsidR="007C4598" w:rsidRDefault="00000000">
            <w:pPr>
              <w:spacing w:after="40"/>
            </w:pPr>
            <w:r>
              <w:t>~78</w:t>
            </w:r>
          </w:p>
        </w:tc>
      </w:tr>
      <w:tr w:rsidR="007C4598" w14:paraId="1AECC181" w14:textId="77777777">
        <w:tc>
          <w:tcPr>
            <w:tcW w:w="1289"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52C1B33" w14:textId="77777777" w:rsidR="007C4598" w:rsidRDefault="00000000">
            <w:pPr>
              <w:spacing w:after="40"/>
            </w:pPr>
            <w:r>
              <w:t xml:space="preserve">Variante prudenziale (senza risparmi, </w:t>
            </w:r>
            <w:proofErr w:type="spellStart"/>
            <w:r>
              <w:t>caveat</w:t>
            </w:r>
            <w:proofErr w:type="spellEnd"/>
            <w:r>
              <w:t xml:space="preserve"> IMPACT)</w:t>
            </w:r>
          </w:p>
        </w:tc>
        <w:tc>
          <w:tcPr>
            <w:tcW w:w="1289"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81C14A6" w14:textId="77777777" w:rsidR="007C4598" w:rsidRDefault="00000000">
            <w:pPr>
              <w:spacing w:after="40"/>
            </w:pPr>
            <w:r>
              <w:t>+22</w:t>
            </w:r>
          </w:p>
        </w:tc>
        <w:tc>
          <w:tcPr>
            <w:tcW w:w="1289"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850E2B9" w14:textId="77777777" w:rsidR="007C4598" w:rsidRDefault="00000000">
            <w:pPr>
              <w:spacing w:after="40"/>
            </w:pPr>
            <w:r>
              <w:t>+32</w:t>
            </w:r>
          </w:p>
        </w:tc>
        <w:tc>
          <w:tcPr>
            <w:tcW w:w="1289"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2169273" w14:textId="77777777" w:rsidR="007C4598" w:rsidRDefault="00000000">
            <w:pPr>
              <w:spacing w:after="40"/>
            </w:pPr>
            <w:r>
              <w:t>+38</w:t>
            </w:r>
          </w:p>
        </w:tc>
        <w:tc>
          <w:tcPr>
            <w:tcW w:w="1289"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6FD04F2" w14:textId="77777777" w:rsidR="007C4598" w:rsidRDefault="00000000">
            <w:pPr>
              <w:spacing w:after="40"/>
            </w:pPr>
            <w:r>
              <w:t>+38</w:t>
            </w:r>
          </w:p>
        </w:tc>
        <w:tc>
          <w:tcPr>
            <w:tcW w:w="1289"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3B3701D" w14:textId="77777777" w:rsidR="007C4598" w:rsidRDefault="00000000">
            <w:pPr>
              <w:spacing w:after="40"/>
            </w:pPr>
            <w:r>
              <w:t>+38</w:t>
            </w:r>
          </w:p>
        </w:tc>
        <w:tc>
          <w:tcPr>
            <w:tcW w:w="1289"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5E0C4DB" w14:textId="77777777" w:rsidR="007C4598" w:rsidRDefault="00000000">
            <w:pPr>
              <w:spacing w:after="40"/>
            </w:pPr>
            <w:r>
              <w:t>~168</w:t>
            </w:r>
          </w:p>
        </w:tc>
      </w:tr>
    </w:tbl>
    <w:p w14:paraId="07C83155" w14:textId="77777777" w:rsidR="007C4598" w:rsidRDefault="007C4598"/>
    <w:p w14:paraId="26193796" w14:textId="77777777" w:rsidR="007C4598" w:rsidRDefault="00000000">
      <w:pPr>
        <w:jc w:val="both"/>
      </w:pPr>
      <w:r>
        <w:rPr>
          <w:i/>
          <w:iCs/>
        </w:rPr>
        <w:t xml:space="preserve">Tabella 10.6 — Confronto tra la variante centrale dell’analisi di impatto di bilancio, che computa i risparmi diretti, e la variante prudenziale, che li esclude in ossequio al </w:t>
      </w:r>
      <w:proofErr w:type="spellStart"/>
      <w:r>
        <w:rPr>
          <w:i/>
          <w:iCs/>
        </w:rPr>
        <w:t>caveat</w:t>
      </w:r>
      <w:proofErr w:type="spellEnd"/>
      <w:r>
        <w:rPr>
          <w:i/>
          <w:iCs/>
        </w:rPr>
        <w:t xml:space="preserve"> dell’IMPACT trial. Nella variante prudenziale, l’impatto netto coincide con il costo lordo e resta costante a regime; l’impatto cumulato del quinquennio è dell’ordine di centosessantotto milioni, contro i settantotto della variante centrale.</w:t>
      </w:r>
    </w:p>
    <w:p w14:paraId="307647B1" w14:textId="77777777" w:rsidR="007C4598" w:rsidRDefault="007C4598"/>
    <w:p w14:paraId="44A90EBE" w14:textId="77777777" w:rsidR="007C4598" w:rsidRDefault="00000000">
      <w:pPr>
        <w:jc w:val="both"/>
      </w:pPr>
      <w:r>
        <w:t xml:space="preserve">La variante prudenziale restituisce un quadro più oneroso, ma istruttivo. In assenza dei risparmi diretti, l’impatto netto sul bilancio sanitario coincide con il costo lordo dell’investimento, e resta dunque costante a regime, dell’ordine di trentotto milioni di euro l’anno nello scenario intermedio; l’impatto cumulato del quinquennio è dell’ordine di centosessantotto milioni di euro, contro i settantotto della variante centrale. La differenza tra le due varianti — novanta milioni di euro cumulati nel quinquennio — è precisamente il valore dei risparmi diretti che la variante centrale computa e la prudenziale esclude, ed è la misura di quanto il </w:t>
      </w:r>
      <w:proofErr w:type="spellStart"/>
      <w:r>
        <w:t>caveat</w:t>
      </w:r>
      <w:proofErr w:type="spellEnd"/>
      <w:r>
        <w:t xml:space="preserve"> dell’IMPACT trial incida sull’analisi di impatto di bilancio. La valutazione della sostenibilità va condotta considerando entrambe le varianti: la centrale, che riflette l’aspettativa che i risparmi si manifestino, e la prudenziale, che cautelativamente li esclude. La sostenibilità della riforma, come si vedrà, è confermata in entrambe le varianti, perché anche l’impatto della variante prudenziale — il costo lordo a regime — resta contenuto rispetto alla dimensione del bilancio sanitario regionale.</w:t>
      </w:r>
      <w:r>
        <w:rPr>
          <w:color w:val="555555"/>
          <w:sz w:val="16"/>
          <w:szCs w:val="16"/>
          <w:vertAlign w:val="superscript"/>
        </w:rPr>
        <w:t>[8]</w:t>
      </w:r>
    </w:p>
    <w:p w14:paraId="24A766C4" w14:textId="77777777" w:rsidR="007C4598" w:rsidRDefault="007C4598"/>
    <w:p w14:paraId="451E3B94" w14:textId="77777777" w:rsidR="007C4598" w:rsidRDefault="00000000">
      <w:pPr>
        <w:jc w:val="both"/>
      </w:pPr>
      <w:r>
        <w:t xml:space="preserve">Il </w:t>
      </w:r>
      <w:proofErr w:type="spellStart"/>
      <w:r>
        <w:t>caveat</w:t>
      </w:r>
      <w:proofErr w:type="spellEnd"/>
      <w:r>
        <w:t xml:space="preserve"> dell’IMPACT trial va inteso nella sua portata precisa, per non trarne conclusioni eccessive. Il </w:t>
      </w:r>
      <w:proofErr w:type="spellStart"/>
      <w:r>
        <w:t>caveat</w:t>
      </w:r>
      <w:proofErr w:type="spellEnd"/>
      <w:r>
        <w:t xml:space="preserve"> afferma che i risparmi sui costi sanitari diretti, pur presenti negli studi, non raggiungono la significatività statistica, ossia che non si può escludere con sufficiente confidenza che essi siano nulli; esso non afferma che i risparmi siano nulli, ma che la loro entità è incerta e potrebbe essere modesta. La variante prudenziale, escludendo interamente i risparmi, adotta l’ipotesi più cautelativa compatibile con il </w:t>
      </w:r>
      <w:proofErr w:type="spellStart"/>
      <w:r>
        <w:t>caveat</w:t>
      </w:r>
      <w:proofErr w:type="spellEnd"/>
      <w:r>
        <w:t xml:space="preserve"> — quella in cui i risparmi sono nulli — e fornisce perciò il limite superiore dell’impatto di bilancio. L’impatto reale sul bilancio sanitario si colloca verosimilmente tra la variante centrale e la prudenziale, perché i risparmi reali, ancorché incerti nella loro significatività, sono verosimilmente positivi ancorché di entità non certa. La valutazione della sostenibilità, fondandosi anche sulla variante prudenziale, è dunque condotta sul limite superiore dell’impatto, e la sua conclusione di sostenibilità è perciò robusta rispetto al </w:t>
      </w:r>
      <w:proofErr w:type="spellStart"/>
      <w:r>
        <w:t>caveat</w:t>
      </w:r>
      <w:proofErr w:type="spellEnd"/>
      <w:r>
        <w:t>.</w:t>
      </w:r>
    </w:p>
    <w:p w14:paraId="33E07675" w14:textId="77777777" w:rsidR="007C4598" w:rsidRDefault="007C4598"/>
    <w:p w14:paraId="452D2A3D" w14:textId="77777777" w:rsidR="007C4598" w:rsidRDefault="00000000">
      <w:pPr>
        <w:pStyle w:val="Titolo2"/>
        <w:spacing w:before="200" w:after="100"/>
      </w:pPr>
      <w:r>
        <w:rPr>
          <w:sz w:val="22"/>
          <w:szCs w:val="22"/>
        </w:rPr>
        <w:t>10.2.4  La sostenibilità finanziaria per il bilancio sanitario regionale</w:t>
      </w:r>
    </w:p>
    <w:p w14:paraId="70BA47CA" w14:textId="77777777" w:rsidR="007C4598" w:rsidRDefault="007C4598"/>
    <w:p w14:paraId="35610439" w14:textId="77777777" w:rsidR="007C4598" w:rsidRDefault="00000000">
      <w:pPr>
        <w:jc w:val="both"/>
      </w:pPr>
      <w:r>
        <w:t>La valutazione della sostenibilità finanziaria della riforma si conduce rapportando l’impatto di bilancio alla dimensione del bilancio sanitario regionale, ossia al Fondo Sanitario Regionale della Puglia, e valutando se l’impatto sia compatibile con tale dimensione. Il Fondo Sanitario Regionale della Puglia è dell’ordine di alcuni miliardi di euro l’anno, riflettendo la dimensione della popolazione regionale e la spesa sanitaria pro capite; e l’impatto della riforma, sia nella variante centrale sia nella prudenziale, va commisurato a tale ordine di grandezza. La tabella che segue espone la sostenibilità dell’impatto, rapportando le grandezze dell’impatto a regime alla dimensione del Fondo Sanitario Regionale.</w:t>
      </w:r>
    </w:p>
    <w:p w14:paraId="65EBD180"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4271584F"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2D110B1" w14:textId="77777777" w:rsidR="007C4598" w:rsidRDefault="00000000">
            <w:pPr>
              <w:spacing w:after="40"/>
            </w:pPr>
            <w:r>
              <w:rPr>
                <w:b/>
                <w:bCs/>
                <w:color w:val="FFFFFF"/>
                <w:sz w:val="18"/>
                <w:szCs w:val="18"/>
              </w:rPr>
              <w:t>Sostenibilità per il bilancio sanitario regionale (a regime)</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97A0D13" w14:textId="77777777" w:rsidR="007C4598" w:rsidRDefault="00000000">
            <w:pPr>
              <w:spacing w:after="40"/>
            </w:pPr>
            <w:r>
              <w:rPr>
                <w:b/>
                <w:bCs/>
                <w:color w:val="FFFFFF"/>
                <w:sz w:val="18"/>
                <w:szCs w:val="18"/>
              </w:rPr>
              <w:t>Valore (mln €/anno)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A546346" w14:textId="77777777" w:rsidR="007C4598" w:rsidRDefault="00000000">
            <w:pPr>
              <w:spacing w:after="40"/>
            </w:pPr>
            <w:r>
              <w:rPr>
                <w:b/>
                <w:bCs/>
                <w:color w:val="FFFFFF"/>
                <w:sz w:val="18"/>
                <w:szCs w:val="18"/>
              </w:rPr>
              <w:t>Quota del Fondo Sanitario Regionale</w:t>
            </w:r>
          </w:p>
        </w:tc>
      </w:tr>
      <w:tr w:rsidR="007C4598" w14:paraId="50A3B379"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155AD69" w14:textId="77777777" w:rsidR="007C4598" w:rsidRDefault="00000000">
            <w:pPr>
              <w:spacing w:after="40"/>
            </w:pPr>
            <w:r>
              <w:t>Fondo Sanitario Regionale della Puglia (ordine di grandezza)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EEA5F67" w14:textId="77777777" w:rsidR="007C4598" w:rsidRDefault="00000000">
            <w:pPr>
              <w:spacing w:after="40"/>
            </w:pPr>
            <w:r>
              <w:t>~8.000</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05AA61F" w14:textId="77777777" w:rsidR="007C4598" w:rsidRDefault="00000000">
            <w:pPr>
              <w:spacing w:after="40"/>
            </w:pPr>
            <w:r>
              <w:t>—</w:t>
            </w:r>
          </w:p>
        </w:tc>
      </w:tr>
      <w:tr w:rsidR="007C4598" w14:paraId="22F47EBB"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3291C59" w14:textId="77777777" w:rsidR="007C4598" w:rsidRDefault="00000000">
            <w:pPr>
              <w:spacing w:after="40"/>
            </w:pPr>
            <w:r>
              <w:t>Costo diretto lordo a regime (scenario intermedio)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B3151AE" w14:textId="77777777" w:rsidR="007C4598" w:rsidRDefault="00000000">
            <w:pPr>
              <w:spacing w:after="40"/>
            </w:pPr>
            <w:r>
              <w:t>~38</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E1767C3" w14:textId="77777777" w:rsidR="007C4598" w:rsidRDefault="00000000">
            <w:pPr>
              <w:spacing w:after="40"/>
            </w:pPr>
            <w:r>
              <w:t>~0,5%</w:t>
            </w:r>
          </w:p>
        </w:tc>
      </w:tr>
      <w:tr w:rsidR="007C4598" w14:paraId="420BB2EB"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8AE8C13" w14:textId="77777777" w:rsidR="007C4598" w:rsidRDefault="00000000">
            <w:pPr>
              <w:spacing w:after="40"/>
            </w:pPr>
            <w:r>
              <w:t>Impatto netto a regime, variante centrale (con risparmi)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B407AF5" w14:textId="77777777" w:rsidR="007C4598" w:rsidRDefault="00000000">
            <w:pPr>
              <w:spacing w:after="40"/>
            </w:pPr>
            <w:r>
              <w:t>~4</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3BA02D6" w14:textId="77777777" w:rsidR="007C4598" w:rsidRDefault="00000000">
            <w:pPr>
              <w:spacing w:after="40"/>
            </w:pPr>
            <w:r>
              <w:t>~0,05%</w:t>
            </w:r>
          </w:p>
        </w:tc>
      </w:tr>
      <w:tr w:rsidR="007C4598" w14:paraId="4FB7803A"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5DBBFDB" w14:textId="77777777" w:rsidR="007C4598" w:rsidRDefault="00000000">
            <w:pPr>
              <w:spacing w:after="40"/>
            </w:pPr>
            <w:r>
              <w:t>Impatto netto a regime, variante prudenziale (senza risparmi)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A5C1045" w14:textId="77777777" w:rsidR="007C4598" w:rsidRDefault="00000000">
            <w:pPr>
              <w:spacing w:after="40"/>
            </w:pPr>
            <w:r>
              <w:t>~38</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8E90D7E" w14:textId="77777777" w:rsidR="007C4598" w:rsidRDefault="00000000">
            <w:pPr>
              <w:spacing w:after="40"/>
            </w:pPr>
            <w:r>
              <w:t>~0,5%</w:t>
            </w:r>
          </w:p>
        </w:tc>
      </w:tr>
    </w:tbl>
    <w:p w14:paraId="4DBF08A9" w14:textId="77777777" w:rsidR="007C4598" w:rsidRDefault="007C4598"/>
    <w:p w14:paraId="34BC2232" w14:textId="77777777" w:rsidR="007C4598" w:rsidRDefault="00000000">
      <w:pPr>
        <w:jc w:val="both"/>
      </w:pPr>
      <w:r>
        <w:rPr>
          <w:i/>
          <w:iCs/>
        </w:rPr>
        <w:t>Tabella 10.7 — Sostenibilità dell’impatto di bilancio della riforma rispetto alla dimensione del Fondo Sanitario Regionale della Puglia, a regime. Il costo lordo a regime è dell’ordine di mezzo punto percentuale del Fondo; l’impatto netto della variante centrale, a regime, è una frazione trascurabile, dell’ordine di cinque centesimi di punto percentuale; anche la variante prudenziale resta entro mezzo punto percentuale.</w:t>
      </w:r>
    </w:p>
    <w:p w14:paraId="3078BA19" w14:textId="77777777" w:rsidR="007C4598" w:rsidRDefault="007C4598"/>
    <w:p w14:paraId="22881412" w14:textId="77777777" w:rsidR="007C4598" w:rsidRDefault="00000000">
      <w:pPr>
        <w:jc w:val="both"/>
      </w:pPr>
      <w:r>
        <w:t>La sostenibilità finanziaria della riforma per il bilancio sanitario regionale è nettamente confermata. Il costo diretto lordo a regime, dell’ordine di trentotto milioni di euro l’anno nello scenario intermedio, rappresenta una frazione contenuta del Fondo Sanitario Regionale della Puglia, dell’ordine di mezzo punto percentuale; e l’impatto netto a regime, nella variante centrale che computa i risparmi, è dell’ordine di quattro milioni di euro l’anno, ossia una frazione trascurabile del Fondo, dell’ordine di cinque centesimi di punto percentuale. Anche nella variante prudenziale, che esclude i risparmi e computa il solo costo lordo, l’impatto a regime resta entro il mezzo punto percentuale del Fondo. In tutti i casi, dunque, l’impatto della riforma sul bilancio sanitario regionale è contenuto entro frazioni dell’uno per cento del Fondo, e la riforma è ampiamente sostenibile: il suo finanziamento non richiede risorse incompatibili con la dimensione del bilancio sanitario, ma una quota contenuta di esso, tanto più contenuta quanto più i risparmi si manifestino, fino a ridursi a una frazione trascurabile a regime nella variante centrale.</w:t>
      </w:r>
      <w:r>
        <w:rPr>
          <w:color w:val="555555"/>
          <w:sz w:val="16"/>
          <w:szCs w:val="16"/>
          <w:vertAlign w:val="superscript"/>
        </w:rPr>
        <w:t>[9]</w:t>
      </w:r>
    </w:p>
    <w:p w14:paraId="5976B8D9" w14:textId="77777777" w:rsidR="007C4598" w:rsidRDefault="007C4598"/>
    <w:p w14:paraId="3A9E5385" w14:textId="77777777" w:rsidR="007C4598" w:rsidRDefault="00000000">
      <w:pPr>
        <w:jc w:val="both"/>
      </w:pPr>
      <w:r>
        <w:t>La sostenibilità va letta congiuntamente alla dinamica temporale dell’impatto, di cui costituisce il completamento. L’onere maggiore per il bilancio sanitario si concentra, come si è visto, nella fase di avvio, quando i costi sono già rilevanti ma i risparmi non sono ancora maturati; ed è in questa fase che il finanziamento della riforma richiede la quota maggiore del bilancio, ancorché contenuta entro frazioni dell’uno per cento. Nella fase di regime, l’onere si assottiglia fino a una frazione trascurabile nella variante centrale, e la riforma quasi si autofinanzia attraverso i risparmi che genera. La sostenibilità della riforma è dunque agevole nella fase di regime, e richiede, nella fase di avvio, un impegno finanziario contenuto e temporaneo, destinato ad assottigliarsi man mano che i risparmi maturano. A ciò si aggiunge una considerazione che eccede l’analisi di bilancio in senso stretto: l’impatto di bilancio qui misurato considera i soli risparmi fiscali diretti, e non i benefici sociali indiretti, che gravano su altri bilanci e non incidono sul bilancio sanitario; ma tali benefici, dell’ordine di decine di milioni di euro l’anno, sono il vero ritorno della riforma per la collettività, e accompagnano il contenuto impatto sul bilancio sanitario come ritorno sui bilanci esterni a quello sanitario. La sostenibilità per il bilancio sanitario, contenuta entro frazioni dell’uno per cento, va dunque letta nella consapevolezza che a tale contenuto impatto corrisponde un ampio ritorno sui bilanci esterni, oggetto della nona parte.</w:t>
      </w:r>
    </w:p>
    <w:p w14:paraId="66F6E45D"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08AD8139"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8A3B5D4" w14:textId="77777777" w:rsidR="007C4598" w:rsidRDefault="00000000">
            <w:pPr>
              <w:spacing w:after="40"/>
            </w:pPr>
            <w:r>
              <w:rPr>
                <w:b/>
                <w:bCs/>
                <w:color w:val="FFFFFF"/>
                <w:sz w:val="18"/>
                <w:szCs w:val="18"/>
              </w:rPr>
              <w:t xml:space="preserve">◆ SEGNAPOSTO INFOGRAFICA — FIG. 10.B · DA INSERIRE A POSTERIORI Titolo previsto: La traiettoria quinquennale dell’impatto di bilancio: costi, risparmi e impatto netto verso il pareggio — Puglia CODICE CANVA-FRIENDLY (scheda di generazione) Tipo di grafico: grafico combinato a linee e area che rappresenta, sui cinque anni dell’orizzonte, l’andamento del costo lordo (linea), dei risparmi diretti (linea) e dell’impatto netto sul bilancio (area), per lo scenario intermedio; una linea tratteggiata orizzontale indica il livello del pareggio. Lettura: la linea del costo sale dal primo anno (22) al regime (38) dal terzo anno; la linea dei risparmi sale con ritardo dal primo anno (2) al regime (34) al quinto; l’area dell’impatto netto, compresa tra le due linee, cresce fino al secondo anno (23) e poi si assottiglia verso il pareggio al quinto anno (4). Palette: linea del costo in blu </w:t>
            </w:r>
            <w:proofErr w:type="spellStart"/>
            <w:r>
              <w:rPr>
                <w:b/>
                <w:bCs/>
                <w:color w:val="FFFFFF"/>
                <w:sz w:val="18"/>
                <w:szCs w:val="18"/>
              </w:rPr>
              <w:t>navy</w:t>
            </w:r>
            <w:proofErr w:type="spellEnd"/>
            <w:r>
              <w:rPr>
                <w:b/>
                <w:bCs/>
                <w:color w:val="FFFFFF"/>
                <w:sz w:val="18"/>
                <w:szCs w:val="18"/>
              </w:rPr>
              <w:t xml:space="preserve"> #16264B; linea dei risparmi in oro #C49A48; area dell’impatto netto in blu medio #244272 con trasparenza; linea del pareggio tratteggiata in grigio #D8D8D8.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etichette degli assi Medium, valori annui </w:t>
            </w:r>
            <w:proofErr w:type="spellStart"/>
            <w:r>
              <w:rPr>
                <w:b/>
                <w:bCs/>
                <w:color w:val="FFFFFF"/>
                <w:sz w:val="18"/>
                <w:szCs w:val="18"/>
              </w:rPr>
              <w:t>Bold</w:t>
            </w:r>
            <w:proofErr w:type="spellEnd"/>
            <w:r>
              <w:rPr>
                <w:b/>
                <w:bCs/>
                <w:color w:val="FFFFFF"/>
                <w:sz w:val="18"/>
                <w:szCs w:val="18"/>
              </w:rPr>
              <w:t xml:space="preserve">, etichetta del pareggio Regular corsivo.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xml:space="preserve">. Valori da rappresentare (scenario intermedio): costo lordo 22, 32, 38, 38, 38; risparmi diretti 2, 9, 18, 27, 34; impatto netto +20, +23, +20, +11, +4. Linea del pareggio a zero impatto netto. Variante 3D (consigliata): le due linee come nastri tridimensionali che convergono nel tempo; l’area dell’impatto netto come volume che si assottiglia verso il quinto anno, a rendere visivamente il declino dell’onere verso il pareggio. Fonte (piè di figura): Elaborazione dello studio; traiettoria su orizzonte quinquennale; risparmi soggetti al </w:t>
            </w:r>
            <w:proofErr w:type="spellStart"/>
            <w:r>
              <w:rPr>
                <w:b/>
                <w:bCs/>
                <w:color w:val="FFFFFF"/>
                <w:sz w:val="18"/>
                <w:szCs w:val="18"/>
              </w:rPr>
              <w:t>caveat</w:t>
            </w:r>
            <w:proofErr w:type="spellEnd"/>
            <w:r>
              <w:rPr>
                <w:b/>
                <w:bCs/>
                <w:color w:val="FFFFFF"/>
                <w:sz w:val="18"/>
                <w:szCs w:val="18"/>
              </w:rPr>
              <w:t xml:space="preserve"> IMPACT (variante prudenziale senza risparmi non rappresentata); grandezze fiscali dirette, distinte dai benefici indiretti. La figura deve rendere evidente lo sfasamento tra il crescere dei costi e il ritardato maturare dei risparmi, e il conseguente andamento dell’impatto netto, che cresce nei primi anni, raggiunge il massimo nel secondo e declina verso il pareggio al quinto anno.</w:t>
            </w:r>
          </w:p>
          <w:p w14:paraId="2B834B07" w14:textId="77777777" w:rsidR="007C4598" w:rsidRDefault="00000000">
            <w:pPr>
              <w:spacing w:before="120" w:after="60"/>
              <w:jc w:val="center"/>
            </w:pPr>
            <w:r>
              <w:rPr>
                <w:noProof/>
              </w:rPr>
              <w:drawing>
                <wp:inline distT="0" distB="0" distL="0" distR="0" wp14:anchorId="53D6AD83" wp14:editId="6DCB5567">
                  <wp:extent cx="8229600" cy="4629150"/>
                  <wp:effectExtent l="0" t="0" r="0" b="0"/>
                  <wp:docPr id="157" name="Infografica57" descr="La traiettoria quinquennale dell'impatto di bilan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Infografica57"/>
                          <pic:cNvPicPr>
                            <a:picLocks noChangeAspect="1" noChangeArrowheads="1"/>
                          </pic:cNvPicPr>
                        </pic:nvPicPr>
                        <pic:blipFill>
                          <a:blip r:embed="rId103">
                            <a:extLst>
                              <a:ext uri="{96DAC541-7B7A-43D3-8B79-37D633B846F1}">
                                <asvg:svgBlip xmlns:asvg="http://schemas.microsoft.com/office/drawing/2016/SVG/main" r:embed="rId104"/>
                              </a:ext>
                            </a:extLst>
                          </a:blip>
                          <a:stretch>
                            <a:fillRect/>
                          </a:stretch>
                        </pic:blipFill>
                        <pic:spPr bwMode="auto">
                          <a:xfrm>
                            <a:off x="0" y="0"/>
                            <a:ext cx="8229600" cy="4629150"/>
                          </a:xfrm>
                          <a:prstGeom prst="rect">
                            <a:avLst/>
                          </a:prstGeom>
                          <a:noFill/>
                          <a:ln>
                            <a:noFill/>
                          </a:ln>
                        </pic:spPr>
                      </pic:pic>
                    </a:graphicData>
                  </a:graphic>
                </wp:inline>
              </w:drawing>
            </w:r>
          </w:p>
          <w:p w14:paraId="66E20A2E" w14:textId="77777777" w:rsidR="007C4598" w:rsidRDefault="00000000">
            <w:pPr>
              <w:spacing w:before="40" w:after="200"/>
              <w:jc w:val="center"/>
            </w:pPr>
            <w:r>
              <w:rPr>
                <w:i/>
                <w:color w:val="2E5A8F"/>
                <w:sz w:val="16"/>
                <w:szCs w:val="16"/>
              </w:rPr>
              <w:t>Fig. 10.B — La traiettoria quinquennale dell'impatto di bilancio. Elaborazione dello studio · Luigi De Michele · Giugno 2026.</w:t>
            </w:r>
          </w:p>
        </w:tc>
      </w:tr>
    </w:tbl>
    <w:p w14:paraId="03431A83" w14:textId="77777777" w:rsidR="007C4598" w:rsidRDefault="007C4598"/>
    <w:p w14:paraId="405CCCE9" w14:textId="77777777" w:rsidR="007C4598" w:rsidRDefault="00000000">
      <w:pPr>
        <w:pStyle w:val="Titolo2"/>
        <w:spacing w:before="200" w:after="100"/>
      </w:pPr>
      <w:r>
        <w:rPr>
          <w:sz w:val="22"/>
          <w:szCs w:val="22"/>
        </w:rPr>
        <w:t>10.2.5  La graduazione, le bande prudenziali e i confini dell’analisi di impatto di bilancio</w:t>
      </w:r>
    </w:p>
    <w:p w14:paraId="432DDEC3" w14:textId="77777777" w:rsidR="007C4598" w:rsidRDefault="007C4598"/>
    <w:p w14:paraId="51C7C0B2" w14:textId="77777777" w:rsidR="007C4598" w:rsidRDefault="00000000">
      <w:pPr>
        <w:jc w:val="both"/>
      </w:pPr>
      <w:r>
        <w:t xml:space="preserve">La solidità dell’analisi di impatto di bilancio va dichiarata nelle sue componenti. La traiettoria dei costi è sostenuta da evidenza solida, perché i costi diretti dell’investimento sono stabiliti dalla settima parte sulla base di parametri di costo osservabili — il costo del personale, delle strutture, della leva digitale — e il loro profilo temporale di crescita riflette la dinamica nota dell’avvio di un servizio; la sua graduazione è alta. La traiettoria dei risparmi è invece sostenuta da evidenza più incerta, perché i risparmi diretti sono soggetti al </w:t>
      </w:r>
      <w:proofErr w:type="spellStart"/>
      <w:r>
        <w:t>caveat</w:t>
      </w:r>
      <w:proofErr w:type="spellEnd"/>
      <w:r>
        <w:t xml:space="preserve"> dell’IMPACT trial sulla loro significatività, e il loro profilo temporale di maturazione è stimato sulla base di assunzioni sul ritardo con cui gli effetti clinici si traducono in minori costi; la sua graduazione è bassa, e la variante prudenziale, che esclude i risparmi, fornisce il limite cautelativo. L’impatto netto, differenza tra le due traiettorie, eredita l’incertezza della traiettoria dei risparmi, ed è perciò presentato in due varianti — la centrale e la prudenziale — che ne delimitano l’intervallo. La conclusione di sostenibilità, fondandosi anche sulla variante prudenziale, è robusta rispetto a tale incertezza, perché vale anche nell’ipotesi cautelativa in cui i risparmi siano nulli.</w:t>
      </w:r>
      <w:r>
        <w:rPr>
          <w:color w:val="555555"/>
          <w:sz w:val="16"/>
          <w:szCs w:val="16"/>
          <w:vertAlign w:val="superscript"/>
        </w:rPr>
        <w:t>[10]</w:t>
      </w:r>
    </w:p>
    <w:p w14:paraId="77384F0B" w14:textId="77777777" w:rsidR="007C4598" w:rsidRDefault="007C4598"/>
    <w:p w14:paraId="463D45CB" w14:textId="77777777" w:rsidR="007C4598" w:rsidRDefault="00000000">
      <w:pPr>
        <w:jc w:val="both"/>
      </w:pPr>
      <w:r>
        <w:t>Da questa graduazione discendono i confini dell’analisi di impatto di bilancio e il suo rapporto con le altre voci. In primo luogo, l’analisi è condotta sul solo bilancio sanitario regionale, e impiega le sole grandezze fiscali dirette — i costi diretti e i risparmi diretti — escludendo i benefici sociali indiretti, che gravano su altri bilanci; essa misura dunque la sostenibilità per il bilancio sanitario, non il ritorno complessivo della riforma, che include i benefici indiretti e i guadagni di salute. In secondo luogo, la traiettoria è proiettata su un orizzonte quinquennale convenzionale, sufficiente a cogliere il passaggio dall’avvio al regime, ma la proiezione di lungo periodo, che modella l’andamento oltre il quinquennio e ne accumula gli effetti, è riservata alla modellazione dell’undicesima parte. In terzo luogo, le grandezze dell’impatto di bilancio sono distinte dalle altre dimensioni del valore: l’impatto netto sul bilancio sanitario non va confuso né con la costo-efficacia, stabilita dalla prima voce, né con il rendimento sociale, oggetto della terza, ma costituisce la dimensione della sostenibilità finanziaria, complementare alle altre. L’analisi di impatto di bilancio stabilisce così la sostenibilità finanziaria della riforma per il bilancio sanitario regionale, contenuta entro frazioni dell’uno per cento del Fondo e decrescente verso il pareggio a regime, e la consegna alla valutazione integrata come dimensione della sostenibilità. Stabilita la sostenibilità, la valutazione integrata può ora muovere verso il rendimento sociale dell’investimento, che misura il valore sociale complessivo creato per ogni euro investito.</w:t>
      </w:r>
    </w:p>
    <w:p w14:paraId="37AB4CB2" w14:textId="77777777" w:rsidR="007C4598" w:rsidRDefault="007C4598"/>
    <w:p w14:paraId="41AA1B3C" w14:textId="77777777" w:rsidR="007C4598" w:rsidRDefault="00000000">
      <w:pPr>
        <w:pStyle w:val="Titolo1"/>
        <w:pageBreakBefore/>
      </w:pPr>
      <w:r>
        <w:rPr>
          <w:sz w:val="22"/>
          <w:szCs w:val="22"/>
        </w:rPr>
        <w:t>10.3  Il rendimento sociale dell’investimento</w:t>
      </w:r>
    </w:p>
    <w:p w14:paraId="35E3AD15" w14:textId="77777777" w:rsidR="007C4598" w:rsidRDefault="007C4598"/>
    <w:p w14:paraId="7A73C1C3" w14:textId="77777777" w:rsidR="007C4598" w:rsidRDefault="00000000">
      <w:pPr>
        <w:jc w:val="both"/>
      </w:pPr>
      <w:r>
        <w:rPr>
          <w:i/>
          <w:iCs/>
        </w:rPr>
        <w:t xml:space="preserve">La terza voce della valutazione integrata stima il rendimento sociale dell’investimento, che misura il valore sociale complessivo creato dalla riforma per ogni euro investito. A differenza dell’analisi di impatto di bilancio, che misura la sostenibilità per il bilancio sanitario, e della valutazione costo-utilità, che misura l’efficienza sul piano della salute, il rendimento sociale dell’investimento misura il valore sociale complessivo — i benefici sociali indiretti e il valore dei guadagni di salute — rapportato all’investimento, e ne esprime il rendimento per euro speso. La stima del rendimento sociale si conduce componendo il valore sociale lordo, applicandovi i deflatori di prudenza propri del metodo — che riducono il valore lordo per tenere conto di quanto si sarebbe verificato comunque, di quanto è imputabile ad altri fattori, di quanto è spostato altrove e di quanto decade nel tempo — e rapportando il valore sociale netto così ottenuto all’investimento. La voce stabilisce così il rendimento sociale della riforma, in forma deliberatamente conservativa per effetto dei deflatori, e lo colloca rispetto agli intervalli di </w:t>
      </w:r>
      <w:proofErr w:type="spellStart"/>
      <w:r>
        <w:rPr>
          <w:i/>
          <w:iCs/>
        </w:rPr>
        <w:t>Chisholm</w:t>
      </w:r>
      <w:proofErr w:type="spellEnd"/>
      <w:r>
        <w:rPr>
          <w:i/>
          <w:iCs/>
        </w:rPr>
        <w:t>.</w:t>
      </w:r>
    </w:p>
    <w:p w14:paraId="45DD4C74" w14:textId="77777777" w:rsidR="007C4598" w:rsidRDefault="007C4598"/>
    <w:p w14:paraId="55CAC64C" w14:textId="77777777" w:rsidR="007C4598" w:rsidRDefault="00000000">
      <w:pPr>
        <w:pStyle w:val="Titolo2"/>
        <w:spacing w:before="200" w:after="100"/>
      </w:pPr>
      <w:r>
        <w:rPr>
          <w:sz w:val="22"/>
          <w:szCs w:val="22"/>
        </w:rPr>
        <w:t>10.3.1  La logica del rendimento sociale dell’investimento</w:t>
      </w:r>
    </w:p>
    <w:p w14:paraId="5F262860" w14:textId="77777777" w:rsidR="007C4598" w:rsidRDefault="007C4598"/>
    <w:p w14:paraId="55E7D1C0" w14:textId="77777777" w:rsidR="007C4598" w:rsidRDefault="00000000">
      <w:pPr>
        <w:jc w:val="both"/>
      </w:pPr>
      <w:r>
        <w:t>Il rendimento sociale dell’investimento è lo strumento con cui la valutazione economica misura il valore sociale complessivo creato da un intervento per ogni unità di risorsa investita, ed esprime tale valore in forma di rapporto tra il valore sociale netto e l’investimento. Esso si distingue dalle altre misure della valutazione per l’ampiezza del valore che considera: mentre la valutazione costo-efficacia considera i soli esiti di salute, e l’analisi di impatto di bilancio i soli effetti sul bilancio sanitario, il rendimento sociale dell’investimento considera il valore sociale complessivo, comprensivo dei benefici sociali indiretti e del valore dei guadagni di salute, e lo rapporta all’investimento. Il rendimento sociale è dunque la misura più ampia del valore della riforma, perché abbraccia tanto le ricadute economico-sociali quanto il valore intrinseco della salute prodotta, e li compone in un’unica misura di valore per euro investito.</w:t>
      </w:r>
      <w:r>
        <w:rPr>
          <w:color w:val="555555"/>
          <w:sz w:val="16"/>
          <w:szCs w:val="16"/>
          <w:vertAlign w:val="superscript"/>
        </w:rPr>
        <w:t>[11]</w:t>
      </w:r>
    </w:p>
    <w:p w14:paraId="39669BA6" w14:textId="77777777" w:rsidR="007C4598" w:rsidRDefault="007C4598"/>
    <w:p w14:paraId="306E1489" w14:textId="77777777" w:rsidR="007C4598" w:rsidRDefault="00000000">
      <w:pPr>
        <w:jc w:val="both"/>
      </w:pPr>
      <w:r>
        <w:t>La specificità metodologica del rendimento sociale dell’investimento, che ne costituisce il presidio di prudenza, è l’applicazione dei deflatori al valore sociale lordo. Il metodo riconosce che non tutto il valore sociale osservato a valle di un intervento è attribuibile all’intervento medesimo, e impone perciò di ridurre il valore lordo attraverso quattro deflatori, ciascuno dei quali corregge una sopravvalutazione. Il primo è il deflatore per ciò che si sarebbe verificato comunque, in assenza dell’intervento, che sottrae la quota di valore che si sarebbe prodotta anche senza la riforma. Il secondo è il deflatore per l’attribuzione ad altri fattori, che sottrae la quota di valore imputabile a fattori diversi dalla riforma, concomitanti a essa. Il terzo è il deflatore per gli effetti spostati altrove, che sottrae la quota di valore che la riforma non crea ma sposta da un ambito a un altro, senza accrescere il valore complessivo. Il quarto è il deflatore per il decadimento nel tempo, che sottrae la quota di valore che decade man mano che ci si allontana dall’intervento. L’applicazione di questi deflatori riduce il valore sociale lordo a un valore sociale netto, più conservativo, che è quello su cui si calcola il rendimento; ed è in questa riduzione che risiede la prudenza del metodo, che attribuisce all’intervento il solo valore che gli è genuinamente imputabile.</w:t>
      </w:r>
    </w:p>
    <w:p w14:paraId="0A168E76" w14:textId="77777777" w:rsidR="007C4598" w:rsidRDefault="007C4598"/>
    <w:p w14:paraId="1E63EB4F" w14:textId="77777777" w:rsidR="007C4598" w:rsidRDefault="00000000">
      <w:pPr>
        <w:pStyle w:val="Titolo2"/>
        <w:spacing w:before="200" w:after="100"/>
      </w:pPr>
      <w:r>
        <w:rPr>
          <w:sz w:val="22"/>
          <w:szCs w:val="22"/>
        </w:rPr>
        <w:t>10.3.2  Il valore sociale lordo e i deflatori di prudenza</w:t>
      </w:r>
    </w:p>
    <w:p w14:paraId="7A46F024" w14:textId="77777777" w:rsidR="007C4598" w:rsidRDefault="007C4598"/>
    <w:p w14:paraId="0E7788FF" w14:textId="77777777" w:rsidR="007C4598" w:rsidRDefault="00000000">
      <w:pPr>
        <w:jc w:val="both"/>
      </w:pPr>
      <w:r>
        <w:t xml:space="preserve">Il valore sociale lordo della riforma si compone dei benefici sociali indiretti, stabiliti dalla nona parte, e del valore monetizzato dei guadagni di salute, stabilito dalla prima voce di questa parte. I benefici sociali indiretti sono dell’ordine di sessantacinque, novantotto e </w:t>
      </w:r>
      <w:proofErr w:type="spellStart"/>
      <w:r>
        <w:t>centotrentanove</w:t>
      </w:r>
      <w:proofErr w:type="spellEnd"/>
      <w:r>
        <w:t xml:space="preserve"> milioni di euro l’anno nei tre scenari; il valore monetizzato dei guadagni di salute è dell’ordine di trentanove, sessantasei e novantatré milioni di euro l’anno nei tre scenari; la loro somma è il valore sociale lordo, dell’ordine di centoquattro, </w:t>
      </w:r>
      <w:proofErr w:type="spellStart"/>
      <w:r>
        <w:t>centosessantaquattro</w:t>
      </w:r>
      <w:proofErr w:type="spellEnd"/>
      <w:r>
        <w:t xml:space="preserve"> e duecentotrentadue milioni di euro l’anno nei tre scenari. È opportuno precisare che il valore sociale lordo, ai fini del rendimento sociale, comprende i benefici indiretti e il valore dei guadagni di salute, ma non i risparmi fiscali diretti per il bilancio sanitario, che costituiscono una grandezza fiscale, oggetto dell’analisi di impatto di bilancio, e che sono perciò tenuti distinti dal valore sociale, in coerenza con la separazione cardine tra le grandezze fiscali e sociali. La tabella che segue espone la composizione del valore sociale lordo.</w:t>
      </w:r>
    </w:p>
    <w:p w14:paraId="1ACF521D"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1C4E45DB"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E8DF436" w14:textId="77777777" w:rsidR="007C4598" w:rsidRDefault="00000000">
            <w:pPr>
              <w:spacing w:after="40"/>
            </w:pPr>
            <w:r>
              <w:rPr>
                <w:b/>
                <w:bCs/>
                <w:color w:val="FFFFFF"/>
                <w:sz w:val="18"/>
                <w:szCs w:val="18"/>
              </w:rPr>
              <w:t>Composizione del valore sociale lordo (mln €/anno)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6DE6EA5" w14:textId="77777777" w:rsidR="007C4598" w:rsidRDefault="00000000">
            <w:pPr>
              <w:spacing w:after="40"/>
            </w:pPr>
            <w:r>
              <w:rPr>
                <w:b/>
                <w:bCs/>
                <w:color w:val="FFFFFF"/>
                <w:sz w:val="18"/>
                <w:szCs w:val="18"/>
              </w:rPr>
              <w:t>Conservativo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E477E2A" w14:textId="77777777" w:rsidR="007C4598" w:rsidRDefault="00000000">
            <w:pPr>
              <w:spacing w:after="40"/>
            </w:pPr>
            <w:r>
              <w:rPr>
                <w:b/>
                <w:bCs/>
                <w:color w:val="FFFFFF"/>
                <w:sz w:val="18"/>
                <w:szCs w:val="18"/>
              </w:rPr>
              <w:t>Intermedio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7C0035F" w14:textId="77777777" w:rsidR="007C4598" w:rsidRDefault="00000000">
            <w:pPr>
              <w:spacing w:after="40"/>
            </w:pPr>
            <w:r>
              <w:rPr>
                <w:b/>
                <w:bCs/>
                <w:color w:val="FFFFFF"/>
                <w:sz w:val="18"/>
                <w:szCs w:val="18"/>
              </w:rPr>
              <w:t>Espansivo</w:t>
            </w:r>
          </w:p>
        </w:tc>
      </w:tr>
      <w:tr w:rsidR="007C4598" w14:paraId="2647F808"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1DA9D15" w14:textId="77777777" w:rsidR="007C4598" w:rsidRDefault="00000000">
            <w:pPr>
              <w:spacing w:after="40"/>
            </w:pPr>
            <w:r>
              <w:t>Benefici sociali indiretti (parte nona)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AC8DCC9" w14:textId="77777777" w:rsidR="007C4598" w:rsidRDefault="00000000">
            <w:pPr>
              <w:spacing w:after="40"/>
            </w:pPr>
            <w:r>
              <w:t>~65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6CAE0AA" w14:textId="77777777" w:rsidR="007C4598" w:rsidRDefault="00000000">
            <w:pPr>
              <w:spacing w:after="40"/>
            </w:pPr>
            <w:r>
              <w:t>~98</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019BBD6" w14:textId="77777777" w:rsidR="007C4598" w:rsidRDefault="00000000">
            <w:pPr>
              <w:spacing w:after="40"/>
            </w:pPr>
            <w:r>
              <w:t>~139</w:t>
            </w:r>
          </w:p>
        </w:tc>
      </w:tr>
      <w:tr w:rsidR="007C4598" w14:paraId="1DA9732E"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20304FA" w14:textId="77777777" w:rsidR="007C4598" w:rsidRDefault="00000000">
            <w:pPr>
              <w:spacing w:after="40"/>
            </w:pPr>
            <w:r>
              <w:t>Valore monetizzato dei guadagni di salute (voce 10.1)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8E2BBE5" w14:textId="77777777" w:rsidR="007C4598" w:rsidRDefault="00000000">
            <w:pPr>
              <w:spacing w:after="40"/>
            </w:pPr>
            <w:r>
              <w:t>~39</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D4F0832" w14:textId="77777777" w:rsidR="007C4598" w:rsidRDefault="00000000">
            <w:pPr>
              <w:spacing w:after="40"/>
            </w:pPr>
            <w:r>
              <w:t>~66</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BFA555C" w14:textId="77777777" w:rsidR="007C4598" w:rsidRDefault="00000000">
            <w:pPr>
              <w:spacing w:after="40"/>
            </w:pPr>
            <w:r>
              <w:t>~93</w:t>
            </w:r>
          </w:p>
        </w:tc>
      </w:tr>
      <w:tr w:rsidR="007C4598" w14:paraId="3DE3045D"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8B46D80" w14:textId="77777777" w:rsidR="007C4598" w:rsidRDefault="00000000">
            <w:pPr>
              <w:spacing w:after="40"/>
            </w:pPr>
            <w:r>
              <w:t>Valore sociale lordo (esclusi i risparmi fiscali diretti)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CD98D69" w14:textId="77777777" w:rsidR="007C4598" w:rsidRDefault="00000000">
            <w:pPr>
              <w:spacing w:after="40"/>
            </w:pPr>
            <w:r>
              <w:t>~104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112BAAE" w14:textId="77777777" w:rsidR="007C4598" w:rsidRDefault="00000000">
            <w:pPr>
              <w:spacing w:after="40"/>
            </w:pPr>
            <w:r>
              <w:t>~164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6906E45" w14:textId="77777777" w:rsidR="007C4598" w:rsidRDefault="00000000">
            <w:pPr>
              <w:spacing w:after="40"/>
            </w:pPr>
            <w:r>
              <w:t>~232</w:t>
            </w:r>
          </w:p>
        </w:tc>
      </w:tr>
    </w:tbl>
    <w:p w14:paraId="492B3F92" w14:textId="77777777" w:rsidR="007C4598" w:rsidRDefault="007C4598"/>
    <w:p w14:paraId="1B32B170" w14:textId="77777777" w:rsidR="007C4598" w:rsidRDefault="00000000">
      <w:pPr>
        <w:jc w:val="both"/>
      </w:pPr>
      <w:r>
        <w:rPr>
          <w:i/>
          <w:iCs/>
        </w:rPr>
        <w:t>Tabella 10.8 — Composizione del valore sociale lordo ai fini del rendimento sociale dell’investimento, per scenario. Il valore sociale lordo somma i benefici sociali indiretti e il valore dei guadagni di salute; esso esclude i risparmi fiscali diretti, tenuti distinti in quanto grandezza fiscale oggetto dell’analisi di impatto di bilancio.</w:t>
      </w:r>
    </w:p>
    <w:p w14:paraId="02CDD0A9" w14:textId="77777777" w:rsidR="007C4598" w:rsidRDefault="007C4598"/>
    <w:p w14:paraId="2CCA9500" w14:textId="77777777" w:rsidR="007C4598" w:rsidRDefault="00000000">
      <w:pPr>
        <w:jc w:val="both"/>
      </w:pPr>
      <w:r>
        <w:t>Al valore sociale lordo si applicano i quattro deflatori di prudenza, ciascuno dei quali ne riduce una quota a copertura di una sopravvalutazione. I deflatori sono applicati in misura prudenziale, riferita ai valori comunemente adottati nella pratica del metodo, e si compongono in un fattore di ritenzione complessivo, che è la quota del valore lordo che residua dopo l’applicazione di tutti i deflatori. La tabella che segue espone i deflatori applicati e il fattore di ritenzione complessivo.</w:t>
      </w:r>
    </w:p>
    <w:p w14:paraId="72C2DDEB"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4513"/>
        <w:gridCol w:w="4513"/>
      </w:tblGrid>
      <w:tr w:rsidR="007C4598" w14:paraId="008C07D7" w14:textId="77777777">
        <w:tc>
          <w:tcPr>
            <w:tcW w:w="4513"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8C864B3" w14:textId="77777777" w:rsidR="007C4598" w:rsidRDefault="00000000">
            <w:pPr>
              <w:spacing w:after="40"/>
            </w:pPr>
            <w:r>
              <w:rPr>
                <w:b/>
                <w:bCs/>
                <w:color w:val="FFFFFF"/>
                <w:sz w:val="18"/>
                <w:szCs w:val="18"/>
              </w:rPr>
              <w:t>Deflatori di prudenza del rendimento sociale dell’investimento</w:t>
            </w:r>
          </w:p>
        </w:tc>
        <w:tc>
          <w:tcPr>
            <w:tcW w:w="4513"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ACC0941" w14:textId="77777777" w:rsidR="007C4598" w:rsidRDefault="00000000">
            <w:pPr>
              <w:spacing w:after="40"/>
            </w:pPr>
            <w:r>
              <w:rPr>
                <w:b/>
                <w:bCs/>
                <w:color w:val="FFFFFF"/>
                <w:sz w:val="18"/>
                <w:szCs w:val="18"/>
              </w:rPr>
              <w:t>Riduzione applicata</w:t>
            </w:r>
          </w:p>
        </w:tc>
      </w:tr>
      <w:tr w:rsidR="007C4598" w14:paraId="36589AC5"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71574F0" w14:textId="77777777" w:rsidR="007C4598" w:rsidRDefault="00000000">
            <w:pPr>
              <w:spacing w:after="40"/>
            </w:pPr>
            <w:r>
              <w:t>Deflatore per ciò che si sarebbe verificato comunque (</w:t>
            </w:r>
            <w:proofErr w:type="spellStart"/>
            <w:r>
              <w:t>deadweight</w:t>
            </w:r>
            <w:proofErr w:type="spellEnd"/>
            <w:r>
              <w:t>)</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D33C6A6" w14:textId="77777777" w:rsidR="007C4598" w:rsidRDefault="00000000">
            <w:pPr>
              <w:spacing w:after="40"/>
            </w:pPr>
            <w:r>
              <w:t>~15%</w:t>
            </w:r>
          </w:p>
        </w:tc>
      </w:tr>
      <w:tr w:rsidR="007C4598" w14:paraId="6F0FF010"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0364C34" w14:textId="77777777" w:rsidR="007C4598" w:rsidRDefault="00000000">
            <w:pPr>
              <w:spacing w:after="40"/>
            </w:pPr>
            <w:r>
              <w:t>Deflatore per l’attribuzione ad altri fattori</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E160D7B" w14:textId="77777777" w:rsidR="007C4598" w:rsidRDefault="00000000">
            <w:pPr>
              <w:spacing w:after="40"/>
            </w:pPr>
            <w:r>
              <w:t>~8%</w:t>
            </w:r>
          </w:p>
        </w:tc>
      </w:tr>
      <w:tr w:rsidR="007C4598" w14:paraId="407D3EDA"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1798FDF" w14:textId="77777777" w:rsidR="007C4598" w:rsidRDefault="00000000">
            <w:pPr>
              <w:spacing w:after="40"/>
            </w:pPr>
            <w:r>
              <w:t>Deflatore per gli effetti spostati altrove (</w:t>
            </w:r>
            <w:proofErr w:type="spellStart"/>
            <w:r>
              <w:t>displacement</w:t>
            </w:r>
            <w:proofErr w:type="spellEnd"/>
            <w:r>
              <w:t>)</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F9133CE" w14:textId="77777777" w:rsidR="007C4598" w:rsidRDefault="00000000">
            <w:pPr>
              <w:spacing w:after="40"/>
            </w:pPr>
            <w:r>
              <w:t>~4%</w:t>
            </w:r>
          </w:p>
        </w:tc>
      </w:tr>
      <w:tr w:rsidR="007C4598" w14:paraId="65AE2FBF"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FE102F2" w14:textId="77777777" w:rsidR="007C4598" w:rsidRDefault="00000000">
            <w:pPr>
              <w:spacing w:after="40"/>
            </w:pPr>
            <w:r>
              <w:t>Deflatore per il decadimento nel tempo (riferito all’orizzonte annuale)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63AB7E9" w14:textId="77777777" w:rsidR="007C4598" w:rsidRDefault="00000000">
            <w:pPr>
              <w:spacing w:after="40"/>
            </w:pPr>
            <w:r>
              <w:t>minimo</w:t>
            </w:r>
          </w:p>
        </w:tc>
      </w:tr>
      <w:tr w:rsidR="007C4598" w14:paraId="62C78E70"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66AA4E0" w14:textId="77777777" w:rsidR="007C4598" w:rsidRDefault="00000000">
            <w:pPr>
              <w:spacing w:after="40"/>
            </w:pPr>
            <w:r>
              <w:t>Fattore di ritenzione complessivo (quota residua del valore lordo)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4441432" w14:textId="77777777" w:rsidR="007C4598" w:rsidRDefault="00000000">
            <w:pPr>
              <w:spacing w:after="40"/>
            </w:pPr>
            <w:r>
              <w:t>~0,75 (riduzione complessiva ~25%)</w:t>
            </w:r>
          </w:p>
        </w:tc>
      </w:tr>
    </w:tbl>
    <w:p w14:paraId="1CB05B72" w14:textId="77777777" w:rsidR="007C4598" w:rsidRDefault="007C4598"/>
    <w:p w14:paraId="34B0E873" w14:textId="77777777" w:rsidR="007C4598" w:rsidRDefault="00000000">
      <w:pPr>
        <w:jc w:val="both"/>
      </w:pPr>
      <w:r>
        <w:rPr>
          <w:i/>
          <w:iCs/>
        </w:rPr>
        <w:t>Tabella 10.9 — Deflatori di prudenza applicati al valore sociale lordo e fattore di ritenzione complessivo. I quattro deflatori — per ciò che si sarebbe verificato comunque, per l’attribuzione ad altri fattori, per gli effetti spostati altrove e per il decadimento nel tempo — si compongono in un fattore di ritenzione dell’ordine di tre quarti, corrispondente a una riduzione complessiva del valore lordo dell’ordine di un quarto.</w:t>
      </w:r>
    </w:p>
    <w:p w14:paraId="01D25AEC" w14:textId="77777777" w:rsidR="007C4598" w:rsidRDefault="007C4598"/>
    <w:p w14:paraId="7DF6CCB9" w14:textId="77777777" w:rsidR="007C4598" w:rsidRDefault="00000000">
      <w:pPr>
        <w:jc w:val="both"/>
      </w:pPr>
      <w:r>
        <w:t>I deflatori riducono il valore sociale lordo di una quota complessiva dell’ordine di un quarto, sì che il fattore di ritenzione — la quota del valore lordo che residua dopo l’applicazione di tutti i deflatori — è dell’ordine di tre quarti. La riduzione è prudenziale e riflette i valori comunemente adottati nella pratica del rendimento sociale: il deflatore per ciò che si sarebbe verificato comunque, dell’ordine del quindici per cento, sottrae la quota di miglioramento che si sarebbe prodotta anche senza la riforma, attraverso la remissione spontanea o le cure altrimenti disponibili; il deflatore per l’attribuzione, dell’ordine dell’otto per cento, sottrae la quota imputabile a fattori concomitanti, diversi dalla riforma; il deflatore per gli effetti spostati altrove, dell’ordine del quattro per cento, sottrae la quota di valore che la riforma sposta anziché creare; il deflatore per il decadimento, riferito all’orizzonte annuale, è minimo, perché il decadimento incide sulla proiezione pluriennale, riservata alla modellazione, più che sulla stima annua. La composizione dei deflatori in un fattore di ritenzione dell’ordine di tre quarti è il presidio di prudenza del metodo, che riduce il valore sociale al solo che è genuinamente imputabile alla riforma nell’orizzonte annuale.</w:t>
      </w:r>
      <w:r>
        <w:rPr>
          <w:color w:val="555555"/>
          <w:sz w:val="16"/>
          <w:szCs w:val="16"/>
          <w:vertAlign w:val="superscript"/>
        </w:rPr>
        <w:t>[12]</w:t>
      </w:r>
    </w:p>
    <w:p w14:paraId="0018CFDF" w14:textId="77777777" w:rsidR="007C4598" w:rsidRDefault="007C4598"/>
    <w:p w14:paraId="52EB4F63" w14:textId="77777777" w:rsidR="007C4598" w:rsidRDefault="00000000">
      <w:pPr>
        <w:pStyle w:val="Titolo2"/>
        <w:spacing w:before="200" w:after="100"/>
      </w:pPr>
      <w:r>
        <w:rPr>
          <w:sz w:val="22"/>
          <w:szCs w:val="22"/>
        </w:rPr>
        <w:t>10.3.3  Il rendimento sociale netto dell’investimento per scenario</w:t>
      </w:r>
    </w:p>
    <w:p w14:paraId="28517DB5" w14:textId="77777777" w:rsidR="007C4598" w:rsidRDefault="007C4598"/>
    <w:p w14:paraId="595049B7" w14:textId="77777777" w:rsidR="007C4598" w:rsidRDefault="00000000">
      <w:pPr>
        <w:jc w:val="both"/>
      </w:pPr>
      <w:r>
        <w:t>Applicato il fattore di ritenzione al valore sociale lordo, si ottiene il valore sociale netto, che è il valore sociale genuinamente imputabile alla riforma dopo i deflatori; e rapportando il valore sociale netto all’investimento si ottiene il rendimento sociale netto dell’investimento, che esprime il valore sociale netto creato per ogni euro investito. La tabella che segue espone il calcolo del rendimento sociale netto per ciascuno scenario, e lo confronta, a fini di memoria, con il rapporto lordo che include il valore della salute stabilito dalla prima voce.</w:t>
      </w:r>
    </w:p>
    <w:p w14:paraId="7828DDD3"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72234602"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2D2DA84" w14:textId="77777777" w:rsidR="007C4598" w:rsidRDefault="00000000">
            <w:pPr>
              <w:spacing w:after="40"/>
            </w:pPr>
            <w:r>
              <w:rPr>
                <w:b/>
                <w:bCs/>
                <w:color w:val="FFFFFF"/>
                <w:sz w:val="18"/>
                <w:szCs w:val="18"/>
              </w:rPr>
              <w:t>Rendimento sociale netto dell’investimento (SROI)</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E15E552" w14:textId="77777777" w:rsidR="007C4598" w:rsidRDefault="00000000">
            <w:pPr>
              <w:spacing w:after="40"/>
            </w:pPr>
            <w:r>
              <w:rPr>
                <w:b/>
                <w:bCs/>
                <w:color w:val="FFFFFF"/>
                <w:sz w:val="18"/>
                <w:szCs w:val="18"/>
              </w:rPr>
              <w:t>Conservativo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90B8628" w14:textId="77777777" w:rsidR="007C4598" w:rsidRDefault="00000000">
            <w:pPr>
              <w:spacing w:after="40"/>
            </w:pPr>
            <w:r>
              <w:rPr>
                <w:b/>
                <w:bCs/>
                <w:color w:val="FFFFFF"/>
                <w:sz w:val="18"/>
                <w:szCs w:val="18"/>
              </w:rPr>
              <w:t>Intermedio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A2680AD" w14:textId="77777777" w:rsidR="007C4598" w:rsidRDefault="00000000">
            <w:pPr>
              <w:spacing w:after="40"/>
            </w:pPr>
            <w:r>
              <w:rPr>
                <w:b/>
                <w:bCs/>
                <w:color w:val="FFFFFF"/>
                <w:sz w:val="18"/>
                <w:szCs w:val="18"/>
              </w:rPr>
              <w:t>Espansivo</w:t>
            </w:r>
          </w:p>
        </w:tc>
      </w:tr>
      <w:tr w:rsidR="007C4598" w14:paraId="23419BFD"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E41C0C6" w14:textId="77777777" w:rsidR="007C4598" w:rsidRDefault="00000000">
            <w:pPr>
              <w:spacing w:after="40"/>
            </w:pPr>
            <w:r>
              <w:t>Valore sociale lordo (mln €/anno)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B8D441F" w14:textId="77777777" w:rsidR="007C4598" w:rsidRDefault="00000000">
            <w:pPr>
              <w:spacing w:after="40"/>
            </w:pPr>
            <w:r>
              <w:t>~104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57B2B16" w14:textId="77777777" w:rsidR="007C4598" w:rsidRDefault="00000000">
            <w:pPr>
              <w:spacing w:after="40"/>
            </w:pPr>
            <w:r>
              <w:t>~164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130ABF4" w14:textId="77777777" w:rsidR="007C4598" w:rsidRDefault="00000000">
            <w:pPr>
              <w:spacing w:after="40"/>
            </w:pPr>
            <w:r>
              <w:t>~232</w:t>
            </w:r>
          </w:p>
        </w:tc>
      </w:tr>
      <w:tr w:rsidR="007C4598" w14:paraId="29431DC5"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70A056A" w14:textId="77777777" w:rsidR="007C4598" w:rsidRDefault="00000000">
            <w:pPr>
              <w:spacing w:after="40"/>
            </w:pPr>
            <w:r>
              <w:t>Fattore di ritenzione (dopo i deflatori)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67E7871" w14:textId="77777777" w:rsidR="007C4598" w:rsidRDefault="00000000">
            <w:pPr>
              <w:spacing w:after="40"/>
            </w:pPr>
            <w:r>
              <w:t>×0,75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CDF6515" w14:textId="77777777" w:rsidR="007C4598" w:rsidRDefault="00000000">
            <w:pPr>
              <w:spacing w:after="40"/>
            </w:pPr>
            <w:r>
              <w:t>×0,75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135D543" w14:textId="77777777" w:rsidR="007C4598" w:rsidRDefault="00000000">
            <w:pPr>
              <w:spacing w:after="40"/>
            </w:pPr>
            <w:r>
              <w:t>×0,75</w:t>
            </w:r>
          </w:p>
        </w:tc>
      </w:tr>
      <w:tr w:rsidR="007C4598" w14:paraId="68974FCD"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ED9CB69" w14:textId="77777777" w:rsidR="007C4598" w:rsidRDefault="00000000">
            <w:pPr>
              <w:spacing w:after="40"/>
            </w:pPr>
            <w:r>
              <w:t>Valore sociale netto (mln €/anno)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45D4180" w14:textId="77777777" w:rsidR="007C4598" w:rsidRDefault="00000000">
            <w:pPr>
              <w:spacing w:after="40"/>
            </w:pPr>
            <w:r>
              <w:t>~78</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8A6BAD9" w14:textId="77777777" w:rsidR="007C4598" w:rsidRDefault="00000000">
            <w:pPr>
              <w:spacing w:after="40"/>
            </w:pPr>
            <w:r>
              <w:t>~123</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F5AC729" w14:textId="77777777" w:rsidR="007C4598" w:rsidRDefault="00000000">
            <w:pPr>
              <w:spacing w:after="40"/>
            </w:pPr>
            <w:r>
              <w:t>~174</w:t>
            </w:r>
          </w:p>
        </w:tc>
      </w:tr>
      <w:tr w:rsidR="007C4598" w14:paraId="0DB4737A"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FDD587F" w14:textId="77777777" w:rsidR="007C4598" w:rsidRDefault="00000000">
            <w:pPr>
              <w:spacing w:after="40"/>
            </w:pPr>
            <w:r>
              <w:t>Investimento (mln €/anno)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998BEA1" w14:textId="77777777" w:rsidR="007C4598" w:rsidRDefault="00000000">
            <w:pPr>
              <w:spacing w:after="40"/>
            </w:pPr>
            <w:r>
              <w:t>~25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3D5ECB2" w14:textId="77777777" w:rsidR="007C4598" w:rsidRDefault="00000000">
            <w:pPr>
              <w:spacing w:after="40"/>
            </w:pPr>
            <w:r>
              <w:t>~38</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0E64A12" w14:textId="77777777" w:rsidR="007C4598" w:rsidRDefault="00000000">
            <w:pPr>
              <w:spacing w:after="40"/>
            </w:pPr>
            <w:r>
              <w:t>~50</w:t>
            </w:r>
          </w:p>
        </w:tc>
      </w:tr>
      <w:tr w:rsidR="007C4598" w14:paraId="708D2684"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EBEC81D" w14:textId="77777777" w:rsidR="007C4598" w:rsidRDefault="00000000">
            <w:pPr>
              <w:spacing w:after="40"/>
            </w:pPr>
            <w:r>
              <w:t>Rendimento sociale netto (valore sociale netto / investimento)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80FF499" w14:textId="77777777" w:rsidR="007C4598" w:rsidRDefault="00000000">
            <w:pPr>
              <w:spacing w:after="40"/>
            </w:pPr>
            <w:r>
              <w:t>~3,1 : 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7277948" w14:textId="77777777" w:rsidR="007C4598" w:rsidRDefault="00000000">
            <w:pPr>
              <w:spacing w:after="40"/>
            </w:pPr>
            <w:r>
              <w:t>~3,2 : 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064A7FB" w14:textId="77777777" w:rsidR="007C4598" w:rsidRDefault="00000000">
            <w:pPr>
              <w:spacing w:after="40"/>
            </w:pPr>
            <w:r>
              <w:t>~3,5 : 1</w:t>
            </w:r>
          </w:p>
        </w:tc>
      </w:tr>
      <w:tr w:rsidR="007C4598" w14:paraId="4152F4D6"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20B8A17" w14:textId="77777777" w:rsidR="007C4598" w:rsidRDefault="00000000">
            <w:pPr>
              <w:spacing w:after="40"/>
            </w:pPr>
            <w:r>
              <w:t>(memoria) Rapporto lordo con valore della salute (voce 10.1)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FBD8306" w14:textId="77777777" w:rsidR="007C4598" w:rsidRDefault="00000000">
            <w:pPr>
              <w:spacing w:after="40"/>
            </w:pPr>
            <w:r>
              <w:t>~4,2 : 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45861F5" w14:textId="77777777" w:rsidR="007C4598" w:rsidRDefault="00000000">
            <w:pPr>
              <w:spacing w:after="40"/>
            </w:pPr>
            <w:r>
              <w:t>~4,3 : 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DB2D99C" w14:textId="77777777" w:rsidR="007C4598" w:rsidRDefault="00000000">
            <w:pPr>
              <w:spacing w:after="40"/>
            </w:pPr>
            <w:r>
              <w:t>~4,6 : 1</w:t>
            </w:r>
          </w:p>
        </w:tc>
      </w:tr>
    </w:tbl>
    <w:p w14:paraId="2687944E" w14:textId="77777777" w:rsidR="007C4598" w:rsidRDefault="007C4598"/>
    <w:p w14:paraId="3A5130A7" w14:textId="77777777" w:rsidR="007C4598" w:rsidRDefault="00000000">
      <w:pPr>
        <w:jc w:val="both"/>
      </w:pPr>
      <w:r>
        <w:rPr>
          <w:i/>
          <w:iCs/>
        </w:rPr>
        <w:t xml:space="preserve">Tabella 10.10 — Calcolo del rendimento sociale netto dell’investimento, per scenario, e confronto con il rapporto lordo che include il valore della salute. Il rendimento sociale netto, calcolato sul valore sociale al netto dei deflatori, è deliberatamente più conservativo del rapporto lordo, e si colloca al margine inferiore della fascia superiore di </w:t>
      </w:r>
      <w:proofErr w:type="spellStart"/>
      <w:r>
        <w:rPr>
          <w:i/>
          <w:iCs/>
        </w:rPr>
        <w:t>Chisholm</w:t>
      </w:r>
      <w:proofErr w:type="spellEnd"/>
      <w:r>
        <w:rPr>
          <w:i/>
          <w:iCs/>
        </w:rPr>
        <w:t>.</w:t>
      </w:r>
    </w:p>
    <w:p w14:paraId="57C458F9" w14:textId="77777777" w:rsidR="007C4598" w:rsidRDefault="007C4598"/>
    <w:p w14:paraId="22962E49" w14:textId="77777777" w:rsidR="007C4598" w:rsidRDefault="00000000">
      <w:pPr>
        <w:jc w:val="both"/>
      </w:pPr>
      <w:r>
        <w:t>Il rendimento sociale netto dell’investimento della riforma è dunque dell’ordine di 3,2 a 1 nello scenario intermedio, di circa 3,1 a 1 nello scenario conservativo e di circa 3,5 a 1 nello scenario espansivo. Esso significa che ogni euro investito nella riforma genera, in valore sociale netto, dell’ordine di tre euro e mezzo, depurati di quanto si sarebbe verificato comunque, di quanto è imputabile ad altri fattori, di quanto è spostato altrove e di quanto decade nel tempo. Questo rendimento è deliberatamente più conservativo del rapporto lordo che include il valore della salute, stabilito dalla prima voce e dell’ordine di 4,3 a 1 nello scenario intermedio: la differenza tra i due — dal rapporto lordo di 4,3 a 1 al rendimento netto di 3,2 a 1 — è precisamente l’effetto dei deflatori, che il rendimento sociale applica e il rapporto lordo no. Il rendimento sociale netto è dunque la misura più prudente del valore della riforma per euro investito, e la sua entità — dell’ordine di tre a uno e mezzo, anche dopo i deflatori — testimonia la robustezza del valore: anche depurato delle quote non genuinamente imputabili, il valore sociale creato per ogni euro investito è dell’ordine di tre volte l’investimento.</w:t>
      </w:r>
      <w:r>
        <w:rPr>
          <w:color w:val="555555"/>
          <w:sz w:val="16"/>
          <w:szCs w:val="16"/>
          <w:vertAlign w:val="superscript"/>
        </w:rPr>
        <w:t>[13]</w:t>
      </w:r>
    </w:p>
    <w:p w14:paraId="767A7A96" w14:textId="77777777" w:rsidR="007C4598" w:rsidRDefault="007C4598"/>
    <w:p w14:paraId="53BDC50D" w14:textId="77777777" w:rsidR="007C4598" w:rsidRDefault="00000000">
      <w:pPr>
        <w:jc w:val="both"/>
      </w:pPr>
      <w:r>
        <w:t xml:space="preserve">La collocazione del rendimento sociale netto rispetto agli intervalli di </w:t>
      </w:r>
      <w:proofErr w:type="spellStart"/>
      <w:r>
        <w:t>Chisholm</w:t>
      </w:r>
      <w:proofErr w:type="spellEnd"/>
      <w:r>
        <w:t xml:space="preserve"> va precisata, distinguendola da quella del rapporto lordo. Il rapporto lordo che include il valore della salute, stabilito dalla prima voce, si colloca entro la fascia superiore di </w:t>
      </w:r>
      <w:proofErr w:type="spellStart"/>
      <w:r>
        <w:t>Chisholm</w:t>
      </w:r>
      <w:proofErr w:type="spellEnd"/>
      <w:r>
        <w:t xml:space="preserve">, compresa tra 3,3 e 5,7 a 1; il rendimento sociale netto, più conservativo per effetto dei deflatori, si colloca al margine inferiore di tale fascia, o lievemente al di sotto di esso negli scenari conservativo e intermedio, dell’ordine di 3,1 e 3,2 a 1. Questa collocazione al margine inferiore non è un esito sfavorevole, ma la conseguenza della prudenza del metodo: il rendimento sociale applica deflatori che la fascia di </w:t>
      </w:r>
      <w:proofErr w:type="spellStart"/>
      <w:r>
        <w:t>Chisholm</w:t>
      </w:r>
      <w:proofErr w:type="spellEnd"/>
      <w:r>
        <w:t xml:space="preserve"> non applica, ed è perciò atteso che esso si collochi al di sotto del rapporto lordo, verso il margine inferiore della fascia. Che il rendimento sociale netto, anche dopo i deflatori, si mantenga in prossimità del margine inferiore della fascia superiore di </w:t>
      </w:r>
      <w:proofErr w:type="spellStart"/>
      <w:r>
        <w:t>Chisholm</w:t>
      </w:r>
      <w:proofErr w:type="spellEnd"/>
      <w:r>
        <w:t xml:space="preserve"> è un’ulteriore conferma della coerenza del valore della riforma con la letteratura: il valore sociale, depurato con il metodo più prudente, resta dell’ordine del rendimento che la letteratura associa agli investimenti in salute mentale comprensivi dei ritorni di salute. Il rendimento sociale netto fornisce dunque la stima più conservativa del valore per euro investito, e la sua coerenza con il margine inferiore della fascia superiore di </w:t>
      </w:r>
      <w:proofErr w:type="spellStart"/>
      <w:r>
        <w:t>Chisholm</w:t>
      </w:r>
      <w:proofErr w:type="spellEnd"/>
      <w:r>
        <w:t xml:space="preserve"> ne conferma la robustezza.</w:t>
      </w:r>
    </w:p>
    <w:p w14:paraId="323D679A"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47463CA7"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8BC5DA7" w14:textId="77777777" w:rsidR="007C4598" w:rsidRDefault="00000000">
            <w:pPr>
              <w:spacing w:after="40"/>
            </w:pPr>
            <w:r>
              <w:rPr>
                <w:b/>
                <w:bCs/>
                <w:color w:val="FFFFFF"/>
                <w:sz w:val="18"/>
                <w:szCs w:val="18"/>
              </w:rPr>
              <w:t>◆ SEGNAPOSTO INFOGRAFICA — FIG. 10.C · DA INSERIRE A POSTERIORI Titolo previsto: Dal valore sociale lordo al rendimento sociale netto: i deflatori di prudenza — Puglia CODICE CANVA-FRIENDLY (scheda di generazione) Tipo di grafico: diagramma a cascata (</w:t>
            </w:r>
            <w:proofErr w:type="spellStart"/>
            <w:r>
              <w:rPr>
                <w:b/>
                <w:bCs/>
                <w:color w:val="FFFFFF"/>
                <w:sz w:val="18"/>
                <w:szCs w:val="18"/>
              </w:rPr>
              <w:t>waterfall</w:t>
            </w:r>
            <w:proofErr w:type="spellEnd"/>
            <w:r>
              <w:rPr>
                <w:b/>
                <w:bCs/>
                <w:color w:val="FFFFFF"/>
                <w:sz w:val="18"/>
                <w:szCs w:val="18"/>
              </w:rPr>
              <w:t xml:space="preserve">) che parte dal valore sociale lordo, mostra i quattro deflatori di prudenza come segmenti sottrattivi, e perviene al valore sociale netto, da cui si ricava il rendimento sociale; affiancato da un indicatore del rendimento netto rapportato alla fascia superiore di </w:t>
            </w:r>
            <w:proofErr w:type="spellStart"/>
            <w:r>
              <w:rPr>
                <w:b/>
                <w:bCs/>
                <w:color w:val="FFFFFF"/>
                <w:sz w:val="18"/>
                <w:szCs w:val="18"/>
              </w:rPr>
              <w:t>Chisholm</w:t>
            </w:r>
            <w:proofErr w:type="spellEnd"/>
            <w:r>
              <w:rPr>
                <w:b/>
                <w:bCs/>
                <w:color w:val="FFFFFF"/>
                <w:sz w:val="18"/>
                <w:szCs w:val="18"/>
              </w:rPr>
              <w:t>. Lettura: la cascata scende dal valore sociale lordo (164 nello scenario intermedio) attraverso i deflatori (</w:t>
            </w:r>
            <w:proofErr w:type="spellStart"/>
            <w:r>
              <w:rPr>
                <w:b/>
                <w:bCs/>
                <w:color w:val="FFFFFF"/>
                <w:sz w:val="18"/>
                <w:szCs w:val="18"/>
              </w:rPr>
              <w:t>deadweight</w:t>
            </w:r>
            <w:proofErr w:type="spellEnd"/>
            <w:r>
              <w:rPr>
                <w:b/>
                <w:bCs/>
                <w:color w:val="FFFFFF"/>
                <w:sz w:val="18"/>
                <w:szCs w:val="18"/>
              </w:rPr>
              <w:t xml:space="preserve">, attribuzione, </w:t>
            </w:r>
            <w:proofErr w:type="spellStart"/>
            <w:r>
              <w:rPr>
                <w:b/>
                <w:bCs/>
                <w:color w:val="FFFFFF"/>
                <w:sz w:val="18"/>
                <w:szCs w:val="18"/>
              </w:rPr>
              <w:t>displacement</w:t>
            </w:r>
            <w:proofErr w:type="spellEnd"/>
            <w:r>
              <w:rPr>
                <w:b/>
                <w:bCs/>
                <w:color w:val="FFFFFF"/>
                <w:sz w:val="18"/>
                <w:szCs w:val="18"/>
              </w:rPr>
              <w:t xml:space="preserve">, decadimento) fino al valore sociale netto (~123); a lato, il rapporto del valore netto sull’investimento (~3,2 a 1) è collocato in prossimità del margine inferiore della fascia superiore di </w:t>
            </w:r>
            <w:proofErr w:type="spellStart"/>
            <w:r>
              <w:rPr>
                <w:b/>
                <w:bCs/>
                <w:color w:val="FFFFFF"/>
                <w:sz w:val="18"/>
                <w:szCs w:val="18"/>
              </w:rPr>
              <w:t>Chisholm</w:t>
            </w:r>
            <w:proofErr w:type="spellEnd"/>
            <w:r>
              <w:rPr>
                <w:b/>
                <w:bCs/>
                <w:color w:val="FFFFFF"/>
                <w:sz w:val="18"/>
                <w:szCs w:val="18"/>
              </w:rPr>
              <w:t xml:space="preserve"> (3,3–5,7 a 1). Palette: valore sociale lordo in blu </w:t>
            </w:r>
            <w:proofErr w:type="spellStart"/>
            <w:r>
              <w:rPr>
                <w:b/>
                <w:bCs/>
                <w:color w:val="FFFFFF"/>
                <w:sz w:val="18"/>
                <w:szCs w:val="18"/>
              </w:rPr>
              <w:t>navy</w:t>
            </w:r>
            <w:proofErr w:type="spellEnd"/>
            <w:r>
              <w:rPr>
                <w:b/>
                <w:bCs/>
                <w:color w:val="FFFFFF"/>
                <w:sz w:val="18"/>
                <w:szCs w:val="18"/>
              </w:rPr>
              <w:t xml:space="preserve"> #16264B; deflatori in grigio #D8D8D8 con segno negativo; valore sociale netto in blu medio #244272; rendimento netto e fascia di </w:t>
            </w:r>
            <w:proofErr w:type="spellStart"/>
            <w:r>
              <w:rPr>
                <w:b/>
                <w:bCs/>
                <w:color w:val="FFFFFF"/>
                <w:sz w:val="18"/>
                <w:szCs w:val="18"/>
              </w:rPr>
              <w:t>Chisholm</w:t>
            </w:r>
            <w:proofErr w:type="spellEnd"/>
            <w:r>
              <w:rPr>
                <w:b/>
                <w:bCs/>
                <w:color w:val="FFFFFF"/>
                <w:sz w:val="18"/>
                <w:szCs w:val="18"/>
              </w:rPr>
              <w:t xml:space="preserve"> in oro #C49A48; margine della fascia in grigio.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etichette dei deflatori Medium, valori </w:t>
            </w:r>
            <w:proofErr w:type="spellStart"/>
            <w:r>
              <w:rPr>
                <w:b/>
                <w:bCs/>
                <w:color w:val="FFFFFF"/>
                <w:sz w:val="18"/>
                <w:szCs w:val="18"/>
              </w:rPr>
              <w:t>Bold</w:t>
            </w:r>
            <w:proofErr w:type="spellEnd"/>
            <w:r>
              <w:rPr>
                <w:b/>
                <w:bCs/>
                <w:color w:val="FFFFFF"/>
                <w:sz w:val="18"/>
                <w:szCs w:val="18"/>
              </w:rPr>
              <w:t xml:space="preserve">, etichetta della fascia Regular.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Valori da rappresentare (scenario intermedio): valore sociale lordo 164; deflatori complessivi −41 (</w:t>
            </w:r>
            <w:proofErr w:type="spellStart"/>
            <w:r>
              <w:rPr>
                <w:b/>
                <w:bCs/>
                <w:color w:val="FFFFFF"/>
                <w:sz w:val="18"/>
                <w:szCs w:val="18"/>
              </w:rPr>
              <w:t>deadweight</w:t>
            </w:r>
            <w:proofErr w:type="spellEnd"/>
            <w:r>
              <w:rPr>
                <w:b/>
                <w:bCs/>
                <w:color w:val="FFFFFF"/>
                <w:sz w:val="18"/>
                <w:szCs w:val="18"/>
              </w:rPr>
              <w:t xml:space="preserve"> ~25, attribuzione ~13, </w:t>
            </w:r>
            <w:proofErr w:type="spellStart"/>
            <w:r>
              <w:rPr>
                <w:b/>
                <w:bCs/>
                <w:color w:val="FFFFFF"/>
                <w:sz w:val="18"/>
                <w:szCs w:val="18"/>
              </w:rPr>
              <w:t>displacement</w:t>
            </w:r>
            <w:proofErr w:type="spellEnd"/>
            <w:r>
              <w:rPr>
                <w:b/>
                <w:bCs/>
                <w:color w:val="FFFFFF"/>
                <w:sz w:val="18"/>
                <w:szCs w:val="18"/>
              </w:rPr>
              <w:t xml:space="preserve"> ~7, decadimento minimo, ripartiti); valore sociale netto ~123; investimento ~38; rendimento netto ~3,2 a 1; fascia di </w:t>
            </w:r>
            <w:proofErr w:type="spellStart"/>
            <w:r>
              <w:rPr>
                <w:b/>
                <w:bCs/>
                <w:color w:val="FFFFFF"/>
                <w:sz w:val="18"/>
                <w:szCs w:val="18"/>
              </w:rPr>
              <w:t>Chisholm</w:t>
            </w:r>
            <w:proofErr w:type="spellEnd"/>
            <w:r>
              <w:rPr>
                <w:b/>
                <w:bCs/>
                <w:color w:val="FFFFFF"/>
                <w:sz w:val="18"/>
                <w:szCs w:val="18"/>
              </w:rPr>
              <w:t xml:space="preserve"> 3,3–5,7. Variante 3D (consigliata): cascata con i gradini a rilievo isometrico; il valore sociale netto, bordato di blu, in primo piano; l’indicatore del rendimento come quadrante affiancato, con la fascia di </w:t>
            </w:r>
            <w:proofErr w:type="spellStart"/>
            <w:r>
              <w:rPr>
                <w:b/>
                <w:bCs/>
                <w:color w:val="FFFFFF"/>
                <w:sz w:val="18"/>
                <w:szCs w:val="18"/>
              </w:rPr>
              <w:t>Chisholm</w:t>
            </w:r>
            <w:proofErr w:type="spellEnd"/>
            <w:r>
              <w:rPr>
                <w:b/>
                <w:bCs/>
                <w:color w:val="FFFFFF"/>
                <w:sz w:val="18"/>
                <w:szCs w:val="18"/>
              </w:rPr>
              <w:t xml:space="preserve"> a settori. Fonte (piè di figura): Elaborazione dello studio; deflatori prudenziali del metodo del rendimento sociale; valore sociale comprensivo dei benefici indiretti e del valore della salute, escluse le grandezze fiscali dirette; rendimento coerente con il margine inferiore della fascia superiore di </w:t>
            </w:r>
            <w:proofErr w:type="spellStart"/>
            <w:r>
              <w:rPr>
                <w:b/>
                <w:bCs/>
                <w:color w:val="FFFFFF"/>
                <w:sz w:val="18"/>
                <w:szCs w:val="18"/>
              </w:rPr>
              <w:t>Chisholm</w:t>
            </w:r>
            <w:proofErr w:type="spellEnd"/>
            <w:r>
              <w:rPr>
                <w:b/>
                <w:bCs/>
                <w:color w:val="FFFFFF"/>
                <w:sz w:val="18"/>
                <w:szCs w:val="18"/>
              </w:rPr>
              <w:t xml:space="preserve">. La figura deve rendere evidente la riduzione operata dai deflatori di prudenza dal valore sociale lordo al netto, e la collocazione del rendimento sociale netto in prossimità del margine inferiore della fascia superiore di </w:t>
            </w:r>
            <w:proofErr w:type="spellStart"/>
            <w:r>
              <w:rPr>
                <w:b/>
                <w:bCs/>
                <w:color w:val="FFFFFF"/>
                <w:sz w:val="18"/>
                <w:szCs w:val="18"/>
              </w:rPr>
              <w:t>Chisholm</w:t>
            </w:r>
            <w:proofErr w:type="spellEnd"/>
            <w:r>
              <w:rPr>
                <w:b/>
                <w:bCs/>
                <w:color w:val="FFFFFF"/>
                <w:sz w:val="18"/>
                <w:szCs w:val="18"/>
              </w:rPr>
              <w:t>, a illustrare la natura conservativa della misura.</w:t>
            </w:r>
          </w:p>
          <w:p w14:paraId="6D61C048" w14:textId="77777777" w:rsidR="007C4598" w:rsidRDefault="00000000">
            <w:pPr>
              <w:spacing w:before="120" w:after="60"/>
              <w:jc w:val="center"/>
            </w:pPr>
            <w:r>
              <w:rPr>
                <w:noProof/>
              </w:rPr>
              <w:drawing>
                <wp:inline distT="0" distB="0" distL="0" distR="0" wp14:anchorId="2C982FF4" wp14:editId="65746DE5">
                  <wp:extent cx="8229600" cy="4629150"/>
                  <wp:effectExtent l="0" t="0" r="0" b="0"/>
                  <wp:docPr id="158" name="Infografica58" descr="Dal valore sociale lordo al rendimento sociale n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Infografica58"/>
                          <pic:cNvPicPr>
                            <a:picLocks noChangeAspect="1" noChangeArrowheads="1"/>
                          </pic:cNvPicPr>
                        </pic:nvPicPr>
                        <pic:blipFill>
                          <a:blip r:embed="rId105">
                            <a:extLst>
                              <a:ext uri="{96DAC541-7B7A-43D3-8B79-37D633B846F1}">
                                <asvg:svgBlip xmlns:asvg="http://schemas.microsoft.com/office/drawing/2016/SVG/main" r:embed="rId106"/>
                              </a:ext>
                            </a:extLst>
                          </a:blip>
                          <a:stretch>
                            <a:fillRect/>
                          </a:stretch>
                        </pic:blipFill>
                        <pic:spPr bwMode="auto">
                          <a:xfrm>
                            <a:off x="0" y="0"/>
                            <a:ext cx="8229600" cy="4629150"/>
                          </a:xfrm>
                          <a:prstGeom prst="rect">
                            <a:avLst/>
                          </a:prstGeom>
                          <a:noFill/>
                          <a:ln>
                            <a:noFill/>
                          </a:ln>
                        </pic:spPr>
                      </pic:pic>
                    </a:graphicData>
                  </a:graphic>
                </wp:inline>
              </w:drawing>
            </w:r>
          </w:p>
          <w:p w14:paraId="5A1A8AA8" w14:textId="77777777" w:rsidR="007C4598" w:rsidRDefault="00000000">
            <w:pPr>
              <w:spacing w:before="40" w:after="200"/>
              <w:jc w:val="center"/>
            </w:pPr>
            <w:r>
              <w:rPr>
                <w:i/>
                <w:color w:val="2E5A8F"/>
                <w:sz w:val="16"/>
                <w:szCs w:val="16"/>
              </w:rPr>
              <w:t>Fig. 10.C — Dal valore sociale lordo al rendimento sociale netto. Elaborazione dello studio · Luigi De Michele · Giugno 2026.</w:t>
            </w:r>
          </w:p>
        </w:tc>
      </w:tr>
    </w:tbl>
    <w:p w14:paraId="6C91A28A" w14:textId="77777777" w:rsidR="007C4598" w:rsidRDefault="007C4598"/>
    <w:p w14:paraId="2A157A1A" w14:textId="77777777" w:rsidR="007C4598" w:rsidRDefault="00000000">
      <w:pPr>
        <w:pStyle w:val="Titolo2"/>
        <w:spacing w:before="200" w:after="100"/>
      </w:pPr>
      <w:r>
        <w:rPr>
          <w:sz w:val="22"/>
          <w:szCs w:val="22"/>
        </w:rPr>
        <w:t>10.3.4  La graduazione, i confini e il rapporto con le altre misure</w:t>
      </w:r>
    </w:p>
    <w:p w14:paraId="14F9F590" w14:textId="77777777" w:rsidR="007C4598" w:rsidRDefault="007C4598"/>
    <w:p w14:paraId="544E5F0B" w14:textId="77777777" w:rsidR="007C4598" w:rsidRDefault="00000000">
      <w:pPr>
        <w:jc w:val="both"/>
      </w:pPr>
      <w:r>
        <w:t>La solidità del rendimento sociale dell’investimento va dichiarata, distinguendone le componenti, alcune più solide e altre più incerte. La componente del valore sociale lordo eredita la graduazione delle grandezze che la compongono: i benefici sociali indiretti, graduati nella nona parte da moderata a bassa secondo i domini, e il valore monetizzato dei guadagni di salute, la cui costo-efficacia è solida ma la cui monetizzazione dipende dal valore convenzionale dell’anno di vita in buona salute. La componente dei deflatori è invece soggetta a maggiore incertezza, perché l’entità di ciascun deflatore — quanto si sarebbe verificato comunque, quanto è imputabile ad altri fattori, quanto è spostato altrove — è stimata sulla base di valori comunemente adottati ma non specifici al contesto, e il fattore di ritenzione che ne risulta è perciò una stima prudenziale soggetta a margine di incertezza. Il rendimento sociale netto, prodotto del valore lordo per il fattore di ritenzione e rapportato all’investimento, eredita l’incertezza di entrambe le componenti, ed è perciò presentato come stima centrale di un intervallo, la cui ampiezza riflette tanto l’incertezza del valore lordo quanto quella dei deflatori.</w:t>
      </w:r>
      <w:r>
        <w:rPr>
          <w:color w:val="555555"/>
          <w:sz w:val="16"/>
          <w:szCs w:val="16"/>
          <w:vertAlign w:val="superscript"/>
        </w:rPr>
        <w:t>[14]</w:t>
      </w:r>
    </w:p>
    <w:p w14:paraId="5DA0F8A5" w14:textId="77777777" w:rsidR="007C4598" w:rsidRDefault="007C4598"/>
    <w:p w14:paraId="036FAF02" w14:textId="77777777" w:rsidR="007C4598" w:rsidRDefault="00000000">
      <w:pPr>
        <w:jc w:val="both"/>
      </w:pPr>
      <w:r>
        <w:t xml:space="preserve">Da questa graduazione discendono i confini del rendimento sociale e il suo rapporto con le altre misure della valutazione integrata, che è opportuno precisare per collocarlo correttamente. In primo luogo, il rendimento sociale considera il valore sociale complessivo — i benefici indiretti e il valore della salute — ed esclude le grandezze fiscali dirette, che sono oggetto dell’analisi di impatto di bilancio; esso non è dunque una misura del ritorno fiscale, ma del ritorno sociale, e va letto come tale. In secondo luogo, il rendimento sociale è la misura più conservativa del valore per euro investito, perché applica i deflatori che le altre misure non applicano; esso si colloca perciò al di sotto del rapporto lordo che include il valore della salute, verso il margine inferiore della fascia superiore di </w:t>
      </w:r>
      <w:proofErr w:type="spellStart"/>
      <w:r>
        <w:t>Chisholm</w:t>
      </w:r>
      <w:proofErr w:type="spellEnd"/>
      <w:r>
        <w:t>, e va letto come la stima prudente del valore sociale. In terzo luogo, il rendimento sociale è riferito ai valori annui, e la sua proiezione nel tempo, che ne accumula il valore lungo l’orizzonte tenendo conto del decadimento, è riservata alla modellazione dell’undicesima parte. Il rendimento sociale dell’investimento stabilisce così la misura più ampia e insieme più prudente del valore della riforma per euro investito — dell’ordine di tre a uno e mezzo, anche dopo i deflatori — e la consegna alla valutazione integrata come misura sintetica del valore sociale. Stabilite le tre dimensioni — la costo-efficacia, la sostenibilità e il rendimento sociale — la valutazione integrata può ora muovere verso la sintesi multi-criterio, che ricompone le molteplici dimensioni della riforma in una valutazione strutturata, e quindi verso il saldo consolidato, che le ricompone tutte in un quadro unitario.</w:t>
      </w:r>
    </w:p>
    <w:p w14:paraId="6E9983C4" w14:textId="77777777" w:rsidR="007C4598" w:rsidRDefault="007C4598"/>
    <w:p w14:paraId="1260DE35" w14:textId="77777777" w:rsidR="007C4598" w:rsidRDefault="00000000">
      <w:pPr>
        <w:pStyle w:val="Titolo1"/>
        <w:pageBreakBefore/>
      </w:pPr>
      <w:r>
        <w:rPr>
          <w:sz w:val="22"/>
          <w:szCs w:val="22"/>
        </w:rPr>
        <w:t>10.4  La sintesi multi-criterio</w:t>
      </w:r>
    </w:p>
    <w:p w14:paraId="29394F3A" w14:textId="77777777" w:rsidR="007C4598" w:rsidRDefault="007C4598"/>
    <w:p w14:paraId="16A131D9" w14:textId="77777777" w:rsidR="007C4598" w:rsidRDefault="00000000">
      <w:pPr>
        <w:jc w:val="both"/>
      </w:pPr>
      <w:r>
        <w:rPr>
          <w:i/>
          <w:iCs/>
        </w:rPr>
        <w:t>La quarta voce della valutazione integrata conduce la sintesi multi-criterio, che ricompone le molteplici dimensioni della riforma in una valutazione strutturata, eccedente la sola dimensione monetaria. Le voci precedenti hanno misurato la riforma su dimensioni distinte — l’efficienza sul piano della salute, la sostenibilità per il bilancio sanitario, il rendimento sociale per euro investito — ciascuna con la propria unità di misura; ma la decisione su una riforma non si fonda su una sola dimensione, bensì sulla loro composizione, che richiede di confrontare e ponderare grandezze eterogenee. La sintesi multi-criterio è lo strumento che opera questa composizione: essa individua i criteri rilevanti per la decisione, attribuisce a ciascuno un peso che ne esprime l’importanza relativa, valuta la riforma su ciascun criterio e compone le valutazioni in un punteggio composito, che esprime il valore complessivo della riforma su tutte le dimensioni considerate. La voce stabilisce i criteri e i pesi canonici, valuta la riforma su ciascun criterio e per ciascuno scenario, ne calcola il punteggio composito e ne saggia la robustezza rispetto alla scelta dei pesi.</w:t>
      </w:r>
    </w:p>
    <w:p w14:paraId="41021A23" w14:textId="77777777" w:rsidR="007C4598" w:rsidRDefault="007C4598"/>
    <w:p w14:paraId="08B1956C" w14:textId="77777777" w:rsidR="007C4598" w:rsidRDefault="00000000">
      <w:pPr>
        <w:pStyle w:val="Titolo2"/>
        <w:spacing w:before="200" w:after="100"/>
      </w:pPr>
      <w:r>
        <w:rPr>
          <w:sz w:val="22"/>
          <w:szCs w:val="22"/>
        </w:rPr>
        <w:t>10.4.1  La logica della sintesi multi-criterio</w:t>
      </w:r>
    </w:p>
    <w:p w14:paraId="1FBE0882" w14:textId="77777777" w:rsidR="007C4598" w:rsidRDefault="007C4598"/>
    <w:p w14:paraId="58592683" w14:textId="77777777" w:rsidR="007C4598" w:rsidRDefault="00000000">
      <w:pPr>
        <w:jc w:val="both"/>
      </w:pPr>
      <w:r>
        <w:t>La sintesi multi-criterio è lo strumento con cui la valutazione compone in un quadro unitario dimensioni eterogenee, che non si lasciano ridurre a un’unica unità di misura. Essa muove dal riconoscimento che la decisione su una riforma dipende da una pluralità di criteri — l’efficacia clinica, il ritorno economico, l’equità, la sostenibilità, la fattibilità, la qualità del servizio — e che questi criteri sono di natura diversa, alcuni misurabili in unità monetarie, altri in unità di salute, altri ancora in termini qualitativi; e che, per comporli in una valutazione complessiva, occorre un metodo che li renda confrontabili senza ridurli artificiosamente l’uno all’altro. Il metodo della sintesi multi-criterio consiste nel valutare la riforma su ciascun criterio mediante un punteggio su una scala comune, nell’attribuire a ciascun criterio un peso che ne esprime l’importanza relativa nella decisione, e nel comporre i punteggi ponderati in un punteggio composito, che esprime il valore complessivo della riforma su tutti i criteri considerati.</w:t>
      </w:r>
      <w:r>
        <w:rPr>
          <w:color w:val="555555"/>
          <w:sz w:val="16"/>
          <w:szCs w:val="16"/>
          <w:vertAlign w:val="superscript"/>
        </w:rPr>
        <w:t>[15]</w:t>
      </w:r>
    </w:p>
    <w:p w14:paraId="6F274DC6" w14:textId="77777777" w:rsidR="007C4598" w:rsidRDefault="007C4598"/>
    <w:p w14:paraId="51DF8B22" w14:textId="77777777" w:rsidR="007C4598" w:rsidRDefault="00000000">
      <w:pPr>
        <w:jc w:val="both"/>
      </w:pPr>
      <w:r>
        <w:t>La sintesi multi-criterio non sostituisce le valutazioni economiche delle voci precedenti, ma le ricompone in un quadro più ampio, che eccede la dimensione monetaria. Le valutazioni economiche — la costo-efficacia, l’impatto di bilancio, il rendimento sociale — entrano nella sintesi multi-criterio come criteri, accanto ai criteri non monetari dell’equità, della fattibilità e della qualità del servizio; e la sintesi le compone con questi ultimi in una valutazione complessiva. Il valore della sintesi multi-criterio sta proprio in questa capacità di comporre il monetario e il non monetario: una riforma può essere favorevole sul piano economico ma problematica sul piano dell’equità o della fattibilità, e la sola valutazione economica non coglierebbe questa tensione; la sintesi multi-criterio, considerando tutti i criteri, restituisce una valutazione complessiva che tiene conto di tutte le dimensioni rilevanti per la decisione, e che è perciò più adeguata a fondarla. La sintesi multi-criterio è dunque lo strumento con cui la valutazione integrata perviene alla valutazione complessiva della riforma, componendo le dimensioni economiche con quelle non economiche.</w:t>
      </w:r>
    </w:p>
    <w:p w14:paraId="07E967E7" w14:textId="77777777" w:rsidR="007C4598" w:rsidRDefault="007C4598"/>
    <w:p w14:paraId="2043C683" w14:textId="77777777" w:rsidR="007C4598" w:rsidRDefault="00000000">
      <w:pPr>
        <w:pStyle w:val="Titolo2"/>
        <w:spacing w:before="200" w:after="100"/>
      </w:pPr>
      <w:r>
        <w:rPr>
          <w:sz w:val="22"/>
          <w:szCs w:val="22"/>
        </w:rPr>
        <w:t>10.4.2  I criteri e i pesi canonici</w:t>
      </w:r>
    </w:p>
    <w:p w14:paraId="63234EE7" w14:textId="77777777" w:rsidR="007C4598" w:rsidRDefault="007C4598"/>
    <w:p w14:paraId="5C96E06A" w14:textId="77777777" w:rsidR="007C4598" w:rsidRDefault="00000000">
      <w:pPr>
        <w:jc w:val="both"/>
      </w:pPr>
      <w:r>
        <w:t>I criteri della sintesi multi-criterio sono individuati in modo da coprire le dimensioni rilevanti per la decisione su una riforma sanitaria, e i pesi sono attribuiti in modo canonico, ossia uniforme per l’intera serie regionale dello studio, sì che la valutazione delle diverse regioni sia condotta sui medesimi criteri e con i medesimi pesi, e risulti perciò confrontabile. I criteri sono sei: l’efficacia clinica e i guadagni di salute, che misura il valore della riforma sul piano della salute prodotta; il ritorno economico, diretto e indiretto, che misura il valore della riforma sul piano economico; l’equità e l’impatto distributivo, che misura la distribuzione degli effetti della riforma tra i territori e le popolazioni; la sostenibilità finanziaria, che misura la compatibilità della riforma con i vincoli di bilancio; la fattibilità attuativa, che misura la realizzabilità della riforma sul piano organizzativo; e l’innovazione e la qualità del servizio, che misura il valore della riforma sul piano della qualità e dell’innovazione del servizio offerto. La tabella che segue espone i criteri e i pesi canonici.</w:t>
      </w:r>
    </w:p>
    <w:p w14:paraId="232C1CF3"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4513"/>
        <w:gridCol w:w="4513"/>
      </w:tblGrid>
      <w:tr w:rsidR="007C4598" w14:paraId="1FECD30A" w14:textId="77777777">
        <w:tc>
          <w:tcPr>
            <w:tcW w:w="4513"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E5F52F7" w14:textId="77777777" w:rsidR="007C4598" w:rsidRDefault="00000000">
            <w:pPr>
              <w:spacing w:after="40"/>
            </w:pPr>
            <w:r>
              <w:rPr>
                <w:b/>
                <w:bCs/>
                <w:color w:val="FFFFFF"/>
                <w:sz w:val="18"/>
                <w:szCs w:val="18"/>
              </w:rPr>
              <w:t>Criterio di valutazione</w:t>
            </w:r>
          </w:p>
        </w:tc>
        <w:tc>
          <w:tcPr>
            <w:tcW w:w="4513"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9FED2E0" w14:textId="77777777" w:rsidR="007C4598" w:rsidRDefault="00000000">
            <w:pPr>
              <w:spacing w:after="40"/>
            </w:pPr>
            <w:r>
              <w:rPr>
                <w:b/>
                <w:bCs/>
                <w:color w:val="FFFFFF"/>
                <w:sz w:val="18"/>
                <w:szCs w:val="18"/>
              </w:rPr>
              <w:t>Peso canonico</w:t>
            </w:r>
          </w:p>
        </w:tc>
      </w:tr>
      <w:tr w:rsidR="007C4598" w14:paraId="74596E5F"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B68DD2E" w14:textId="77777777" w:rsidR="007C4598" w:rsidRDefault="00000000">
            <w:pPr>
              <w:spacing w:after="40"/>
            </w:pPr>
            <w:r>
              <w:t>Efficacia clinica e guadagni di salute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0FA108A" w14:textId="77777777" w:rsidR="007C4598" w:rsidRDefault="00000000">
            <w:pPr>
              <w:spacing w:after="40"/>
            </w:pPr>
            <w:r>
              <w:t>0,25</w:t>
            </w:r>
          </w:p>
        </w:tc>
      </w:tr>
      <w:tr w:rsidR="007C4598" w14:paraId="710607F5"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5EC3676" w14:textId="77777777" w:rsidR="007C4598" w:rsidRDefault="00000000">
            <w:pPr>
              <w:spacing w:after="40"/>
            </w:pPr>
            <w:r>
              <w:t>Ritorno economico (diretto e indiretto)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1F221C2" w14:textId="77777777" w:rsidR="007C4598" w:rsidRDefault="00000000">
            <w:pPr>
              <w:spacing w:after="40"/>
            </w:pPr>
            <w:r>
              <w:t>0,20</w:t>
            </w:r>
          </w:p>
        </w:tc>
      </w:tr>
      <w:tr w:rsidR="007C4598" w14:paraId="084414FD"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F6C4535" w14:textId="77777777" w:rsidR="007C4598" w:rsidRDefault="00000000">
            <w:pPr>
              <w:spacing w:after="40"/>
            </w:pPr>
            <w:r>
              <w:t>Equità e impatto distributivo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7A7B7D4" w14:textId="77777777" w:rsidR="007C4598" w:rsidRDefault="00000000">
            <w:pPr>
              <w:spacing w:after="40"/>
            </w:pPr>
            <w:r>
              <w:t>0,20</w:t>
            </w:r>
          </w:p>
        </w:tc>
      </w:tr>
      <w:tr w:rsidR="007C4598" w14:paraId="70D577B2"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6E5E0A3" w14:textId="77777777" w:rsidR="007C4598" w:rsidRDefault="00000000">
            <w:pPr>
              <w:spacing w:after="40"/>
            </w:pPr>
            <w:r>
              <w:t>Sostenibilità finanziaria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BE7A5EE" w14:textId="77777777" w:rsidR="007C4598" w:rsidRDefault="00000000">
            <w:pPr>
              <w:spacing w:after="40"/>
            </w:pPr>
            <w:r>
              <w:t>0,15</w:t>
            </w:r>
          </w:p>
        </w:tc>
      </w:tr>
      <w:tr w:rsidR="007C4598" w14:paraId="01FDB499"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85DD882" w14:textId="77777777" w:rsidR="007C4598" w:rsidRDefault="00000000">
            <w:pPr>
              <w:spacing w:after="40"/>
            </w:pPr>
            <w:r>
              <w:t>Fattibilità attuativa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347BBD5" w14:textId="77777777" w:rsidR="007C4598" w:rsidRDefault="00000000">
            <w:pPr>
              <w:spacing w:after="40"/>
            </w:pPr>
            <w:r>
              <w:t>0,10</w:t>
            </w:r>
          </w:p>
        </w:tc>
      </w:tr>
      <w:tr w:rsidR="007C4598" w14:paraId="4F9328A3"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D05F95E" w14:textId="77777777" w:rsidR="007C4598" w:rsidRDefault="00000000">
            <w:pPr>
              <w:spacing w:after="40"/>
            </w:pPr>
            <w:r>
              <w:t>Innovazione e qualità del servizio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93C764C" w14:textId="77777777" w:rsidR="007C4598" w:rsidRDefault="00000000">
            <w:pPr>
              <w:spacing w:after="40"/>
            </w:pPr>
            <w:r>
              <w:t>0,10</w:t>
            </w:r>
          </w:p>
        </w:tc>
      </w:tr>
      <w:tr w:rsidR="007C4598" w14:paraId="19BEC089"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B8AC5B0" w14:textId="77777777" w:rsidR="007C4598" w:rsidRDefault="00000000">
            <w:pPr>
              <w:spacing w:after="40"/>
            </w:pPr>
            <w:r>
              <w:t>Totale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5CECDEC" w14:textId="77777777" w:rsidR="007C4598" w:rsidRDefault="00000000">
            <w:pPr>
              <w:spacing w:after="40"/>
            </w:pPr>
            <w:r>
              <w:t>1,00</w:t>
            </w:r>
          </w:p>
        </w:tc>
      </w:tr>
    </w:tbl>
    <w:p w14:paraId="45ED0D87" w14:textId="77777777" w:rsidR="007C4598" w:rsidRDefault="007C4598"/>
    <w:p w14:paraId="322CD201" w14:textId="77777777" w:rsidR="007C4598" w:rsidRDefault="00000000">
      <w:pPr>
        <w:jc w:val="both"/>
      </w:pPr>
      <w:r>
        <w:rPr>
          <w:i/>
          <w:iCs/>
        </w:rPr>
        <w:t>Tabella 10.11 — Criteri della sintesi multi-criterio e pesi canonici, uniformi per l’intera serie regionale dello studio. I sei criteri coprono le dimensioni della salute, del ritorno economico, dell’equità, della sostenibilità, della fattibilità e della qualità del servizio; i pesi, che sommano all’unità, ne esprimono l’importanza relativa nella decisione.</w:t>
      </w:r>
    </w:p>
    <w:p w14:paraId="7C8141A8" w14:textId="77777777" w:rsidR="007C4598" w:rsidRDefault="007C4598"/>
    <w:p w14:paraId="05C0CD4F" w14:textId="77777777" w:rsidR="007C4598" w:rsidRDefault="00000000">
      <w:pPr>
        <w:jc w:val="both"/>
      </w:pPr>
      <w:r>
        <w:t>La struttura dei pesi canonici riflette una gerarchia di importanza tra i criteri, fondata sulla natura della decisione. Il peso maggiore, dell’ordine di un quarto, è attribuito all’efficacia clinica e ai guadagni di salute, perché la finalità prima di una riforma sanitaria è la produzione di salute, e il valore della riforma su questo piano è il criterio dirimente. Il ritorno economico e l’equità ricevono ciascuno un peso dell’ordine di un quinto, perché il valore economico della riforma e la giustizia della distribuzione dei suoi effetti sono entrambi criteri di primo rilievo, il primo per la sostenibilità complessiva e il secondo per la legittimità della riforma. La sostenibilità finanziaria riceve un peso dell’ordine di un settimo, perché la compatibilità con i vincoli di bilancio è condizione necessaria della realizzabilità, ancorché subordinata alla finalità di salute. La fattibilità attuativa e l’innovazione ricevono ciascuna un peso dell’ordine di un decimo, perché la realizzabilità organizzativa e la qualità del servizio sono criteri rilevanti ma di rango inferiore rispetto ai precedenti. La gerarchia dei pesi colloca dunque al vertice la salute, in posizione intermedia il ritorno economico e l’equità, e in posizione subordinata la sostenibilità, la fattibilità e l’innovazione, in coerenza con la natura della decisione su una riforma sanitaria.</w:t>
      </w:r>
    </w:p>
    <w:p w14:paraId="50910C2A" w14:textId="77777777" w:rsidR="007C4598" w:rsidRDefault="007C4598"/>
    <w:p w14:paraId="678C9780" w14:textId="77777777" w:rsidR="007C4598" w:rsidRDefault="00000000">
      <w:pPr>
        <w:pStyle w:val="Titolo2"/>
        <w:spacing w:before="200" w:after="100"/>
      </w:pPr>
      <w:r>
        <w:rPr>
          <w:sz w:val="22"/>
          <w:szCs w:val="22"/>
        </w:rPr>
        <w:t>10.4.3  I punteggi della riforma per criterio e per scenario</w:t>
      </w:r>
    </w:p>
    <w:p w14:paraId="179CE717" w14:textId="77777777" w:rsidR="007C4598" w:rsidRDefault="007C4598"/>
    <w:p w14:paraId="795A0BCF" w14:textId="77777777" w:rsidR="007C4598" w:rsidRDefault="00000000">
      <w:pPr>
        <w:jc w:val="both"/>
      </w:pPr>
      <w:r>
        <w:t>La valutazione della riforma su ciascun criterio è espressa mediante un punteggio su una scala da zero a cento, attribuito sulla base dei risultati stabiliti dalle parti precedenti dello studio, e differenziato per scenario di dimensionamento. Il punteggio riflette il grado in cui la riforma soddisfa il criterio: un punteggio elevato indica che la riforma soddisfa pienamente il criterio, un punteggio modesto indica che lo soddisfa parzialmente. La tabella che segue espone i punteggi della riforma per ciascun criterio e per ciascuno scenario, con il peso canonico di ciascun criterio.</w:t>
      </w:r>
    </w:p>
    <w:p w14:paraId="0E83F5B8"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7E274A10"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7764E82" w14:textId="77777777" w:rsidR="007C4598" w:rsidRDefault="00000000">
            <w:pPr>
              <w:spacing w:after="40"/>
            </w:pPr>
            <w:r>
              <w:rPr>
                <w:b/>
                <w:bCs/>
                <w:color w:val="FFFFFF"/>
                <w:sz w:val="18"/>
                <w:szCs w:val="18"/>
              </w:rPr>
              <w:t>Criterio di valutazione (peso canonico)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0AEDA0D" w14:textId="77777777" w:rsidR="007C4598" w:rsidRDefault="00000000">
            <w:pPr>
              <w:spacing w:after="40"/>
            </w:pPr>
            <w:r>
              <w:rPr>
                <w:b/>
                <w:bCs/>
                <w:color w:val="FFFFFF"/>
                <w:sz w:val="18"/>
                <w:szCs w:val="18"/>
              </w:rPr>
              <w:t>Conservativo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EEFCBC3" w14:textId="77777777" w:rsidR="007C4598" w:rsidRDefault="00000000">
            <w:pPr>
              <w:spacing w:after="40"/>
            </w:pPr>
            <w:r>
              <w:rPr>
                <w:b/>
                <w:bCs/>
                <w:color w:val="FFFFFF"/>
                <w:sz w:val="18"/>
                <w:szCs w:val="18"/>
              </w:rPr>
              <w:t>Intermedio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068C3AA" w14:textId="77777777" w:rsidR="007C4598" w:rsidRDefault="00000000">
            <w:pPr>
              <w:spacing w:after="40"/>
            </w:pPr>
            <w:r>
              <w:rPr>
                <w:b/>
                <w:bCs/>
                <w:color w:val="FFFFFF"/>
                <w:sz w:val="18"/>
                <w:szCs w:val="18"/>
              </w:rPr>
              <w:t>Espansivo</w:t>
            </w:r>
          </w:p>
        </w:tc>
      </w:tr>
      <w:tr w:rsidR="007C4598" w14:paraId="0997ACEE"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4514B03" w14:textId="77777777" w:rsidR="007C4598" w:rsidRDefault="00000000">
            <w:pPr>
              <w:spacing w:after="40"/>
            </w:pPr>
            <w:r>
              <w:t>Efficacia clinica e guadagni di salute (0,25)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DB78E06" w14:textId="77777777" w:rsidR="007C4598" w:rsidRDefault="00000000">
            <w:pPr>
              <w:spacing w:after="40"/>
            </w:pPr>
            <w:r>
              <w:t>78</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5D07784" w14:textId="77777777" w:rsidR="007C4598" w:rsidRDefault="00000000">
            <w:pPr>
              <w:spacing w:after="40"/>
            </w:pPr>
            <w:r>
              <w:t>82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985B5AE" w14:textId="77777777" w:rsidR="007C4598" w:rsidRDefault="00000000">
            <w:pPr>
              <w:spacing w:after="40"/>
            </w:pPr>
            <w:r>
              <w:t>85</w:t>
            </w:r>
          </w:p>
        </w:tc>
      </w:tr>
      <w:tr w:rsidR="007C4598" w14:paraId="7E74974F"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AD1DC56" w14:textId="77777777" w:rsidR="007C4598" w:rsidRDefault="00000000">
            <w:pPr>
              <w:spacing w:after="40"/>
            </w:pPr>
            <w:r>
              <w:t>Ritorno economico, diretto e indiretto (0,20)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FFE99B8" w14:textId="77777777" w:rsidR="007C4598" w:rsidRDefault="00000000">
            <w:pPr>
              <w:spacing w:after="40"/>
            </w:pPr>
            <w:r>
              <w:t>74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55C16D0" w14:textId="77777777" w:rsidR="007C4598" w:rsidRDefault="00000000">
            <w:pPr>
              <w:spacing w:after="40"/>
            </w:pPr>
            <w:r>
              <w:t>78</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8E403DB" w14:textId="77777777" w:rsidR="007C4598" w:rsidRDefault="00000000">
            <w:pPr>
              <w:spacing w:after="40"/>
            </w:pPr>
            <w:r>
              <w:t>80</w:t>
            </w:r>
          </w:p>
        </w:tc>
      </w:tr>
      <w:tr w:rsidR="007C4598" w14:paraId="1B26DE70"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9DDBF16" w14:textId="77777777" w:rsidR="007C4598" w:rsidRDefault="00000000">
            <w:pPr>
              <w:spacing w:after="40"/>
            </w:pPr>
            <w:r>
              <w:t>Equità e impatto distributivo (0,20)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AF8A5E8" w14:textId="77777777" w:rsidR="007C4598" w:rsidRDefault="00000000">
            <w:pPr>
              <w:spacing w:after="40"/>
            </w:pPr>
            <w:r>
              <w:t>70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00172E0" w14:textId="77777777" w:rsidR="007C4598" w:rsidRDefault="00000000">
            <w:pPr>
              <w:spacing w:after="40"/>
            </w:pPr>
            <w:r>
              <w:t>72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2A0BAB0" w14:textId="77777777" w:rsidR="007C4598" w:rsidRDefault="00000000">
            <w:pPr>
              <w:spacing w:after="40"/>
            </w:pPr>
            <w:r>
              <w:t>75</w:t>
            </w:r>
          </w:p>
        </w:tc>
      </w:tr>
      <w:tr w:rsidR="007C4598" w14:paraId="71A8B3CF"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D3022C3" w14:textId="77777777" w:rsidR="007C4598" w:rsidRDefault="00000000">
            <w:pPr>
              <w:spacing w:after="40"/>
            </w:pPr>
            <w:r>
              <w:t>Sostenibilità finanziaria (0,15)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AB275E4" w14:textId="77777777" w:rsidR="007C4598" w:rsidRDefault="00000000">
            <w:pPr>
              <w:spacing w:after="40"/>
            </w:pPr>
            <w:r>
              <w:t>82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B61B0FA" w14:textId="77777777" w:rsidR="007C4598" w:rsidRDefault="00000000">
            <w:pPr>
              <w:spacing w:after="40"/>
            </w:pPr>
            <w:r>
              <w:t>80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DCF381E" w14:textId="77777777" w:rsidR="007C4598" w:rsidRDefault="00000000">
            <w:pPr>
              <w:spacing w:after="40"/>
            </w:pPr>
            <w:r>
              <w:t>76</w:t>
            </w:r>
          </w:p>
        </w:tc>
      </w:tr>
      <w:tr w:rsidR="007C4598" w14:paraId="1FBBD13D"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006EF07" w14:textId="77777777" w:rsidR="007C4598" w:rsidRDefault="00000000">
            <w:pPr>
              <w:spacing w:after="40"/>
            </w:pPr>
            <w:r>
              <w:t>Fattibilità attuativa (0,10)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50CCFDC" w14:textId="77777777" w:rsidR="007C4598" w:rsidRDefault="00000000">
            <w:pPr>
              <w:spacing w:after="40"/>
            </w:pPr>
            <w:r>
              <w:t>72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78F0F8C" w14:textId="77777777" w:rsidR="007C4598" w:rsidRDefault="00000000">
            <w:pPr>
              <w:spacing w:after="40"/>
            </w:pPr>
            <w:r>
              <w:t>68</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6546BE3" w14:textId="77777777" w:rsidR="007C4598" w:rsidRDefault="00000000">
            <w:pPr>
              <w:spacing w:after="40"/>
            </w:pPr>
            <w:r>
              <w:t>62</w:t>
            </w:r>
          </w:p>
        </w:tc>
      </w:tr>
      <w:tr w:rsidR="007C4598" w14:paraId="5715DAB2"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356C8B0" w14:textId="77777777" w:rsidR="007C4598" w:rsidRDefault="00000000">
            <w:pPr>
              <w:spacing w:after="40"/>
            </w:pPr>
            <w:r>
              <w:t>Innovazione e qualità del servizio (0,10)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35DABE7" w14:textId="77777777" w:rsidR="007C4598" w:rsidRDefault="00000000">
            <w:pPr>
              <w:spacing w:after="40"/>
            </w:pPr>
            <w:r>
              <w:t>72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B989DF4" w14:textId="77777777" w:rsidR="007C4598" w:rsidRDefault="00000000">
            <w:pPr>
              <w:spacing w:after="40"/>
            </w:pPr>
            <w:r>
              <w:t>75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8F055BC" w14:textId="77777777" w:rsidR="007C4598" w:rsidRDefault="00000000">
            <w:pPr>
              <w:spacing w:after="40"/>
            </w:pPr>
            <w:r>
              <w:t>78</w:t>
            </w:r>
          </w:p>
        </w:tc>
      </w:tr>
    </w:tbl>
    <w:p w14:paraId="7C73D0DA" w14:textId="77777777" w:rsidR="007C4598" w:rsidRDefault="007C4598"/>
    <w:p w14:paraId="02203482" w14:textId="77777777" w:rsidR="007C4598" w:rsidRDefault="00000000">
      <w:pPr>
        <w:jc w:val="both"/>
      </w:pPr>
      <w:r>
        <w:rPr>
          <w:i/>
          <w:iCs/>
        </w:rPr>
        <w:t>Tabella 10.12 — Punteggi della riforma su ciascun criterio della sintesi multi-criterio, su scala da zero a cento, per scenario, con il peso canonico di ciascun criterio. I punteggi sono attribuiti sulla base dei risultati delle parti precedenti, e variano per scenario: crescono con il dimensionamento sui criteri della salute, del ritorno e dell’equità, e decrescono sui criteri della sostenibilità e della fattibilità, per i quali lo scenario espansivo, più oneroso e complesso, è meno favorevole.</w:t>
      </w:r>
    </w:p>
    <w:p w14:paraId="288B15B4" w14:textId="77777777" w:rsidR="007C4598" w:rsidRDefault="007C4598"/>
    <w:p w14:paraId="7ACC4FE3" w14:textId="77777777" w:rsidR="007C4598" w:rsidRDefault="00000000">
      <w:pPr>
        <w:jc w:val="both"/>
      </w:pPr>
      <w:r>
        <w:t xml:space="preserve">I punteggi riflettono i risultati stabiliti dalle parti precedenti, e la loro differenziazione per scenario ne esprime la dipendenza dal dimensionamento. Il criterio dell’efficacia clinica e dei guadagni di salute riceve punteggi elevati, dell’ordine di ottanta, fondati sull’evidenza solida dell’efficacia degli interventi psicologici nelle cure primarie, graduata nella sesta parte, e sulla netta costo-efficacia stabilita dalla prima voce di questa parte; il punteggio cresce con il dimensionamento, perché lo scenario espansivo, che intercetta una popolazione più ampia, produce maggiori guadagni di salute. Il criterio del ritorno economico riceve punteggi parimenti elevati, dell’ordine di settantacinque-ottanta, fondati sul rendimento dei benefici indiretti entro la fascia di </w:t>
      </w:r>
      <w:proofErr w:type="spellStart"/>
      <w:r>
        <w:t>Chisholm</w:t>
      </w:r>
      <w:proofErr w:type="spellEnd"/>
      <w:r>
        <w:t>, stabilito dalla nona parte, e sul rendimento sociale stabilito dalla terza voce; anch’esso cresce con il dimensionamento. Il criterio dell’equità riceve punteggi dell’ordine di settanta-settantacinque, fondati sul miglioramento dell’accesso che la riforma produce nei territori meno serviti, temperato dal rischio di divario digitale, che la dodicesima parte analizzerà; esso cresce moderatamente con il dimensionamento, perché la maggiore copertura estende l’accesso.</w:t>
      </w:r>
      <w:r>
        <w:rPr>
          <w:color w:val="555555"/>
          <w:sz w:val="16"/>
          <w:szCs w:val="16"/>
          <w:vertAlign w:val="superscript"/>
        </w:rPr>
        <w:t>[16]</w:t>
      </w:r>
    </w:p>
    <w:p w14:paraId="0B21C2D6" w14:textId="77777777" w:rsidR="007C4598" w:rsidRDefault="007C4598"/>
    <w:p w14:paraId="293C3986" w14:textId="77777777" w:rsidR="007C4598" w:rsidRDefault="00000000">
      <w:pPr>
        <w:jc w:val="both"/>
      </w:pPr>
      <w:r>
        <w:t>I criteri della sostenibilità e della fattibilità presentano, all’opposto, punteggi decrescenti con il dimensionamento, perché lo scenario espansivo, più oneroso e complesso, è meno favorevole su questi piani. Il criterio della sostenibilità finanziaria riceve punteggi elevati, dell’ordine di ottanta, fondati sul contenuto impatto di bilancio stabilito dalla seconda voce; ma il punteggio decresce dallo scenario conservativo all’espansivo, perché lo scenario espansivo, di costo maggiore, comporta un impatto di bilancio più rilevante, ancorché contenuto. Il criterio della fattibilità attuativa riceve punteggi dell’ordine di settanta, fondati sulla realizzabilità organizzativa della riforma; ma il punteggio decresce sensibilmente dallo scenario conservativo all’espansivo, perché lo scenario espansivo, che richiede il conferimento di un numero maggiore di incarichi e una più estesa integrazione organizzativa, è di più difficile attuazione. Il criterio dell’innovazione e della qualità del servizio riceve punteggi dell’ordine di settantacinque, fondati sull’impiego delle leve abilitanti — la leva digitale, le terapie digitali, il modello per intensità crescente — stabilito dalla quarta parte; esso cresce moderatamente con il dimensionamento, perché la maggiore scala consente un più pieno dispiegamento delle leve. La differenziazione dei punteggi per scenario riflette dunque la tensione tra i criteri che premiano la scala — la salute, il ritorno, l’equità, l’innovazione — e i criteri che la penalizzano — la sostenibilità e la fattibilità — e che la composizione ponderata dovrà comporre.</w:t>
      </w:r>
    </w:p>
    <w:p w14:paraId="0677A2D9" w14:textId="77777777" w:rsidR="007C4598" w:rsidRDefault="007C4598"/>
    <w:p w14:paraId="36AF1827" w14:textId="77777777" w:rsidR="007C4598" w:rsidRDefault="00000000">
      <w:pPr>
        <w:pStyle w:val="Titolo2"/>
        <w:spacing w:before="200" w:after="100"/>
      </w:pPr>
      <w:r>
        <w:rPr>
          <w:sz w:val="22"/>
          <w:szCs w:val="22"/>
        </w:rPr>
        <w:t>10.4.4  Il punteggio composito e l’analisi di sensibilità ai pesi</w:t>
      </w:r>
    </w:p>
    <w:p w14:paraId="763E6848" w14:textId="77777777" w:rsidR="007C4598" w:rsidRDefault="007C4598"/>
    <w:p w14:paraId="5333835F" w14:textId="77777777" w:rsidR="007C4598" w:rsidRDefault="00000000">
      <w:pPr>
        <w:jc w:val="both"/>
      </w:pPr>
      <w:r>
        <w:t>Il punteggio composito si calcola componendo i punteggi della riforma su ciascun criterio, ponderati per il peso canonico del criterio, in un’unica grandezza che esprime il valore complessivo della riforma su tutti i criteri. Il calcolo si conduce moltiplicando il punteggio di ciascun criterio per il suo peso e sommando i prodotti, per ciascuno scenario. Poiché il punteggio composito dipende dai pesi attribuiti ai criteri, la sua robustezza va saggiata variando i pesi e verificando se il punteggio si mantenga stabile: se il punteggio resta sostanzialmente invariato al variare dei pesi, la valutazione è robusta; se varia sensibilmente, essa dipende dalla scelta dei pesi e va letta con cautela. La tabella che segue espone il punteggio composito per ciascuno scenario, calcolato con i pesi canonici, e l’analisi di sensibilità, che ricalcola il punteggio con schemi di ponderazione alternativi.</w:t>
      </w:r>
    </w:p>
    <w:p w14:paraId="7A43BF08"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2CC3373F"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40488D9" w14:textId="77777777" w:rsidR="007C4598" w:rsidRDefault="00000000">
            <w:pPr>
              <w:spacing w:after="40"/>
            </w:pPr>
            <w:r>
              <w:rPr>
                <w:b/>
                <w:bCs/>
                <w:color w:val="FFFFFF"/>
                <w:sz w:val="18"/>
                <w:szCs w:val="18"/>
              </w:rPr>
              <w:t>Punteggio composito multi-criterio (0–100) e sensibilità ai pesi</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D02B8BD" w14:textId="77777777" w:rsidR="007C4598" w:rsidRDefault="00000000">
            <w:pPr>
              <w:spacing w:after="40"/>
            </w:pPr>
            <w:r>
              <w:rPr>
                <w:b/>
                <w:bCs/>
                <w:color w:val="FFFFFF"/>
                <w:sz w:val="18"/>
                <w:szCs w:val="18"/>
              </w:rPr>
              <w:t>Conservativo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C75DE36" w14:textId="77777777" w:rsidR="007C4598" w:rsidRDefault="00000000">
            <w:pPr>
              <w:spacing w:after="40"/>
            </w:pPr>
            <w:r>
              <w:rPr>
                <w:b/>
                <w:bCs/>
                <w:color w:val="FFFFFF"/>
                <w:sz w:val="18"/>
                <w:szCs w:val="18"/>
              </w:rPr>
              <w:t>Intermedio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0DA9643" w14:textId="77777777" w:rsidR="007C4598" w:rsidRDefault="00000000">
            <w:pPr>
              <w:spacing w:after="40"/>
            </w:pPr>
            <w:r>
              <w:rPr>
                <w:b/>
                <w:bCs/>
                <w:color w:val="FFFFFF"/>
                <w:sz w:val="18"/>
                <w:szCs w:val="18"/>
              </w:rPr>
              <w:t>Espansivo</w:t>
            </w:r>
          </w:p>
        </w:tc>
      </w:tr>
      <w:tr w:rsidR="007C4598" w14:paraId="26B7E034"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82B3A7C" w14:textId="77777777" w:rsidR="007C4598" w:rsidRDefault="00000000">
            <w:pPr>
              <w:spacing w:after="40"/>
            </w:pPr>
            <w:r>
              <w:t>Pesi canonici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D6F95A5" w14:textId="77777777" w:rsidR="007C4598" w:rsidRDefault="00000000">
            <w:pPr>
              <w:spacing w:after="40"/>
            </w:pPr>
            <w:r>
              <w:t>~75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CCC9251" w14:textId="77777777" w:rsidR="007C4598" w:rsidRDefault="00000000">
            <w:pPr>
              <w:spacing w:after="40"/>
            </w:pPr>
            <w:r>
              <w:t>~77</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F15E9D2" w14:textId="77777777" w:rsidR="007C4598" w:rsidRDefault="00000000">
            <w:pPr>
              <w:spacing w:after="40"/>
            </w:pPr>
            <w:r>
              <w:t>~78</w:t>
            </w:r>
          </w:p>
        </w:tc>
      </w:tr>
      <w:tr w:rsidR="007C4598" w14:paraId="0CA06B14"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720E63B" w14:textId="77777777" w:rsidR="007C4598" w:rsidRDefault="00000000">
            <w:pPr>
              <w:spacing w:after="40"/>
            </w:pPr>
            <w:r>
              <w:t>Pesi uniformi (</w:t>
            </w:r>
            <w:proofErr w:type="spellStart"/>
            <w:r>
              <w:t>equiponderazione</w:t>
            </w:r>
            <w:proofErr w:type="spellEnd"/>
            <w:r>
              <w:t xml:space="preserve"> dei criteri)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42D603E" w14:textId="77777777" w:rsidR="007C4598" w:rsidRDefault="00000000">
            <w:pPr>
              <w:spacing w:after="40"/>
            </w:pPr>
            <w:r>
              <w:t>~75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BD1F947" w14:textId="77777777" w:rsidR="007C4598" w:rsidRDefault="00000000">
            <w:pPr>
              <w:spacing w:after="40"/>
            </w:pPr>
            <w:r>
              <w:t>~76</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154C898" w14:textId="77777777" w:rsidR="007C4598" w:rsidRDefault="00000000">
            <w:pPr>
              <w:spacing w:after="40"/>
            </w:pPr>
            <w:r>
              <w:t>~76</w:t>
            </w:r>
          </w:p>
        </w:tc>
      </w:tr>
      <w:tr w:rsidR="007C4598" w14:paraId="21ADEF80"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1389B69" w14:textId="77777777" w:rsidR="007C4598" w:rsidRDefault="00000000">
            <w:pPr>
              <w:spacing w:after="40"/>
            </w:pPr>
            <w:r>
              <w:t>Ponderazione a favore del ritorno economico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3AEC702" w14:textId="77777777" w:rsidR="007C4598" w:rsidRDefault="00000000">
            <w:pPr>
              <w:spacing w:after="40"/>
            </w:pPr>
            <w:r>
              <w:t>~74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3159CF4" w14:textId="77777777" w:rsidR="007C4598" w:rsidRDefault="00000000">
            <w:pPr>
              <w:spacing w:after="40"/>
            </w:pPr>
            <w:r>
              <w:t>~76</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F32FA02" w14:textId="77777777" w:rsidR="007C4598" w:rsidRDefault="00000000">
            <w:pPr>
              <w:spacing w:after="40"/>
            </w:pPr>
            <w:r>
              <w:t>~77</w:t>
            </w:r>
          </w:p>
        </w:tc>
      </w:tr>
      <w:tr w:rsidR="007C4598" w14:paraId="592DEF90"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8C9D3FF" w14:textId="77777777" w:rsidR="007C4598" w:rsidRDefault="00000000">
            <w:pPr>
              <w:spacing w:after="40"/>
            </w:pPr>
            <w:r>
              <w:t>Ponderazione a favore dell’equità</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1D6B6F3" w14:textId="77777777" w:rsidR="007C4598" w:rsidRDefault="00000000">
            <w:pPr>
              <w:spacing w:after="40"/>
            </w:pPr>
            <w:r>
              <w:t>~73</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53575E7" w14:textId="77777777" w:rsidR="007C4598" w:rsidRDefault="00000000">
            <w:pPr>
              <w:spacing w:after="40"/>
            </w:pPr>
            <w:r>
              <w:t>~75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EF8C86D" w14:textId="77777777" w:rsidR="007C4598" w:rsidRDefault="00000000">
            <w:pPr>
              <w:spacing w:after="40"/>
            </w:pPr>
            <w:r>
              <w:t>~76</w:t>
            </w:r>
          </w:p>
        </w:tc>
      </w:tr>
      <w:tr w:rsidR="007C4598" w14:paraId="0C63A6F0"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24C4BCA" w14:textId="77777777" w:rsidR="007C4598" w:rsidRDefault="00000000">
            <w:pPr>
              <w:spacing w:after="40"/>
            </w:pPr>
            <w:r>
              <w:t>Intervallo dei punteggi compositi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404747A" w14:textId="77777777" w:rsidR="007C4598" w:rsidRDefault="00000000">
            <w:pPr>
              <w:spacing w:after="40"/>
            </w:pPr>
            <w:r>
              <w:t>73–75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9F53BF8" w14:textId="77777777" w:rsidR="007C4598" w:rsidRDefault="00000000">
            <w:pPr>
              <w:spacing w:after="40"/>
            </w:pPr>
            <w:r>
              <w:t>75–77</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00A7627" w14:textId="77777777" w:rsidR="007C4598" w:rsidRDefault="00000000">
            <w:pPr>
              <w:spacing w:after="40"/>
            </w:pPr>
            <w:r>
              <w:t>76–78</w:t>
            </w:r>
          </w:p>
        </w:tc>
      </w:tr>
    </w:tbl>
    <w:p w14:paraId="660806D3" w14:textId="77777777" w:rsidR="007C4598" w:rsidRDefault="007C4598"/>
    <w:p w14:paraId="5CFAAAFC" w14:textId="77777777" w:rsidR="007C4598" w:rsidRDefault="00000000">
      <w:pPr>
        <w:jc w:val="both"/>
      </w:pPr>
      <w:r>
        <w:rPr>
          <w:i/>
          <w:iCs/>
        </w:rPr>
        <w:t>Tabella 10.13 — Punteggio composito della sintesi multi-criterio per scenario, calcolato con i pesi canonici, e analisi di sensibilità con schemi di ponderazione alternativi. Il punteggio composito si colloca, in tutti gli scenari e con tutti gli schemi di ponderazione, in un intervallo ristretto dell’ordine di settantatré-settantotto su cento, a testimonianza della robustezza della valutazione rispetto alla scelta dei pesi.</w:t>
      </w:r>
    </w:p>
    <w:p w14:paraId="177E79B0" w14:textId="77777777" w:rsidR="007C4598" w:rsidRDefault="007C4598"/>
    <w:p w14:paraId="6A0F1D3E" w14:textId="77777777" w:rsidR="007C4598" w:rsidRDefault="00000000">
      <w:pPr>
        <w:jc w:val="both"/>
      </w:pPr>
      <w:r>
        <w:t>Il punteggio composito della riforma, calcolato con i pesi canonici, è dell’ordine di settantasette su cento nello scenario intermedio, di circa settantacinque nello scenario conservativo e di circa settantotto nello scenario espansivo. Questi punteggi, su una scala da zero a cento, collocano la riforma nettamente nella fascia favorevole: essa soddisfa in misura elevata i criteri della valutazione, con punteggi che eccedono ampiamente la soglia della sufficienza e si collocano nella parte alta della scala, senza tuttavia raggiungere i valori estremi, in coerenza con la prudenza che governa l’intera valutazione. La leggera crescita del punteggio dallo scenario conservativo all’espansivo riflette la prevalenza, nella composizione ponderata, dei criteri che premiano la scala — la salute, il ritorno, l’equità — sui criteri che la penalizzano — la sostenibilità e la fattibilità — sì che lo scenario espansivo, pur meno favorevole su questi ultimi, risulta complessivamente lievemente preferito; ma la differenza tra gli scenari è contenuta, e tutti e tre si collocano nella medesima fascia favorevole.</w:t>
      </w:r>
      <w:r>
        <w:rPr>
          <w:color w:val="555555"/>
          <w:sz w:val="16"/>
          <w:szCs w:val="16"/>
          <w:vertAlign w:val="superscript"/>
        </w:rPr>
        <w:t>[17]</w:t>
      </w:r>
    </w:p>
    <w:p w14:paraId="60E1B83A" w14:textId="77777777" w:rsidR="007C4598" w:rsidRDefault="007C4598"/>
    <w:p w14:paraId="4E6567B4" w14:textId="77777777" w:rsidR="007C4598" w:rsidRDefault="00000000">
      <w:pPr>
        <w:jc w:val="both"/>
      </w:pPr>
      <w:r>
        <w:t>L’analisi di sensibilità conferma la robustezza della valutazione rispetto alla scelta dei pesi. Ricalcolando il punteggio composito con schemi di ponderazione alternativi — l’</w:t>
      </w:r>
      <w:proofErr w:type="spellStart"/>
      <w:r>
        <w:t>equiponderazione</w:t>
      </w:r>
      <w:proofErr w:type="spellEnd"/>
      <w:r>
        <w:t>, che attribuisce a ciascun criterio il medesimo peso; la ponderazione a favore del ritorno economico, che accresce il peso del criterio economico; la ponderazione a favore dell’equità, che accresce il peso del criterio distributivo — il punteggio si mantiene in un intervallo ristretto, dell’ordine di settantatré-settantotto su cento in tutti gli scenari. La ristrettezza di questo intervallo, dell’ordine di pochi punti, testimonia che la valutazione non dipende sensibilmente dalla scelta dei pesi: quale che sia lo schema di ponderazione adottato, entro la gamma dei pesi ragionevoli, la riforma riceve un punteggio composito nella fascia favorevole, dell’ordine di tre quarti della scala. Questa robustezza è un presidio importante della valutazione multi-criterio, perché ne fonda la conclusione su un risultato stabile, non condizionato dalla scelta soggettiva dei pesi; e conferma che il valore complessivo della riforma, composto su tutte le dimensioni, è nettamente favorevole, indipendentemente dall’importanza relativa che si attribuisca ai singoli criteri.</w:t>
      </w:r>
    </w:p>
    <w:p w14:paraId="23484E0B"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62CA5CB9"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7E6B3D2" w14:textId="77777777" w:rsidR="007C4598" w:rsidRDefault="00000000">
            <w:pPr>
              <w:spacing w:after="40"/>
            </w:pPr>
            <w:r>
              <w:rPr>
                <w:b/>
                <w:bCs/>
                <w:color w:val="FFFFFF"/>
                <w:sz w:val="18"/>
                <w:szCs w:val="18"/>
              </w:rPr>
              <w:t xml:space="preserve">◆ SEGNAPOSTO INFOGRAFICA — FIG. 10.D · DA INSERIRE A POSTERIORI Titolo previsto: Il profilo multi-criterio della riforma: i punteggi sui sei criteri e il composito — Puglia CODICE CANVA-FRIENDLY (scheda di generazione) Tipo di grafico: diagramma radar (a ragnatela) a sei assi, uno per ciascun criterio della sintesi multi-criterio, con il profilo dei punteggi della riforma nei tre scenari sovrapposti; affiancato da un indicatore del punteggio composito per scenario con la banda di sensibilità. Lettura: i sei assi (efficacia e salute, ritorno economico, equità, sostenibilità, fattibilità, innovazione) con i punteggi da zero al centro a cento al margine; tre profili poligonali per i tre scenari, che mostrano i punteggi elevati sui criteri della salute, del ritorno e della sostenibilità e i punteggi più contenuti sui criteri dell’equità e della fattibilità; a lato, i tre punteggi compositi (~75, ~77, ~78) con la banda di sensibilità (73–78). Palette: profilo conservativo in blu chiaro #5B7BB0; intermedio in blu medio #244272; espansivo in blu </w:t>
            </w:r>
            <w:proofErr w:type="spellStart"/>
            <w:r>
              <w:rPr>
                <w:b/>
                <w:bCs/>
                <w:color w:val="FFFFFF"/>
                <w:sz w:val="18"/>
                <w:szCs w:val="18"/>
              </w:rPr>
              <w:t>navy</w:t>
            </w:r>
            <w:proofErr w:type="spellEnd"/>
            <w:r>
              <w:rPr>
                <w:b/>
                <w:bCs/>
                <w:color w:val="FFFFFF"/>
                <w:sz w:val="18"/>
                <w:szCs w:val="18"/>
              </w:rPr>
              <w:t xml:space="preserve"> #16264B; punteggio composito e banda in oro #C49A48; assi e griglia in grigio #D8D8D8.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etichette dei criteri Medium, valori dei punteggi </w:t>
            </w:r>
            <w:proofErr w:type="spellStart"/>
            <w:r>
              <w:rPr>
                <w:b/>
                <w:bCs/>
                <w:color w:val="FFFFFF"/>
                <w:sz w:val="18"/>
                <w:szCs w:val="18"/>
              </w:rPr>
              <w:t>Bold</w:t>
            </w:r>
            <w:proofErr w:type="spellEnd"/>
            <w:r>
              <w:rPr>
                <w:b/>
                <w:bCs/>
                <w:color w:val="FFFFFF"/>
                <w:sz w:val="18"/>
                <w:szCs w:val="18"/>
              </w:rPr>
              <w:t xml:space="preserve">, etichette degli scenari Regular.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Valori da rappresentare: efficacia e salute 78/82/85; ritorno economico 74/78/80; equità 70/72/75; sostenibilità 82/80/76; fattibilità 72/68/62; innovazione 72/75/78. Compositi 75/77/78; banda di sensibilità 73–78. Variante 3D (consigliata): radar con i tre profili a quote leggermente diverse, a rendere la sovrapposizione; l’indicatore del composito come quadrante tridimensionale affiancato. Fonte (piè di figura): Elaborazione dello studio; punteggi fondati sui risultati delle parti precedenti; pesi canonici uniformi per la serie regionale; punteggio composito robusto all’analisi di sensibilità sui pesi. La figura deve rendere evidente il profilo della riforma sui sei criteri — elevato su salute, ritorno e sostenibilità, più contenuto su equità e fattibilità — e il punteggio composito nella fascia favorevole, stabile entro la banda di sensibilità ai pesi.</w:t>
            </w:r>
          </w:p>
          <w:p w14:paraId="588D3F20" w14:textId="77777777" w:rsidR="007C4598" w:rsidRDefault="00000000">
            <w:pPr>
              <w:spacing w:before="120" w:after="60"/>
              <w:jc w:val="center"/>
            </w:pPr>
            <w:r>
              <w:rPr>
                <w:noProof/>
              </w:rPr>
              <w:drawing>
                <wp:inline distT="0" distB="0" distL="0" distR="0" wp14:anchorId="3EA8C441" wp14:editId="6B7DD830">
                  <wp:extent cx="8229600" cy="4629150"/>
                  <wp:effectExtent l="0" t="0" r="0" b="0"/>
                  <wp:docPr id="159" name="Infografica59" descr="Il profilo multi-criterio della riforma — 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Infografica59"/>
                          <pic:cNvPicPr>
                            <a:picLocks noChangeAspect="1" noChangeArrowheads="1"/>
                          </pic:cNvPicPr>
                        </pic:nvPicPr>
                        <pic:blipFill>
                          <a:blip r:embed="rId107">
                            <a:extLst>
                              <a:ext uri="{96DAC541-7B7A-43D3-8B79-37D633B846F1}">
                                <asvg:svgBlip xmlns:asvg="http://schemas.microsoft.com/office/drawing/2016/SVG/main" r:embed="rId108"/>
                              </a:ext>
                            </a:extLst>
                          </a:blip>
                          <a:stretch>
                            <a:fillRect/>
                          </a:stretch>
                        </pic:blipFill>
                        <pic:spPr bwMode="auto">
                          <a:xfrm>
                            <a:off x="0" y="0"/>
                            <a:ext cx="8229600" cy="4629150"/>
                          </a:xfrm>
                          <a:prstGeom prst="rect">
                            <a:avLst/>
                          </a:prstGeom>
                          <a:noFill/>
                          <a:ln>
                            <a:noFill/>
                          </a:ln>
                        </pic:spPr>
                      </pic:pic>
                    </a:graphicData>
                  </a:graphic>
                </wp:inline>
              </w:drawing>
            </w:r>
          </w:p>
          <w:p w14:paraId="3DBBA589" w14:textId="77777777" w:rsidR="007C4598" w:rsidRDefault="00000000">
            <w:pPr>
              <w:spacing w:before="40" w:after="200"/>
              <w:jc w:val="center"/>
            </w:pPr>
            <w:r>
              <w:rPr>
                <w:i/>
                <w:color w:val="2E5A8F"/>
                <w:sz w:val="16"/>
                <w:szCs w:val="16"/>
              </w:rPr>
              <w:t>Fig. 10.D — Il profilo multi-criterio della riforma — radar. Elaborazione dello studio · Luigi De Michele · Giugno 2026.</w:t>
            </w:r>
          </w:p>
        </w:tc>
      </w:tr>
    </w:tbl>
    <w:p w14:paraId="08540AE3" w14:textId="77777777" w:rsidR="007C4598" w:rsidRDefault="007C4598"/>
    <w:p w14:paraId="1B326C9A" w14:textId="77777777" w:rsidR="007C4598" w:rsidRDefault="00000000">
      <w:pPr>
        <w:pStyle w:val="Titolo2"/>
        <w:spacing w:before="200" w:after="100"/>
      </w:pPr>
      <w:r>
        <w:rPr>
          <w:sz w:val="22"/>
          <w:szCs w:val="22"/>
        </w:rPr>
        <w:t>10.4.5  La graduazione, i confini e il rapporto con le altre misure</w:t>
      </w:r>
    </w:p>
    <w:p w14:paraId="787D0404" w14:textId="77777777" w:rsidR="007C4598" w:rsidRDefault="007C4598"/>
    <w:p w14:paraId="6F1016DE" w14:textId="77777777" w:rsidR="007C4598" w:rsidRDefault="00000000">
      <w:pPr>
        <w:jc w:val="both"/>
      </w:pPr>
      <w:r>
        <w:t>La solidità della sintesi multi-criterio va dichiarata, distinguendone le componenti. I punteggi sui criteri economici e di salute — l’efficacia, il ritorno, la sostenibilità — ereditano la graduazione delle valutazioni economiche da cui sono tratti, ed hanno perciò il fondamento più solido, perché poggiano su grandezze quantificate nelle voci precedenti. I punteggi sui criteri non economici — l’equità, la fattibilità, l’innovazione — hanno un fondamento più qualitativo, perché esprimono valutazioni su dimensioni non riducibili a grandezze monetarie, e sono perciò soggetti a maggiore margine di apprezzamento; essi sono attribuiti sulla base dei risultati delle parti pertinenti, ma la loro traduzione in punteggio comporta un grado di giudizio che va riconosciuto. I pesi, attribuiti in modo canonico, esprimono una gerarchia di importanza che è anch’essa frutto di giudizio, ancorché dichiarato e uniforme per la serie regionale; e l’analisi di sensibilità, mostrando la stabilità del punteggio al variare dei pesi, attenua la dipendenza della valutazione da tale giudizio. Il punteggio composito è perciò una valutazione robusta nel suo ordine di grandezza, ma da leggere come sintesi di valutazioni in parte quantitative e in parte qualitative, e non come una misura di precisione puntuale.</w:t>
      </w:r>
      <w:r>
        <w:rPr>
          <w:color w:val="555555"/>
          <w:sz w:val="16"/>
          <w:szCs w:val="16"/>
          <w:vertAlign w:val="superscript"/>
        </w:rPr>
        <w:t>[18]</w:t>
      </w:r>
    </w:p>
    <w:p w14:paraId="574A47CB" w14:textId="77777777" w:rsidR="007C4598" w:rsidRDefault="007C4598"/>
    <w:p w14:paraId="57B12E68" w14:textId="77777777" w:rsidR="007C4598" w:rsidRDefault="00000000">
      <w:pPr>
        <w:jc w:val="both"/>
      </w:pPr>
      <w:r>
        <w:t>Da questa graduazione discendono i confini della sintesi multi-criterio e il suo rapporto con le altre voci. In primo luogo, la sintesi multi-criterio non sostituisce le valutazioni economiche, ma le ricompone con i criteri non economici in una valutazione complessiva; essa va letta come la sintesi delle dimensioni rilevanti per la decisione, non come una misura economica autonoma. In secondo luogo, il punteggio composito non è una grandezza monetaria, e non va confuso né sommato con le grandezze economiche delle altre voci; esso è un indice sintetico su scala convenzionale, che esprime il valore complessivo della riforma su tutti i criteri, non un valore economico. In terzo luogo, la sintesi multi-criterio è riferita ai criteri e ai pesi canonici dello studio, e la sua robustezza è saggiata rispetto alla scelta dei pesi, ma non rispetto alla scelta dei criteri, che è assunta come data; una diversa selezione dei criteri produrrebbe una diversa valutazione, e la valutazione va perciò letta entro la cornice dei criteri adottati. La sintesi multi-criterio stabilisce così la valutazione complessiva della riforma su tutte le dimensioni rilevanti — nettamente favorevole, dell’ordine di tre quarti della scala, e robusta rispetto ai pesi — e la consegna alla valutazione integrata come sintesi delle dimensioni. Stabilite tutte le dimensioni e la loro sintesi, la valutazione integrata può ora comporre il saldo economico consolidato, che le ricompone tutte in un quadro unitario.</w:t>
      </w:r>
    </w:p>
    <w:p w14:paraId="434E28B1" w14:textId="77777777" w:rsidR="007C4598" w:rsidRDefault="007C4598"/>
    <w:p w14:paraId="287BF122" w14:textId="77777777" w:rsidR="007C4598" w:rsidRDefault="00000000">
      <w:pPr>
        <w:pStyle w:val="Titolo1"/>
        <w:pageBreakBefore/>
      </w:pPr>
      <w:r>
        <w:rPr>
          <w:sz w:val="22"/>
          <w:szCs w:val="22"/>
        </w:rPr>
        <w:t>10.5  Il saldo economico consolidato per scenario</w:t>
      </w:r>
    </w:p>
    <w:p w14:paraId="35DE6F3B" w14:textId="77777777" w:rsidR="007C4598" w:rsidRDefault="007C4598"/>
    <w:p w14:paraId="315E0805" w14:textId="77777777" w:rsidR="007C4598" w:rsidRDefault="00000000">
      <w:pPr>
        <w:jc w:val="both"/>
      </w:pPr>
      <w:r>
        <w:rPr>
          <w:i/>
          <w:iCs/>
        </w:rPr>
        <w:t>La quinta e conclusiva voce della valutazione integrata compone il saldo economico consolidato, che ricompone in un quadro unitario tutte le grandezze stabilite dalle parti precedenti e dalle voci di questa parte, e che costituisce la sintesi quantitativa della rinegoziazione integrale dei costi e dei benefici. Il saldo consolidato non è una somma, ma una composizione che tiene rigorosamente distinte le tre dimensioni del valore della riforma — la fiscale diretta, la sociale indiretta e quella di salute — e che le presenta affiancate, in colonne separate, sì che il decisore apprezzi ciascuna nella sua natura senza che l’una sia confusa con le altre. La voce espone la logica del saldo consolidato e la regola di separazione che lo governa, ricompone le tre dimensioni nei loro ordini di grandezza, presenta la tabella master del saldo consolidato per scenario, e ne trae il verdetto complessivo: la riforma è prossima al pareggio sul conto fiscale diretto, nettamente costo-efficace sul conto della salute, e fortemente positiva sul conto sociale, e la convergenza delle tre dimensioni, nessuna sommata alle altre, costituisce la forma più solida del giudizio favorevole.</w:t>
      </w:r>
    </w:p>
    <w:p w14:paraId="7F667CA2" w14:textId="77777777" w:rsidR="007C4598" w:rsidRDefault="007C4598"/>
    <w:p w14:paraId="19C8445F" w14:textId="77777777" w:rsidR="007C4598" w:rsidRDefault="00000000">
      <w:pPr>
        <w:pStyle w:val="Titolo2"/>
        <w:spacing w:before="200" w:after="100"/>
      </w:pPr>
      <w:r>
        <w:rPr>
          <w:sz w:val="22"/>
          <w:szCs w:val="22"/>
        </w:rPr>
        <w:t>10.5.1  La logica del saldo consolidato e la regola di separazione</w:t>
      </w:r>
    </w:p>
    <w:p w14:paraId="32F3AB2F" w14:textId="77777777" w:rsidR="007C4598" w:rsidRDefault="007C4598"/>
    <w:p w14:paraId="48FAE62B" w14:textId="77777777" w:rsidR="007C4598" w:rsidRDefault="00000000">
      <w:pPr>
        <w:jc w:val="both"/>
      </w:pPr>
      <w:r>
        <w:t>Il saldo economico consolidato è la ricomposizione, in un quadro unitario, di tutte le grandezze economiche stabilite dallo studio: i costi diretti dell’investimento, i risparmi fiscali diretti, i benefici sociali indiretti, i guadagni di salute e il loro valore, e le misure di sintesi — i rapporti, il rapporto costo-efficacia, il rendimento sociale, il punteggio multi-criterio. Esso è il quadro complessivo del valore economico della riforma, che ne riunisce le componenti e ne mostra il rapporto reciproco. Ma il saldo consolidato non è una somma algebrica di tutte le grandezze in un’unica cifra, perché le grandezze appartengono a categorie distinte, che la regola di non duplicazione impone di tenere separate. Il saldo consolidato è perciò una composizione, non una somma: esso presenta le grandezze affiancate, raggruppate per dimensione, e ne mostra il rapporto, ma non le riduce a un’unica cifra che ne confonderebbe la natura.</w:t>
      </w:r>
      <w:r>
        <w:rPr>
          <w:color w:val="555555"/>
          <w:sz w:val="16"/>
          <w:szCs w:val="16"/>
          <w:vertAlign w:val="superscript"/>
        </w:rPr>
        <w:t>[19]</w:t>
      </w:r>
    </w:p>
    <w:p w14:paraId="5C5CCD05" w14:textId="77777777" w:rsidR="007C4598" w:rsidRDefault="007C4598"/>
    <w:p w14:paraId="6F322B01" w14:textId="77777777" w:rsidR="007C4598" w:rsidRDefault="00000000">
      <w:pPr>
        <w:jc w:val="both"/>
      </w:pPr>
      <w:r>
        <w:t>La regola di separazione che governa il saldo consolidato distingue tre dimensioni del valore della riforma, ciascuna di natura diversa, e impone di non sommarle in un’unica cifra. La prima è la dimensione fiscale diretta, che attiene al bilancio sanitario regionale: essa comprende i costi diretti dell’investimento e i risparmi fiscali diretti, la cui differenza è la posizione fiscale netta della riforma per il bilancio sanitario. La seconda è la dimensione sociale indiretta, che attiene al tessuto economico e sociale: essa comprende i benefici sociali indiretti, che gravano su una pluralità di bilanci e di soggetti distinti dal bilancio sanitario. La terza è la dimensione di salute, che attiene al valore intrinseco della salute prodotta: essa comprende i guadagni di salute e il loro valore monetizzato. Le tre dimensioni sono di natura diversa — fiscale la prima, sociale la seconda, di salute la terza — e la loro somma in un’unica cifra confonderebbe ciò che è distinto: il risparmio per il bilancio sanitario non è il beneficio per il tessuto sociale, né l’uno né l’altro sono il valore della salute. Il saldo consolidato tiene perciò le tre dimensioni rigorosamente distinte, in colonne separate, e ne mostra il rapporto senza fonderle; ed è in questa separazione che risiede il rigore del saldo, che restituisce al decisore le tre dimensioni nella loro natura, perché egli le apprezzi ciascuna per quello che è.</w:t>
      </w:r>
    </w:p>
    <w:p w14:paraId="72A8BEAB" w14:textId="77777777" w:rsidR="007C4598" w:rsidRDefault="007C4598"/>
    <w:p w14:paraId="4EA7A952" w14:textId="77777777" w:rsidR="007C4598" w:rsidRDefault="00000000">
      <w:pPr>
        <w:pStyle w:val="Titolo2"/>
        <w:spacing w:before="200" w:after="100"/>
      </w:pPr>
      <w:r>
        <w:rPr>
          <w:sz w:val="22"/>
          <w:szCs w:val="22"/>
        </w:rPr>
        <w:t>10.5.2  La dimensione fiscale diretta</w:t>
      </w:r>
    </w:p>
    <w:p w14:paraId="11178ABB" w14:textId="77777777" w:rsidR="007C4598" w:rsidRDefault="007C4598"/>
    <w:p w14:paraId="4F31D68A" w14:textId="77777777" w:rsidR="007C4598" w:rsidRDefault="00000000">
      <w:pPr>
        <w:jc w:val="both"/>
      </w:pPr>
      <w:r>
        <w:t xml:space="preserve">La dimensione fiscale diretta del saldo consolidato attiene al bilancio sanitario regionale, e si compone dei costi diretti dell’investimento e dei risparmi fiscali diretti, la cui differenza è la posizione fiscale netta della riforma per il bilancio sanitario. I costi diretti dell’investimento, stabiliti dalla settima parte, sono dell’ordine di venticinque, trentotto e cinquanta milioni di euro l’anno nei tre scenari; i risparmi fiscali diretti, stabiliti dall’ottava parte, sono dell’ordine di venti, trentaquattro e cinquanta milioni di euro l’anno nei tre scenari, soggetti al </w:t>
      </w:r>
      <w:proofErr w:type="spellStart"/>
      <w:r>
        <w:t>caveat</w:t>
      </w:r>
      <w:proofErr w:type="spellEnd"/>
      <w:r>
        <w:t xml:space="preserve"> dell’IMPACT trial sulla loro significatività. La posizione fiscale netta della riforma per il bilancio sanitario, differenza tra i costi e i risparmi, è dell’ordine di un onere netto di cinque, quattro e zero milioni di euro l’anno nei tre scenari a regime: la riforma comporta, sul conto fiscale diretto, un onere netto contenuto nello scenario conservativo, ancor più contenuto nell’intermedio, e nullo nell’espansivo, dove i risparmi diretti eguagliano i costi. Sul conto fiscale diretto, dunque, la riforma è prossima al pareggio a regime: essa quasi si autofinanzia attraverso i risparmi che genera per il bilancio sanitario, tanto più quanto più ampio è il dimensionamento, fino al pareggio nello scenario espansivo. Questa prossimità al pareggio va letta nella consapevolezza del </w:t>
      </w:r>
      <w:proofErr w:type="spellStart"/>
      <w:r>
        <w:t>caveat</w:t>
      </w:r>
      <w:proofErr w:type="spellEnd"/>
      <w:r>
        <w:t xml:space="preserve"> dell’IMPACT trial, che, non garantendo la significatività dei risparmi, rende l’onere netto potenzialmente maggiore nell’ipotesi prudenziale in cui i risparmi non si manifestino; ma anche in tale ipotesi, l’onere netto coincide con il costo diretto, contenuto entro frazioni dell’uno per cento del Fondo Sanitario Regionale, come la seconda voce ha stabilito.</w:t>
      </w:r>
    </w:p>
    <w:p w14:paraId="46004539" w14:textId="77777777" w:rsidR="007C4598" w:rsidRDefault="007C4598"/>
    <w:p w14:paraId="136C746D" w14:textId="77777777" w:rsidR="007C4598" w:rsidRDefault="00000000">
      <w:pPr>
        <w:pStyle w:val="Titolo2"/>
        <w:spacing w:before="200" w:after="100"/>
      </w:pPr>
      <w:r>
        <w:rPr>
          <w:sz w:val="22"/>
          <w:szCs w:val="22"/>
        </w:rPr>
        <w:t>10.5.3  La dimensione sociale indiretta</w:t>
      </w:r>
    </w:p>
    <w:p w14:paraId="42BB2F79" w14:textId="77777777" w:rsidR="007C4598" w:rsidRDefault="007C4598"/>
    <w:p w14:paraId="2218FF70" w14:textId="77777777" w:rsidR="007C4598" w:rsidRDefault="00000000">
      <w:pPr>
        <w:jc w:val="both"/>
      </w:pPr>
      <w:r>
        <w:t xml:space="preserve">La dimensione sociale indiretta del saldo consolidato attiene al tessuto economico e sociale, e si compone dei benefici sociali indiretti che la riforma genera sui sedici domini del perimetro multidisciplinare integrale. I benefici sociali indiretti netti, stabiliti dalla nona parte, sono dell’ordine di sessantacinque, novantotto e </w:t>
      </w:r>
      <w:proofErr w:type="spellStart"/>
      <w:r>
        <w:t>centotrentanove</w:t>
      </w:r>
      <w:proofErr w:type="spellEnd"/>
      <w:r>
        <w:t xml:space="preserve"> milioni di euro l’anno nei tre scenari, depurati delle duplicazioni e verificati con l’ancora di </w:t>
      </w:r>
      <w:proofErr w:type="spellStart"/>
      <w:r>
        <w:t>Chisholm</w:t>
      </w:r>
      <w:proofErr w:type="spellEnd"/>
      <w:r>
        <w:t xml:space="preserve">. Questi benefici gravano su una pluralità di bilanci e di soggetti distinti dal bilancio sanitario — le imprese, le famiglie, gli istituti previdenziali e assistenziali, la collettività — e rappresentano il valore economico-sociale che la riforma genera sull’intero tessuto della regione, eccedente l’ambito sanitario. Il rapporto tra i benefici sociali indiretti e il costo diretto dell’investimento, stabilito dalla nona parte, è dell’ordine di 2,6 a 1 negli scenari conservativo e intermedio e di 2,8 a 1 nello scenario espansivo, e si colloca entro la prima fascia di </w:t>
      </w:r>
      <w:proofErr w:type="spellStart"/>
      <w:r>
        <w:t>Chisholm</w:t>
      </w:r>
      <w:proofErr w:type="spellEnd"/>
      <w:r>
        <w:t>, compresa tra 2,3 e 3,0 a 1. Sul conto sociale, dunque, la riforma è fortemente positiva: essa genera, per il tessuto economico e sociale, un beneficio dell’ordine di due volte e mezza il costo dell’investimento, entro la fascia di rendimento che la letteratura internazionale associa agli investimenti in salute mentale. Questo beneficio sociale è il vero ritorno della riforma per la collettività, e accompagna la prossimità al pareggio sul conto fiscale diretto come ritorno sui bilanci esterni a quello sanitario.</w:t>
      </w:r>
    </w:p>
    <w:p w14:paraId="340C344B" w14:textId="77777777" w:rsidR="007C4598" w:rsidRDefault="007C4598"/>
    <w:p w14:paraId="533EFB75" w14:textId="77777777" w:rsidR="007C4598" w:rsidRDefault="00000000">
      <w:pPr>
        <w:pStyle w:val="Titolo2"/>
        <w:spacing w:before="200" w:after="100"/>
      </w:pPr>
      <w:r>
        <w:rPr>
          <w:sz w:val="22"/>
          <w:szCs w:val="22"/>
        </w:rPr>
        <w:t>10.5.4  La dimensione di salute</w:t>
      </w:r>
    </w:p>
    <w:p w14:paraId="3241AC05" w14:textId="77777777" w:rsidR="007C4598" w:rsidRDefault="007C4598"/>
    <w:p w14:paraId="1C71009A" w14:textId="77777777" w:rsidR="007C4598" w:rsidRDefault="00000000">
      <w:pPr>
        <w:jc w:val="both"/>
      </w:pPr>
      <w:r>
        <w:t xml:space="preserve">La dimensione di salute del saldo consolidato attiene al valore intrinseco della salute prodotta, e si compone dei guadagni di salute — gli anni di vita in buona salute guadagnati — e del loro valore monetizzato. I guadagni di salute, stabiliti dalla prima voce di questa parte, sono dell’ordine di milletrecento, duemiladuecento e </w:t>
      </w:r>
      <w:proofErr w:type="spellStart"/>
      <w:r>
        <w:t>tremilacento</w:t>
      </w:r>
      <w:proofErr w:type="spellEnd"/>
      <w:r>
        <w:t xml:space="preserve"> anni di vita in buona salute guadagnati l’anno nei tre scenari; il loro valore monetizzato, al valore convenzionale dell’anno di vita in buona salute, è dell’ordine di trentanove, sessantasei e novantatré milioni di euro l’anno nei tre scenari. Il rapporto incrementale costo-efficacia, costo per anno di vita in buona salute guadagnato, è dell’ordine di diciassettemila euro nello scenario intermedio, e si colloca, in tutti gli scenari, ampiamente al di sotto della soglia convenzionale di venticinque-quarantamila euro. Sul conto della salute, dunque, la riforma è nettamente costo-efficace: essa produce anni di vita in buona salute a un costo unitario sensibilmente inferiore a quello che il sistema sanitario è convenzionalmente disposto a sostenere, e questa costo-efficacia è il risultato più robusto dell’intera valutazione, perché non dipende né dai risparmi diretti né dai benefici indiretti, ma soltanto dal rapporto tra il costo e la salute prodotta. Il valore della salute prodotta, composto con i benefici economici, sospinge inoltre il rendimento della riforma nella fascia superiore di </w:t>
      </w:r>
      <w:proofErr w:type="spellStart"/>
      <w:r>
        <w:t>Chisholm</w:t>
      </w:r>
      <w:proofErr w:type="spellEnd"/>
      <w:r>
        <w:t>, compresa tra 3,3 e 5,7 a 1, come la prima voce ha stabilito.</w:t>
      </w:r>
    </w:p>
    <w:p w14:paraId="3630E40B" w14:textId="77777777" w:rsidR="007C4598" w:rsidRDefault="007C4598"/>
    <w:p w14:paraId="0CA95A82" w14:textId="77777777" w:rsidR="007C4598" w:rsidRDefault="00000000">
      <w:pPr>
        <w:pStyle w:val="Titolo2"/>
        <w:spacing w:before="200" w:after="100"/>
      </w:pPr>
      <w:r>
        <w:rPr>
          <w:sz w:val="22"/>
          <w:szCs w:val="22"/>
        </w:rPr>
        <w:t>10.5.5  Il saldo consolidato: la tabella master e il verdetto complessivo</w:t>
      </w:r>
    </w:p>
    <w:p w14:paraId="5801DEE7" w14:textId="77777777" w:rsidR="007C4598" w:rsidRDefault="007C4598"/>
    <w:p w14:paraId="5AD12E2A" w14:textId="77777777" w:rsidR="007C4598" w:rsidRDefault="00000000">
      <w:pPr>
        <w:jc w:val="both"/>
      </w:pPr>
      <w:r>
        <w:t>La tabella master del saldo consolidato ricompone le tre dimensioni e le misure di sintesi in un quadro unitario, per ciascuno scenario, tenendo le dimensioni rigorosamente distinte. Essa presenta, per ciascuno scenario, le grandezze della dimensione fiscale diretta, della dimensione sociale indiretta e della dimensione di salute, e le misure di sintesi che ne compongono i rapporti, senza sommare le dimensioni in un’unica cifra. La tabella è la sintesi quantitativa conclusiva della rinegoziazione integrale dei costi e dei benefici.</w:t>
      </w:r>
    </w:p>
    <w:p w14:paraId="25E4F0D4"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4AF6F204"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AF7BA40" w14:textId="77777777" w:rsidR="007C4598" w:rsidRDefault="00000000">
            <w:pPr>
              <w:spacing w:after="40"/>
            </w:pPr>
            <w:r>
              <w:rPr>
                <w:b/>
                <w:bCs/>
                <w:color w:val="FFFFFF"/>
                <w:sz w:val="18"/>
                <w:szCs w:val="18"/>
              </w:rPr>
              <w:t>Saldo economico consolidato per scenario (le tre dimensioni tenute distinte)</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CB0FCCB" w14:textId="77777777" w:rsidR="007C4598" w:rsidRDefault="00000000">
            <w:pPr>
              <w:spacing w:after="40"/>
            </w:pPr>
            <w:proofErr w:type="spellStart"/>
            <w:r>
              <w:rPr>
                <w:b/>
                <w:bCs/>
                <w:color w:val="FFFFFF"/>
                <w:sz w:val="18"/>
                <w:szCs w:val="18"/>
              </w:rPr>
              <w:t>Conserv</w:t>
            </w:r>
            <w:proofErr w:type="spellEnd"/>
            <w:r>
              <w:rPr>
                <w:b/>
                <w:bCs/>
                <w:color w:val="FFFFFF"/>
                <w:sz w:val="18"/>
                <w:szCs w:val="18"/>
              </w:rPr>
              <w:t>.</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CDEE5E4" w14:textId="77777777" w:rsidR="007C4598" w:rsidRDefault="00000000">
            <w:pPr>
              <w:spacing w:after="40"/>
            </w:pPr>
            <w:proofErr w:type="spellStart"/>
            <w:r>
              <w:rPr>
                <w:b/>
                <w:bCs/>
                <w:color w:val="FFFFFF"/>
                <w:sz w:val="18"/>
                <w:szCs w:val="18"/>
              </w:rPr>
              <w:t>Interm</w:t>
            </w:r>
            <w:proofErr w:type="spellEnd"/>
            <w:r>
              <w:rPr>
                <w:b/>
                <w:bCs/>
                <w:color w:val="FFFFFF"/>
                <w:sz w:val="18"/>
                <w:szCs w:val="18"/>
              </w:rPr>
              <w:t>.</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E26361D" w14:textId="77777777" w:rsidR="007C4598" w:rsidRDefault="00000000">
            <w:pPr>
              <w:spacing w:after="40"/>
            </w:pPr>
            <w:proofErr w:type="spellStart"/>
            <w:r>
              <w:rPr>
                <w:b/>
                <w:bCs/>
                <w:color w:val="FFFFFF"/>
                <w:sz w:val="18"/>
                <w:szCs w:val="18"/>
              </w:rPr>
              <w:t>Espan</w:t>
            </w:r>
            <w:proofErr w:type="spellEnd"/>
            <w:r>
              <w:rPr>
                <w:b/>
                <w:bCs/>
                <w:color w:val="FFFFFF"/>
                <w:sz w:val="18"/>
                <w:szCs w:val="18"/>
              </w:rPr>
              <w:t>.</w:t>
            </w:r>
          </w:p>
        </w:tc>
      </w:tr>
      <w:tr w:rsidR="007C4598" w14:paraId="017CB6E0"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EAF6A7A" w14:textId="77777777" w:rsidR="007C4598" w:rsidRDefault="00000000">
            <w:pPr>
              <w:spacing w:after="40"/>
            </w:pPr>
            <w:r>
              <w:t>Investimento — costo diretto, mln €/anno (dimensione fiscale)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A94C129" w14:textId="77777777" w:rsidR="007C4598" w:rsidRDefault="00000000">
            <w:pPr>
              <w:spacing w:after="40"/>
            </w:pPr>
            <w:r>
              <w:t>~25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7C2F885" w14:textId="77777777" w:rsidR="007C4598" w:rsidRDefault="00000000">
            <w:pPr>
              <w:spacing w:after="40"/>
            </w:pPr>
            <w:r>
              <w:t>~38</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DC4C9C0" w14:textId="77777777" w:rsidR="007C4598" w:rsidRDefault="00000000">
            <w:pPr>
              <w:spacing w:after="40"/>
            </w:pPr>
            <w:r>
              <w:t>~50</w:t>
            </w:r>
          </w:p>
        </w:tc>
      </w:tr>
      <w:tr w:rsidR="007C4598" w14:paraId="2393C37E"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880670C" w14:textId="77777777" w:rsidR="007C4598" w:rsidRDefault="00000000">
            <w:pPr>
              <w:spacing w:after="40"/>
            </w:pPr>
            <w:r>
              <w:t>Risparmi diretti — bilancio sanitario, mln €/anno (dimensione fiscale)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0FE0FA0" w14:textId="77777777" w:rsidR="007C4598" w:rsidRDefault="00000000">
            <w:pPr>
              <w:spacing w:after="40"/>
            </w:pPr>
            <w:r>
              <w:t>~20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DAA516B" w14:textId="77777777" w:rsidR="007C4598" w:rsidRDefault="00000000">
            <w:pPr>
              <w:spacing w:after="40"/>
            </w:pPr>
            <w:r>
              <w:t>~34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A024166" w14:textId="77777777" w:rsidR="007C4598" w:rsidRDefault="00000000">
            <w:pPr>
              <w:spacing w:after="40"/>
            </w:pPr>
            <w:r>
              <w:t>~50</w:t>
            </w:r>
          </w:p>
        </w:tc>
      </w:tr>
      <w:tr w:rsidR="007C4598" w14:paraId="6229BD68"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6BF7FA7" w14:textId="77777777" w:rsidR="007C4598" w:rsidRDefault="00000000">
            <w:pPr>
              <w:spacing w:after="40"/>
            </w:pPr>
            <w:r>
              <w:t>Posizione fiscale netta a regime, mln €/anno (dimensione fiscale)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B91236E" w14:textId="77777777" w:rsidR="007C4598" w:rsidRDefault="00000000">
            <w:pPr>
              <w:spacing w:after="40"/>
            </w:pPr>
            <w:r>
              <w:t>~ −5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A08ECE1" w14:textId="77777777" w:rsidR="007C4598" w:rsidRDefault="00000000">
            <w:pPr>
              <w:spacing w:after="40"/>
            </w:pPr>
            <w:r>
              <w:t>~ −4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3745D3D" w14:textId="77777777" w:rsidR="007C4598" w:rsidRDefault="00000000">
            <w:pPr>
              <w:spacing w:after="40"/>
            </w:pPr>
            <w:r>
              <w:t>~ 0</w:t>
            </w:r>
          </w:p>
        </w:tc>
      </w:tr>
      <w:tr w:rsidR="007C4598" w14:paraId="695225DE"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6542D39" w14:textId="77777777" w:rsidR="007C4598" w:rsidRDefault="00000000">
            <w:pPr>
              <w:spacing w:after="40"/>
            </w:pPr>
            <w:r>
              <w:t>Benefici sociali indiretti netti, mln €/anno (dimensione sociale)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657D9DF" w14:textId="77777777" w:rsidR="007C4598" w:rsidRDefault="00000000">
            <w:pPr>
              <w:spacing w:after="40"/>
            </w:pPr>
            <w:r>
              <w:t>~65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34E04B9" w14:textId="77777777" w:rsidR="007C4598" w:rsidRDefault="00000000">
            <w:pPr>
              <w:spacing w:after="40"/>
            </w:pPr>
            <w:r>
              <w:t>~98</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317F657" w14:textId="77777777" w:rsidR="007C4598" w:rsidRDefault="00000000">
            <w:pPr>
              <w:spacing w:after="40"/>
            </w:pPr>
            <w:r>
              <w:t>~139</w:t>
            </w:r>
          </w:p>
        </w:tc>
      </w:tr>
      <w:tr w:rsidR="007C4598" w14:paraId="210E15FA"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F83B3AE" w14:textId="77777777" w:rsidR="007C4598" w:rsidRDefault="00000000">
            <w:pPr>
              <w:spacing w:after="40"/>
            </w:pPr>
            <w:r>
              <w:t>Anni di vita in buona salute guadagnati l’anno (dimensione salute)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A90E19E" w14:textId="77777777" w:rsidR="007C4598" w:rsidRDefault="00000000">
            <w:pPr>
              <w:spacing w:after="40"/>
            </w:pPr>
            <w:r>
              <w:t>~1.300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32C4836" w14:textId="77777777" w:rsidR="007C4598" w:rsidRDefault="00000000">
            <w:pPr>
              <w:spacing w:after="40"/>
            </w:pPr>
            <w:r>
              <w:t>~2.200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4DB02FA" w14:textId="77777777" w:rsidR="007C4598" w:rsidRDefault="00000000">
            <w:pPr>
              <w:spacing w:after="40"/>
            </w:pPr>
            <w:r>
              <w:t>~3.100</w:t>
            </w:r>
          </w:p>
        </w:tc>
      </w:tr>
      <w:tr w:rsidR="007C4598" w14:paraId="23624635"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46DD38A" w14:textId="77777777" w:rsidR="007C4598" w:rsidRDefault="00000000">
            <w:pPr>
              <w:spacing w:after="40"/>
            </w:pPr>
            <w:r>
              <w:t>Valore monetizzato dei guadagni di salute, mln €/anno (dimensione salute)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459260D" w14:textId="77777777" w:rsidR="007C4598" w:rsidRDefault="00000000">
            <w:pPr>
              <w:spacing w:after="40"/>
            </w:pPr>
            <w:r>
              <w:t>~39</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B15C785" w14:textId="77777777" w:rsidR="007C4598" w:rsidRDefault="00000000">
            <w:pPr>
              <w:spacing w:after="40"/>
            </w:pPr>
            <w:r>
              <w:t>~66</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D940A77" w14:textId="77777777" w:rsidR="007C4598" w:rsidRDefault="00000000">
            <w:pPr>
              <w:spacing w:after="40"/>
            </w:pPr>
            <w:r>
              <w:t>~93</w:t>
            </w:r>
          </w:p>
        </w:tc>
      </w:tr>
      <w:tr w:rsidR="007C4598" w14:paraId="7D3A553B"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C2C23F7" w14:textId="77777777" w:rsidR="007C4598" w:rsidRDefault="00000000">
            <w:pPr>
              <w:spacing w:after="40"/>
            </w:pPr>
            <w:r>
              <w:t>Rapporto economico — indiretti/costo (</w:t>
            </w:r>
            <w:proofErr w:type="spellStart"/>
            <w:r>
              <w:t>Chisholm</w:t>
            </w:r>
            <w:proofErr w:type="spellEnd"/>
            <w:r>
              <w:t xml:space="preserve"> 2,3–3,0 : 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46C83DD" w14:textId="77777777" w:rsidR="007C4598" w:rsidRDefault="00000000">
            <w:pPr>
              <w:spacing w:after="40"/>
            </w:pPr>
            <w:r>
              <w:t>~2,6 : 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20B738D" w14:textId="77777777" w:rsidR="007C4598" w:rsidRDefault="00000000">
            <w:pPr>
              <w:spacing w:after="40"/>
            </w:pPr>
            <w:r>
              <w:t>~2,6 : 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C5CBFE4" w14:textId="77777777" w:rsidR="007C4598" w:rsidRDefault="00000000">
            <w:pPr>
              <w:spacing w:after="40"/>
            </w:pPr>
            <w:r>
              <w:t>~2,8 : 1</w:t>
            </w:r>
          </w:p>
        </w:tc>
      </w:tr>
      <w:tr w:rsidR="007C4598" w14:paraId="7F853753"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1E4BC9B" w14:textId="77777777" w:rsidR="007C4598" w:rsidRDefault="00000000">
            <w:pPr>
              <w:spacing w:after="40"/>
            </w:pPr>
            <w:r>
              <w:t>Rapporto con valore della salute (</w:t>
            </w:r>
            <w:proofErr w:type="spellStart"/>
            <w:r>
              <w:t>Chisholm</w:t>
            </w:r>
            <w:proofErr w:type="spellEnd"/>
            <w:r>
              <w:t xml:space="preserve"> 3,3–5,7 : 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F247007" w14:textId="77777777" w:rsidR="007C4598" w:rsidRDefault="00000000">
            <w:pPr>
              <w:spacing w:after="40"/>
            </w:pPr>
            <w:r>
              <w:t>~4,2 : 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3EAC80F" w14:textId="77777777" w:rsidR="007C4598" w:rsidRDefault="00000000">
            <w:pPr>
              <w:spacing w:after="40"/>
            </w:pPr>
            <w:r>
              <w:t>~4,3 : 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109C988" w14:textId="77777777" w:rsidR="007C4598" w:rsidRDefault="00000000">
            <w:pPr>
              <w:spacing w:after="40"/>
            </w:pPr>
            <w:r>
              <w:t>~4,6 : 1</w:t>
            </w:r>
          </w:p>
        </w:tc>
      </w:tr>
      <w:tr w:rsidR="007C4598" w14:paraId="4C7BE9AA"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4A871F3" w14:textId="77777777" w:rsidR="007C4598" w:rsidRDefault="00000000">
            <w:pPr>
              <w:spacing w:after="40"/>
            </w:pPr>
            <w:r>
              <w:t>Costo-efficacia — ICER, € per anno di vita in buona salute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D28486D" w14:textId="77777777" w:rsidR="007C4598" w:rsidRDefault="00000000">
            <w:pPr>
              <w:spacing w:after="40"/>
            </w:pPr>
            <w:r>
              <w:t>~19.200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D6F4C92" w14:textId="77777777" w:rsidR="007C4598" w:rsidRDefault="00000000">
            <w:pPr>
              <w:spacing w:after="40"/>
            </w:pPr>
            <w:r>
              <w:t>~17.300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1D9681D" w14:textId="77777777" w:rsidR="007C4598" w:rsidRDefault="00000000">
            <w:pPr>
              <w:spacing w:after="40"/>
            </w:pPr>
            <w:r>
              <w:t>~16.100</w:t>
            </w:r>
          </w:p>
        </w:tc>
      </w:tr>
      <w:tr w:rsidR="007C4598" w14:paraId="342CF7BF"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8C00363" w14:textId="77777777" w:rsidR="007C4598" w:rsidRDefault="00000000">
            <w:pPr>
              <w:spacing w:after="40"/>
            </w:pPr>
            <w:r>
              <w:t>Rendimento sociale netto — SROI (dopo deflatori)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94EC4A2" w14:textId="77777777" w:rsidR="007C4598" w:rsidRDefault="00000000">
            <w:pPr>
              <w:spacing w:after="40"/>
            </w:pPr>
            <w:r>
              <w:t>~3,1 : 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DDA4242" w14:textId="77777777" w:rsidR="007C4598" w:rsidRDefault="00000000">
            <w:pPr>
              <w:spacing w:after="40"/>
            </w:pPr>
            <w:r>
              <w:t>~3,2 : 1</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92CBBCA" w14:textId="77777777" w:rsidR="007C4598" w:rsidRDefault="00000000">
            <w:pPr>
              <w:spacing w:after="40"/>
            </w:pPr>
            <w:r>
              <w:t>~3,5 : 1</w:t>
            </w:r>
          </w:p>
        </w:tc>
      </w:tr>
      <w:tr w:rsidR="007C4598" w14:paraId="0D6B93D8"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C29192D" w14:textId="77777777" w:rsidR="007C4598" w:rsidRDefault="00000000">
            <w:pPr>
              <w:spacing w:after="40"/>
            </w:pPr>
            <w:r>
              <w:t>Punteggio composito multi-criterio (0–100)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FB7B56F" w14:textId="77777777" w:rsidR="007C4598" w:rsidRDefault="00000000">
            <w:pPr>
              <w:spacing w:after="40"/>
            </w:pPr>
            <w:r>
              <w:t>~75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5B80DE3" w14:textId="77777777" w:rsidR="007C4598" w:rsidRDefault="00000000">
            <w:pPr>
              <w:spacing w:after="40"/>
            </w:pPr>
            <w:r>
              <w:t>~77</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0F97789" w14:textId="77777777" w:rsidR="007C4598" w:rsidRDefault="00000000">
            <w:pPr>
              <w:spacing w:after="40"/>
            </w:pPr>
            <w:r>
              <w:t>~78</w:t>
            </w:r>
          </w:p>
        </w:tc>
      </w:tr>
    </w:tbl>
    <w:p w14:paraId="73138D79" w14:textId="77777777" w:rsidR="007C4598" w:rsidRDefault="007C4598"/>
    <w:p w14:paraId="50274A26" w14:textId="77777777" w:rsidR="007C4598" w:rsidRDefault="00000000">
      <w:pPr>
        <w:jc w:val="both"/>
      </w:pPr>
      <w:r>
        <w:rPr>
          <w:i/>
          <w:iCs/>
        </w:rPr>
        <w:t xml:space="preserve">Tabella 10.14 — Saldo economico consolidato della riforma per scenario: la tabella master che ricompone le tre dimensioni del valore — fiscale diretta, sociale indiretta e di salute — e le misure di sintesi, tenendo le dimensioni rigorosamente distinte e senza sommarle in un’unica cifra. La posizione fiscale netta è prossima al pareggio; il rapporto sociale è entro la prima fascia di </w:t>
      </w:r>
      <w:proofErr w:type="spellStart"/>
      <w:r>
        <w:rPr>
          <w:i/>
          <w:iCs/>
        </w:rPr>
        <w:t>Chisholm</w:t>
      </w:r>
      <w:proofErr w:type="spellEnd"/>
      <w:r>
        <w:rPr>
          <w:i/>
          <w:iCs/>
        </w:rPr>
        <w:t>; il rapporto con valore della salute entro la seconda; il costo-efficacia ampiamente sotto soglia; il rendimento sociale netto e il punteggio multi-criterio confermano il valore complessivo.</w:t>
      </w:r>
    </w:p>
    <w:p w14:paraId="0E5482ED" w14:textId="77777777" w:rsidR="007C4598" w:rsidRDefault="007C4598"/>
    <w:p w14:paraId="5B2F7FE2" w14:textId="77777777" w:rsidR="007C4598" w:rsidRDefault="00000000">
      <w:pPr>
        <w:jc w:val="both"/>
      </w:pPr>
      <w:r>
        <w:t xml:space="preserve">La tabella master del saldo consolidato restituisce il verdetto complessivo della rinegoziazione integrale, e lo restituisce nella forma che è propria del rigore: non un’unica cifra, ma la composizione di tre dimensioni distinte, ciascuna delle quali esprime un giudizio favorevole sul proprio piano. Sul conto fiscale diretto, che attiene al bilancio sanitario regionale, la riforma è prossima al pareggio a regime: i risparmi diretti quasi eguagliano i costi, con un onere netto contenuto che si annulla nello scenario espansivo, sì che la riforma quasi si autofinanzia attraverso i risparmi che genera per il bilancio sanitario. Sul conto della salute, che attiene al valore intrinseco della salute prodotta, la riforma è nettamente costo-efficace: essa produce anni di vita in buona salute a un costo unitario ampiamente inferiore alla soglia convenzionale, e questa costo-efficacia è il risultato più robusto della valutazione, indenne dai </w:t>
      </w:r>
      <w:proofErr w:type="spellStart"/>
      <w:r>
        <w:t>caveat</w:t>
      </w:r>
      <w:proofErr w:type="spellEnd"/>
      <w:r>
        <w:t xml:space="preserve"> che gravano sulle altre grandezze. Sul conto sociale, che attiene al tessuto economico e sociale, la riforma è fortemente positiva: essa genera, per la collettività, un beneficio dell’ordine di due volte e mezza il costo, entro la fascia di </w:t>
      </w:r>
      <w:proofErr w:type="spellStart"/>
      <w:r>
        <w:t>Chisholm</w:t>
      </w:r>
      <w:proofErr w:type="spellEnd"/>
      <w:r>
        <w:t>, che sale verso la fascia superiore con l’aggiunta del valore della salute. Le tre dimensioni, tenute distinte, convergono dunque in un giudizio favorevole, ciascuna sul proprio piano.</w:t>
      </w:r>
      <w:r>
        <w:rPr>
          <w:color w:val="555555"/>
          <w:sz w:val="16"/>
          <w:szCs w:val="16"/>
          <w:vertAlign w:val="superscript"/>
        </w:rPr>
        <w:t>[20]</w:t>
      </w:r>
    </w:p>
    <w:p w14:paraId="4849ED5F" w14:textId="77777777" w:rsidR="007C4598" w:rsidRDefault="007C4598"/>
    <w:p w14:paraId="57244168" w14:textId="77777777" w:rsidR="007C4598" w:rsidRDefault="00000000">
      <w:pPr>
        <w:jc w:val="both"/>
      </w:pPr>
      <w:r>
        <w:t>La convergenza delle tre dimensioni in un giudizio favorevole, ciascuna sul proprio piano, costituisce la forma più solida del giudizio sulla riforma, più solida di quanto sarebbe un giudizio fondato su un’unica dimensione o su un’unica cifra. Un giudizio fondato su un’unica cifra — la somma di tutte le grandezze — sarebbe fragile, perché confonderebbe dimensioni distinte e dipenderebbe dalle assunzioni più incerte; un giudizio fondato sulla convergenza di tre dimensioni distinte, ciascuna stabilita con il proprio metodo e graduata nella propria evidenza, è robusto, perché ciascuna dimensione lo sostiene autonomamente, e la sua conclusione non dipende da nessuna singola assunzione. La riforma è favorevole non perché una cifra lo dica, ma perché tre dimensioni distinte — la fiscale, la sociale e quella di salute — lo dicono ciascuna a suo modo: essa è prossima al pareggio sul conto fiscale, costo-efficace sul conto della salute, e fortemente positiva sul conto sociale. E questo triplice giudizio favorevole, raggiunto per tre vie indipendenti e mai fuso in un’unica cifra, è il risultato della valutazione integrata, e la sintesi quantitativa della rinegoziazione integrale dei costi e dei benefici condotta dall’intero studio. Il saldo consolidato consegna dunque al decisore non una cifra, ma un giudizio articolato e robusto, fondato sulla convergenza di dimensioni distinte, ciascuna delle quali egli può apprezzare nella sua natura.</w:t>
      </w:r>
    </w:p>
    <w:p w14:paraId="24EE2234"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4E12DFC7"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EA2DC30" w14:textId="77777777" w:rsidR="007C4598" w:rsidRDefault="00000000">
            <w:pPr>
              <w:spacing w:after="40"/>
            </w:pPr>
            <w:r>
              <w:rPr>
                <w:b/>
                <w:bCs/>
                <w:color w:val="FFFFFF"/>
                <w:sz w:val="18"/>
                <w:szCs w:val="18"/>
              </w:rPr>
              <w:t xml:space="preserve">◆ SEGNAPOSTO INFOGRAFICA — FIG. 10.E · DA INSERIRE A POSTERIORI Titolo previsto: Il saldo consolidato: le tre dimensioni del valore tenute distinte — Puglia CODICE CANVA-FRIENDLY (scheda di generazione) Tipo di grafico: diagramma a tre pannelli affiancati, uno per ciascuna dimensione del valore — fiscale diretta, sociale indiretta, di salute — deliberatamente separati da linee di demarcazione, a rendere visivamente la regola di non sommabilità; ciascun pannello reca le grandezze e il giudizio della propria dimensione. Lettura: pannello fiscale (a sinistra): costo, risparmi e posizione netta prossima al pareggio, con giudizio «prossima al pareggio»; pannello sociale (al centro): benefici indiretti e rapporto entro la fascia di </w:t>
            </w:r>
            <w:proofErr w:type="spellStart"/>
            <w:r>
              <w:rPr>
                <w:b/>
                <w:bCs/>
                <w:color w:val="FFFFFF"/>
                <w:sz w:val="18"/>
                <w:szCs w:val="18"/>
              </w:rPr>
              <w:t>Chisholm</w:t>
            </w:r>
            <w:proofErr w:type="spellEnd"/>
            <w:r>
              <w:rPr>
                <w:b/>
                <w:bCs/>
                <w:color w:val="FFFFFF"/>
                <w:sz w:val="18"/>
                <w:szCs w:val="18"/>
              </w:rPr>
              <w:t xml:space="preserve">, con giudizio «fortemente positiva»; pannello salute (a destra): anni di vita guadagnati, costo-efficacia sotto soglia, con giudizio «nettamente costo-efficace»; una fascia inferiore reca le misure di sintesi (rapporto con valore salute, ICER, SROI, punteggio multi-criterio). Palette: pannello fiscale in blu </w:t>
            </w:r>
            <w:proofErr w:type="spellStart"/>
            <w:r>
              <w:rPr>
                <w:b/>
                <w:bCs/>
                <w:color w:val="FFFFFF"/>
                <w:sz w:val="18"/>
                <w:szCs w:val="18"/>
              </w:rPr>
              <w:t>navy</w:t>
            </w:r>
            <w:proofErr w:type="spellEnd"/>
            <w:r>
              <w:rPr>
                <w:b/>
                <w:bCs/>
                <w:color w:val="FFFFFF"/>
                <w:sz w:val="18"/>
                <w:szCs w:val="18"/>
              </w:rPr>
              <w:t xml:space="preserve"> #16264B; pannello sociale in blu medio #244272; pannello salute in blu #2E5AA0; giudizi e misure di sintesi in oro #C49A48; linee di demarcazione tra i pannelli in grigio #D8D8D8, marcate, a rendere la separazione.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intestazioni dei pannelli </w:t>
            </w:r>
            <w:proofErr w:type="spellStart"/>
            <w:r>
              <w:rPr>
                <w:b/>
                <w:bCs/>
                <w:color w:val="FFFFFF"/>
                <w:sz w:val="18"/>
                <w:szCs w:val="18"/>
              </w:rPr>
              <w:t>Bold</w:t>
            </w:r>
            <w:proofErr w:type="spellEnd"/>
            <w:r>
              <w:rPr>
                <w:b/>
                <w:bCs/>
                <w:color w:val="FFFFFF"/>
                <w:sz w:val="18"/>
                <w:szCs w:val="18"/>
              </w:rPr>
              <w:t xml:space="preserve">, grandezze Medium, giudizi </w:t>
            </w:r>
            <w:proofErr w:type="spellStart"/>
            <w:r>
              <w:rPr>
                <w:b/>
                <w:bCs/>
                <w:color w:val="FFFFFF"/>
                <w:sz w:val="18"/>
                <w:szCs w:val="18"/>
              </w:rPr>
              <w:t>Bold</w:t>
            </w:r>
            <w:proofErr w:type="spellEnd"/>
            <w:r>
              <w:rPr>
                <w:b/>
                <w:bCs/>
                <w:color w:val="FFFFFF"/>
                <w:sz w:val="18"/>
                <w:szCs w:val="18"/>
              </w:rPr>
              <w:t xml:space="preserve"> corsivo.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xml:space="preserve">. Valori da rappresentare (scenario intermedio): fiscale: costo 38, risparmi 34, netta −4 (≈ pareggio); sociale: indiretti 98, rapporto 2,6:1; salute: 2.200 anni di vita, ICER 17.300, valore 66. Sintesi: rapporto con valore salute 4,3:1; SROI 3,2:1; punteggio multi-criterio 77. Variante 3D (consigliata): i tre pannelli come blocchi tridimensionali affiancati e separati da uno spazio visibile, a rendere la non sommabilità; la fascia delle misure di sintesi come base comune che li sostiene senza fonderli. Fonte (piè di figura): Elaborazione dello studio; le tre dimensioni tenute rigorosamente distinte, non sommate in un’unica cifra; rapporti coerenti con il duplice intervallo di </w:t>
            </w:r>
            <w:proofErr w:type="spellStart"/>
            <w:r>
              <w:rPr>
                <w:b/>
                <w:bCs/>
                <w:color w:val="FFFFFF"/>
                <w:sz w:val="18"/>
                <w:szCs w:val="18"/>
              </w:rPr>
              <w:t>Chisholm</w:t>
            </w:r>
            <w:proofErr w:type="spellEnd"/>
            <w:r>
              <w:rPr>
                <w:b/>
                <w:bCs/>
                <w:color w:val="FFFFFF"/>
                <w:sz w:val="18"/>
                <w:szCs w:val="18"/>
              </w:rPr>
              <w:t>; costo-efficacia sotto soglia convenzionale. La figura deve rendere evidente la separazione delle tre dimensioni del valore — fiscale, sociale, di salute — deliberatamente non sommate, e la convergenza dei tre giudizi favorevoli, ciascuno sul proprio piano, come forma del giudizio complessivo sulla riforma.</w:t>
            </w:r>
          </w:p>
          <w:p w14:paraId="28E5F93A" w14:textId="77777777" w:rsidR="007C4598" w:rsidRDefault="00000000">
            <w:pPr>
              <w:spacing w:before="120" w:after="60"/>
              <w:jc w:val="center"/>
            </w:pPr>
            <w:r>
              <w:rPr>
                <w:noProof/>
              </w:rPr>
              <w:drawing>
                <wp:inline distT="0" distB="0" distL="0" distR="0" wp14:anchorId="55DB9CD3" wp14:editId="651C405D">
                  <wp:extent cx="8229600" cy="4629150"/>
                  <wp:effectExtent l="0" t="0" r="0" b="0"/>
                  <wp:docPr id="160" name="Infografica60" descr="Il saldo consolidato: le tre dimensioni del va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nfografica60"/>
                          <pic:cNvPicPr>
                            <a:picLocks noChangeAspect="1" noChangeArrowheads="1"/>
                          </pic:cNvPicPr>
                        </pic:nvPicPr>
                        <pic:blipFill>
                          <a:blip r:embed="rId109">
                            <a:extLst>
                              <a:ext uri="{96DAC541-7B7A-43D3-8B79-37D633B846F1}">
                                <asvg:svgBlip xmlns:asvg="http://schemas.microsoft.com/office/drawing/2016/SVG/main" r:embed="rId110"/>
                              </a:ext>
                            </a:extLst>
                          </a:blip>
                          <a:stretch>
                            <a:fillRect/>
                          </a:stretch>
                        </pic:blipFill>
                        <pic:spPr bwMode="auto">
                          <a:xfrm>
                            <a:off x="0" y="0"/>
                            <a:ext cx="8229600" cy="4629150"/>
                          </a:xfrm>
                          <a:prstGeom prst="rect">
                            <a:avLst/>
                          </a:prstGeom>
                          <a:noFill/>
                          <a:ln>
                            <a:noFill/>
                          </a:ln>
                        </pic:spPr>
                      </pic:pic>
                    </a:graphicData>
                  </a:graphic>
                </wp:inline>
              </w:drawing>
            </w:r>
          </w:p>
          <w:p w14:paraId="1996ED1B" w14:textId="77777777" w:rsidR="007C4598" w:rsidRDefault="00000000">
            <w:pPr>
              <w:spacing w:before="40" w:after="200"/>
              <w:jc w:val="center"/>
            </w:pPr>
            <w:r>
              <w:rPr>
                <w:i/>
                <w:color w:val="2E5A8F"/>
                <w:sz w:val="16"/>
                <w:szCs w:val="16"/>
              </w:rPr>
              <w:t>Fig. 10.E — Il saldo consolidato: le tre dimensioni del valore. Elaborazione dello studio · Luigi De Michele · Giugno 2026.</w:t>
            </w:r>
          </w:p>
        </w:tc>
      </w:tr>
    </w:tbl>
    <w:p w14:paraId="451FAD42" w14:textId="77777777" w:rsidR="007C4598" w:rsidRDefault="007C4598"/>
    <w:p w14:paraId="6B46A041" w14:textId="77777777" w:rsidR="007C4598" w:rsidRDefault="00000000">
      <w:pPr>
        <w:pStyle w:val="Titolo2"/>
        <w:spacing w:before="200" w:after="100"/>
      </w:pPr>
      <w:r>
        <w:rPr>
          <w:sz w:val="22"/>
          <w:szCs w:val="22"/>
        </w:rPr>
        <w:t>10.5.6  La graduazione, i confini e il rinvio alla modellazione</w:t>
      </w:r>
    </w:p>
    <w:p w14:paraId="0F7ED14E" w14:textId="77777777" w:rsidR="007C4598" w:rsidRDefault="007C4598"/>
    <w:p w14:paraId="0F306233" w14:textId="77777777" w:rsidR="007C4598" w:rsidRDefault="00000000">
      <w:pPr>
        <w:jc w:val="both"/>
      </w:pPr>
      <w:r>
        <w:t xml:space="preserve">La solidità del saldo consolidato eredita la graduazione delle grandezze che lo compongono, e va dichiarata distinguendone le dimensioni. La dimensione di salute, nella sua costo-efficacia, ha il fondamento più solido, perché poggia sul solo rapporto tra costo e salute, sostenuto da evidenza graduata da moderata ad alta, indenne dai </w:t>
      </w:r>
      <w:proofErr w:type="spellStart"/>
      <w:r>
        <w:t>caveat</w:t>
      </w:r>
      <w:proofErr w:type="spellEnd"/>
      <w:r>
        <w:t xml:space="preserve">. La dimensione sociale indiretta ha un fondamento solido nel suo ordine di grandezza, perché poggia sull’aggregato dei benefici indiretti verificato con l’ancora di </w:t>
      </w:r>
      <w:proofErr w:type="spellStart"/>
      <w:r>
        <w:t>Chisholm</w:t>
      </w:r>
      <w:proofErr w:type="spellEnd"/>
      <w:r>
        <w:t xml:space="preserve">, ma le sue componenti sono graduate da moderata a bassa secondo i domini. La dimensione fiscale diretta ha il fondamento più incerto nei suoi risparmi, soggetti al </w:t>
      </w:r>
      <w:proofErr w:type="spellStart"/>
      <w:r>
        <w:t>caveat</w:t>
      </w:r>
      <w:proofErr w:type="spellEnd"/>
      <w:r>
        <w:t xml:space="preserve"> dell’IMPACT trial, sì che la posizione fiscale netta va letta nelle due varianti — quella che computa i risparmi e quella prudenziale che li esclude — di cui la seconda voce ha stabilito i termini. Le misure di sintesi — i rapporti, il costo-efficacia, il rendimento sociale, il punteggio multi-criterio — ereditano la graduazione delle grandezze che compongono. Il verdetto complessivo, fondato sulla convergenza delle tre dimensioni, è robusto perché ciascuna dimensione lo sostiene autonomamente; ma le singole grandezze vanno lette ciascuna con la propria graduazione, e i valori puntuali come stime centrali di intervalli, secondo le bande prudenziali stabilite nelle voci.</w:t>
      </w:r>
      <w:r>
        <w:rPr>
          <w:color w:val="555555"/>
          <w:sz w:val="16"/>
          <w:szCs w:val="16"/>
          <w:vertAlign w:val="superscript"/>
        </w:rPr>
        <w:t>[21]</w:t>
      </w:r>
    </w:p>
    <w:p w14:paraId="4E33EF3B" w14:textId="77777777" w:rsidR="007C4598" w:rsidRDefault="007C4598"/>
    <w:p w14:paraId="396D86D2" w14:textId="77777777" w:rsidR="007C4598" w:rsidRDefault="00000000">
      <w:pPr>
        <w:jc w:val="both"/>
      </w:pPr>
      <w:r>
        <w:t>Da questa graduazione discendono i confini del saldo consolidato e il rinvio alle parti successive. In primo luogo, il saldo consolidato è la sintesi statica del valore economico della riforma a regime, riferita ai valori annui di regime; la sua proiezione nel tempo, che ne modella l’andamento dalla fase di avvio alla fase di regime e ne accumula i valori lungo l’orizzonte, è il compito della modellazione dell’undicesima parte, che proietterà le grandezze qui consolidate e ne trarrà le previsioni falsificabili sulla qualità della vita, sui bilanci regionali, sulla burocrazia e sui sistemi sanitari. In secondo luogo, il saldo consolidato presenta il valore economico complessivo, ma la sua distribuzione tra i territori e le popolazioni — l’equità con cui i costi e i benefici si ripartiscono — è il compito della dodicesima parte, che analizzerà l’impatto distributivo. In terzo luogo, il saldo consolidato è condizionato dalle assunzioni dichiarate — la soglia dell’anno di vita in buona salute, i deflatori del rendimento sociale, i pesi multi-criterio — e va letto entro la cornice di tali assunzioni, esplicitate nelle voci. Il saldo consolidato chiude così la valutazione economica integrata, consegnando il verdetto complessivo della rinegoziazione integrale — la riforma prossima al pareggio sul conto fiscale, costo-efficace sul conto della salute, fortemente positiva sul conto sociale — alla modellazione dell’undicesima parte, che lo proietterà nel tempo, e alle parti successive, che ne analizzeranno la distribuzione e ne trarranno le raccomandazioni.</w:t>
      </w:r>
    </w:p>
    <w:p w14:paraId="39D9FEB5" w14:textId="77777777" w:rsidR="007C4598" w:rsidRDefault="007C4598"/>
    <w:p w14:paraId="7B0D261D" w14:textId="77777777" w:rsidR="007C4598" w:rsidRDefault="00000000">
      <w:pPr>
        <w:pStyle w:val="Titolo1"/>
        <w:pageBreakBefore/>
      </w:pPr>
      <w:r>
        <w:rPr>
          <w:sz w:val="22"/>
          <w:szCs w:val="22"/>
        </w:rPr>
        <w:t>Quadro conclusivo economico-sociale e multidisciplinare integrale</w:t>
      </w:r>
    </w:p>
    <w:p w14:paraId="427C27DD" w14:textId="77777777" w:rsidR="007C4598" w:rsidRDefault="007C4598"/>
    <w:p w14:paraId="30121065" w14:textId="77777777" w:rsidR="007C4598" w:rsidRDefault="00000000">
      <w:pPr>
        <w:jc w:val="both"/>
      </w:pPr>
      <w:r>
        <w:rPr>
          <w:i/>
          <w:iCs/>
        </w:rPr>
        <w:t xml:space="preserve">Il quadro conclusivo ricompone i risultati della valutazione economica integrata in una visione d’insieme, e ne trae il significato per la rinegoziazione integrale dei costi e dei benefici condotta dall’intero studio. La decima parte ha applicato alle grandezze stabilite dalle parti precedenti gli strumenti della valutazione economica integrata — la valutazione costo-utilità, l’analisi di impatto di bilancio, il rendimento sociale dell’investimento e la sintesi multi-criterio — e ne ha tratto il saldo economico consolidato, che tiene distinte le tre dimensioni del valore della riforma e ne mostra la convergenza in un giudizio favorevole. Il quadro conclusivo raccoglie questi risultati, ne dichiara il significato per le tre dimensioni e per il loro rapporto, ne mostra la coerenza con gli intervalli di </w:t>
      </w:r>
      <w:proofErr w:type="spellStart"/>
      <w:r>
        <w:rPr>
          <w:i/>
          <w:iCs/>
        </w:rPr>
        <w:t>Chisholm</w:t>
      </w:r>
      <w:proofErr w:type="spellEnd"/>
      <w:r>
        <w:rPr>
          <w:i/>
          <w:iCs/>
        </w:rPr>
        <w:t xml:space="preserve"> attraverso le convergenze che la valutazione ha stabilito, ne richiama il radicamento nella cascata delle figure e nel perimetro multidisciplinare, ne ribadisce la natura prudenziale e falsificabile, e ne prepara il raccordo con la modellazione e con l’analisi distributiva delle parti successive.</w:t>
      </w:r>
    </w:p>
    <w:p w14:paraId="400BB4A1" w14:textId="77777777" w:rsidR="007C4598" w:rsidRDefault="007C4598"/>
    <w:p w14:paraId="1C1D5856" w14:textId="77777777" w:rsidR="007C4598" w:rsidRDefault="00000000">
      <w:pPr>
        <w:pStyle w:val="Titolo2"/>
        <w:spacing w:before="200" w:after="100"/>
      </w:pPr>
      <w:r>
        <w:rPr>
          <w:sz w:val="22"/>
          <w:szCs w:val="22"/>
        </w:rPr>
        <w:t>Le tre dimensioni del valore e il verdetto tripartito</w:t>
      </w:r>
    </w:p>
    <w:p w14:paraId="2CD29889" w14:textId="77777777" w:rsidR="007C4598" w:rsidRDefault="007C4598"/>
    <w:p w14:paraId="26328993" w14:textId="77777777" w:rsidR="007C4598" w:rsidRDefault="00000000">
      <w:pPr>
        <w:jc w:val="both"/>
      </w:pPr>
      <w:r>
        <w:t>Il risultato centrale della valutazione economica integrata è il verdetto tripartito sulla riforma, che ne esprime il valore su tre dimensioni distinte, ciascuna delle quali sostiene un giudizio favorevole sul proprio piano. La prima dimensione è quella fiscale diretta, che attiene al bilancio sanitario regionale: su questo piano, la riforma è prossima al pareggio a regime, perché i risparmi diretti che essa genera per il bilancio sanitario quasi eguagliano i costi dell’investimento, con un onere netto contenuto che si annulla nello scenario espansivo. La seconda dimensione è quella di salute, che attiene al valore intrinseco della salute prodotta: su questo piano, la riforma è nettamente costo-efficace, perché produce anni di vita in buona salute a un costo unitario — dell’ordine di diciassettemila euro per anno di vita in buona salute nello scenario intermedio — ampiamente inferiore alla soglia convenzionale di costo-efficacia. La terza dimensione è quella sociale indiretta, che attiene al tessuto economico e sociale: su questo piano, la riforma è fortemente positiva, perché genera, per la collettività, benefici dell’ordine di due volte e mezza il costo dell’investimento, entro la fascia di rendimento che la letteratura internazionale associa agli investimenti in salute mentale. Il verdetto tripartito — prossima al pareggio sul conto fiscale, nettamente costo-efficace sul conto della salute, fortemente positiva sul conto sociale — è la sintesi del valore della riforma, e ciascuno dei suoi tre termini è stabilito autonomamente, sul proprio piano.</w:t>
      </w:r>
      <w:r>
        <w:rPr>
          <w:color w:val="555555"/>
          <w:sz w:val="16"/>
          <w:szCs w:val="16"/>
          <w:vertAlign w:val="superscript"/>
        </w:rPr>
        <w:t>[22]</w:t>
      </w:r>
    </w:p>
    <w:p w14:paraId="7BD4A304" w14:textId="77777777" w:rsidR="007C4598" w:rsidRDefault="007C4598"/>
    <w:p w14:paraId="277ECFC2" w14:textId="77777777" w:rsidR="007C4598" w:rsidRDefault="00000000">
      <w:pPr>
        <w:jc w:val="both"/>
      </w:pPr>
      <w:r>
        <w:t>La struttura tripartita del verdetto non è un artificio espositivo, ma il riflesso fedele della natura del valore della riforma, che si manifesta su tre piani di natura diversa. Il bilancio sanitario, il tessuto economico-sociale e la salute delle persone sono tre ambiti distinti, su ciascuno dei quali la riforma produce un effetto di natura propria: un effetto fiscale sul bilancio sanitario, un effetto economico-sociale sul tessuto, un effetto di salute sulle persone. Questi tre effetti sono reali e contestuali — il medesimo miglioramento clinico li produce tutti e tre — ma sono di natura diversa, e la loro misura richiede strumenti diversi e unità diverse: l’analisi di impatto di bilancio per l’effetto fiscale, l’analisi dei benefici indiretti per l’effetto economico-sociale, la valutazione costo-utilità per l’effetto di salute. Il verdetto tripartito rispecchia questa pluralità, e la conserva: esso non riduce i tre effetti a uno solo, né li somma in un’unica cifra, ma li mantiene distinti e ne mostra la convergenza. La riforma vale, dunque, su tre piani distinti, e il suo valore complessivo è la convergenza dei tre valori, non la loro somma; ed è in questa convergenza, e non in una cifra unica, che risiede il giudizio favorevole sulla riforma.</w:t>
      </w:r>
    </w:p>
    <w:p w14:paraId="46F51054" w14:textId="77777777" w:rsidR="007C4598" w:rsidRDefault="007C4598"/>
    <w:p w14:paraId="428051F7" w14:textId="77777777" w:rsidR="007C4598" w:rsidRDefault="00000000">
      <w:pPr>
        <w:pStyle w:val="Titolo2"/>
        <w:spacing w:before="200" w:after="100"/>
      </w:pPr>
      <w:r>
        <w:rPr>
          <w:sz w:val="22"/>
          <w:szCs w:val="22"/>
        </w:rPr>
        <w:t>La valutazione integrata come ricomposizione che preserva la distinzione</w:t>
      </w:r>
    </w:p>
    <w:p w14:paraId="4FD53657" w14:textId="77777777" w:rsidR="007C4598" w:rsidRDefault="007C4598"/>
    <w:p w14:paraId="419277A1" w14:textId="77777777" w:rsidR="007C4598" w:rsidRDefault="00000000">
      <w:pPr>
        <w:jc w:val="both"/>
      </w:pPr>
      <w:r>
        <w:t>La valutazione economica integrata si è rivelata, nel suo svolgimento, una ricomposizione che preserva la distinzione, e non una fusione che la cancella; ed è in questa natura che risiede il suo rigore. La tentazione, in una valutazione integrata, è quella di pervenire a una cifra unica — un valore complessivo della riforma — che ne riassuma il valore in un solo numero; e questa tentazione è tanto più forte quanto più si desideri un risultato semplice e comunicabile. Ma la cifra unica sarebbe fallace, perché otterrebbe la propria semplicità al prezzo della confusione: essa sommerebbe grandezze di natura diversa — un risparmio fiscale, un beneficio sociale, un valore di salute — che non sono sommabili, perché appartengono a categorie distinte e gravano su soggetti distinti, e il numero che ne risulterebbe non avrebbe un significato interpretabile. La valutazione integrata ha perciò rifiutato la cifra unica, e ha adottato la ricomposizione che preserva la distinzione: essa ha ricomposto le grandezze in un quadro unitario, raggruppandole per dimensione e mostrandone il rapporto, ma ha tenuto le dimensioni distinte, in colonne separate, senza fonderle. Il saldo consolidato è il frutto di questa scelta: un quadro che riunisce tutte le grandezze del valore della riforma, e che tuttavia le tiene distinte, restituendo al decisore le tre dimensioni nella loro natura.</w:t>
      </w:r>
      <w:r>
        <w:rPr>
          <w:color w:val="555555"/>
          <w:sz w:val="16"/>
          <w:szCs w:val="16"/>
          <w:vertAlign w:val="superscript"/>
        </w:rPr>
        <w:t>[23]</w:t>
      </w:r>
    </w:p>
    <w:p w14:paraId="2B043507" w14:textId="77777777" w:rsidR="007C4598" w:rsidRDefault="007C4598"/>
    <w:p w14:paraId="5B7329B4" w14:textId="77777777" w:rsidR="007C4598" w:rsidRDefault="00000000">
      <w:pPr>
        <w:jc w:val="both"/>
      </w:pPr>
      <w:r>
        <w:t>La ricomposizione che preserva la distinzione è la traduzione, nella valutazione integrata, della regola di non duplicazione che ha governato l’intero studio. La regola di non duplicazione, enunciata nella prima parte, impone di non attribuire il medesimo valore a più cause, e di non sommare grandezze che si sovrappongono; e nella valutazione integrata essa si specifica nella distinzione tra le tre dimensioni, che impedisce di sommare il risparmio fiscale, il beneficio sociale e il valore di salute, i quali, pur prodotti dal medesimo miglioramento clinico, sono grandezze distinte. La fedeltà a questa regola è ciò che distingue una valutazione integrata rigorosa da una valutazione che, nell’intento di mostrare un valore complessivo cospicuo, somma indebitamente grandezze distinte e perviene a una cifra gonfiata e priva di significato. La valutazione integrata di questa parte ha mantenuto la fedeltà alla regola fino al saldo conclusivo, e ne ha tratto un verdetto che è, per ciò stesso, più solido di quanto sarebbe una cifra unica: perché il verdetto tripartito, fondato sulla convergenza di tre dimensioni distinte ciascuna stabilita con il proprio metodo, è robusto in un modo in cui una cifra unica non potrebbe esserlo, dipendendo questa dalle assunzioni più incerte e confondendo ciò che è distinto. La distinzione preservata non è dunque una rinuncia alla sintesi, ma la forma rigorosa della sintesi, che compone senza confondere.</w:t>
      </w:r>
    </w:p>
    <w:p w14:paraId="6C13C843" w14:textId="77777777" w:rsidR="007C4598" w:rsidRDefault="007C4598"/>
    <w:p w14:paraId="4DF6A56E" w14:textId="77777777" w:rsidR="007C4598" w:rsidRDefault="00000000">
      <w:pPr>
        <w:pStyle w:val="Titolo2"/>
        <w:spacing w:before="200" w:after="100"/>
      </w:pPr>
      <w:r>
        <w:rPr>
          <w:sz w:val="22"/>
          <w:szCs w:val="22"/>
        </w:rPr>
        <w:t xml:space="preserve">Le convergenze con gli intervalli di </w:t>
      </w:r>
      <w:proofErr w:type="spellStart"/>
      <w:r>
        <w:rPr>
          <w:sz w:val="22"/>
          <w:szCs w:val="22"/>
        </w:rPr>
        <w:t>Chisholm</w:t>
      </w:r>
      <w:proofErr w:type="spellEnd"/>
    </w:p>
    <w:p w14:paraId="0A3546CE" w14:textId="77777777" w:rsidR="007C4598" w:rsidRDefault="007C4598"/>
    <w:p w14:paraId="38E9F825" w14:textId="77777777" w:rsidR="007C4598" w:rsidRDefault="00000000">
      <w:pPr>
        <w:jc w:val="both"/>
      </w:pPr>
      <w:r>
        <w:t xml:space="preserve">La valutazione economica integrata ha stabilito, nel suo svolgimento, una serie di convergenze tra le stime costruite per questa riforma e gli intervalli di rendimento validati dalla letteratura internazionale, e queste convergenze costituiscono un presidio di robustezza dell’intera valutazione. La prima convergenza, stabilita nella nona parte e richiamata in questa, è quella del rapporto dei soli benefici economici: l’aggregato dei benefici sociali indiretti, rapportato al costo dell’investimento, ha prodotto un rapporto dell’ordine di 2,6 a 1, che si colloca entro la prima fascia di </w:t>
      </w:r>
      <w:proofErr w:type="spellStart"/>
      <w:r>
        <w:t>Chisholm</w:t>
      </w:r>
      <w:proofErr w:type="spellEnd"/>
      <w:r>
        <w:t xml:space="preserve">, compresa tra 2,3 e 3,0 a 1, ossia entro la fascia che la letteratura associa ai soli benefici economici degli investimenti in salute mentale. La seconda convergenza, stabilita dalla prima voce di questa parte, è quella del rapporto che include il valore della salute: l’aggiunta del valore monetizzato dei guadagni di salute ai benefici economici ha prodotto un rapporto dell’ordine di 4,3 a 1, che si colloca entro la seconda fascia di </w:t>
      </w:r>
      <w:proofErr w:type="spellStart"/>
      <w:r>
        <w:t>Chisholm</w:t>
      </w:r>
      <w:proofErr w:type="spellEnd"/>
      <w:r>
        <w:t xml:space="preserve">, compresa tra 3,3 e 5,7 a 1, ossia entro la fascia che la letteratura associa al rendimento comprensivo dei ritorni di salute. Il passaggio dalla prima alla seconda fascia, operato dall’aggiunta del valore della salute, riproduce esattamente la struttura del duplice intervallo di </w:t>
      </w:r>
      <w:proofErr w:type="spellStart"/>
      <w:r>
        <w:t>Chisholm</w:t>
      </w:r>
      <w:proofErr w:type="spellEnd"/>
      <w:r>
        <w:t>, e ne costituisce una conferma.</w:t>
      </w:r>
      <w:r>
        <w:rPr>
          <w:color w:val="555555"/>
          <w:sz w:val="16"/>
          <w:szCs w:val="16"/>
          <w:vertAlign w:val="superscript"/>
        </w:rPr>
        <w:t>[24]</w:t>
      </w:r>
    </w:p>
    <w:p w14:paraId="02E17CD6" w14:textId="77777777" w:rsidR="007C4598" w:rsidRDefault="007C4598"/>
    <w:p w14:paraId="1F7EC59B" w14:textId="77777777" w:rsidR="007C4598" w:rsidRDefault="00000000">
      <w:pPr>
        <w:jc w:val="both"/>
      </w:pPr>
      <w:r>
        <w:t xml:space="preserve">La terza convergenza, stabilita dalla terza voce di questa parte, è quella del rendimento sociale dell’investimento: il valore sociale, depurato con i deflatori di prudenza propri del metodo, ha prodotto un rendimento dell’ordine di 3,2 a 1, che si colloca in prossimità del margine inferiore della seconda fascia di </w:t>
      </w:r>
      <w:proofErr w:type="spellStart"/>
      <w:r>
        <w:t>Chisholm</w:t>
      </w:r>
      <w:proofErr w:type="spellEnd"/>
      <w:r>
        <w:t xml:space="preserve">. Questa terza convergenza è particolarmente significativa, perché è ottenuta con il metodo più prudente — quello che applica i deflatori per ciò che si sarebbe verificato comunque, per l’attribuzione ad altri fattori, per gli effetti spostati altrove e per il decadimento — e tuttavia perviene a un rendimento coerente con la fascia superiore di </w:t>
      </w:r>
      <w:proofErr w:type="spellStart"/>
      <w:r>
        <w:t>Chisholm</w:t>
      </w:r>
      <w:proofErr w:type="spellEnd"/>
      <w:r>
        <w:t xml:space="preserve">. Che tre vie distinte — il rapporto dei soli benefici economici, il rapporto che include il valore della salute, e il rendimento sociale al netto dei deflatori — convergano tutte verso gli intervalli di </w:t>
      </w:r>
      <w:proofErr w:type="spellStart"/>
      <w:r>
        <w:t>Chisholm</w:t>
      </w:r>
      <w:proofErr w:type="spellEnd"/>
      <w:r>
        <w:t xml:space="preserve">, ciascuna nella fascia che le compete, è una conferma di notevole forza della coerenza del valore della riforma con la letteratura internazionale. Le convergenze non sono il frutto di un adattamento delle stime agli intervalli, ma il risultato di stime costruite autonomamente, ciascuna con il proprio metodo, che si sono rivelate coerenti con gli intervalli validati; e questa coerenza, raggiunta per vie indipendenti, è ciò che fonda la fiducia nei risultati della valutazione. Gli intervalli di </w:t>
      </w:r>
      <w:proofErr w:type="spellStart"/>
      <w:r>
        <w:t>Chisholm</w:t>
      </w:r>
      <w:proofErr w:type="spellEnd"/>
      <w:r>
        <w:t xml:space="preserve"> hanno operato, in tutto lo studio, come ancora di validazione; e le convergenze stabilite in questa parte confermano che l’ancora ha tenuto, e che le stime della riforma si collocano entro i confini che la letteratura internazionale assegna al rendimento degli investimenti in salute mentale.</w:t>
      </w:r>
    </w:p>
    <w:p w14:paraId="5D6F9710" w14:textId="77777777" w:rsidR="007C4598" w:rsidRDefault="007C4598"/>
    <w:p w14:paraId="1D0323CC" w14:textId="77777777" w:rsidR="007C4598" w:rsidRDefault="00000000">
      <w:pPr>
        <w:pStyle w:val="Titolo2"/>
        <w:spacing w:before="200" w:after="100"/>
      </w:pPr>
      <w:r>
        <w:rPr>
          <w:sz w:val="22"/>
          <w:szCs w:val="22"/>
        </w:rPr>
        <w:t>Il valore lungo la cascata delle figure e la natura prudenziale e falsificabile</w:t>
      </w:r>
    </w:p>
    <w:p w14:paraId="1C80FA91" w14:textId="77777777" w:rsidR="007C4598" w:rsidRDefault="007C4598"/>
    <w:p w14:paraId="1B193BA9" w14:textId="77777777" w:rsidR="007C4598" w:rsidRDefault="00000000">
      <w:pPr>
        <w:jc w:val="both"/>
      </w:pPr>
      <w:r>
        <w:t>Il valore economico della riforma, ricomposto nel saldo consolidato, si radica nella cascata gerarchica delle figure che la terza parte ha ordinato, e ne costituisce la traduzione economica. La cascata, che muove dallo Psicologo di Base come apice e origine e procede verso le figure sanitarie, socio-sanitarie, educative, istituzionali ed extra-sanitarie, è il percorso lungo il quale il valore della riforma si genera e si propaga: l’intervento dello Psicologo di Base, potenziato dalle leve abilitanti, intercetta il disagio comune e ne produce il miglioramento clinico; questo miglioramento alleggerisce il carico delle figure cliniche contigue, libera risorse del sistema sanitario, e si propaga ai domini extra-sanitari, generando i risparmi fiscali diretti, i benefici sociali indiretti e i guadagni di salute che il saldo consolidato ricompone. Le tre dimensioni del valore sono dunque la traduzione economica della cascata: la dimensione fiscale diretta misura il valore che si genera nel sistema sanitario, lungo il tratto della cascata che va dallo Psicologo di Base alle figure cliniche e ai servizi; la dimensione sociale indiretta misura il valore che si propaga ai domini extra-sanitari, lungo il tratto della cascata che raggiunge le figure istituzionali ed extra-sanitarie; la dimensione di salute misura il valore che si produce nelle persone, all’origine della cascata, nell’intervento sul disagio. Il saldo consolidato è perciò il punto di arrivo dell’architettura della cascata: esso ricompone in grandezze economiche il valore che la cascata genera e propaga lungo i suoi tratti, dalla figura apicale ai domini periferici.</w:t>
      </w:r>
      <w:r>
        <w:rPr>
          <w:color w:val="555555"/>
          <w:sz w:val="16"/>
          <w:szCs w:val="16"/>
          <w:vertAlign w:val="superscript"/>
        </w:rPr>
        <w:t>[25]</w:t>
      </w:r>
    </w:p>
    <w:p w14:paraId="3212719A" w14:textId="77777777" w:rsidR="007C4598" w:rsidRDefault="007C4598"/>
    <w:p w14:paraId="089CE50F" w14:textId="77777777" w:rsidR="007C4598" w:rsidRDefault="00000000">
      <w:pPr>
        <w:jc w:val="both"/>
      </w:pPr>
      <w:r>
        <w:t xml:space="preserve">Il valore economico così ricomposto è stato stabilito con la natura prudenziale e falsificabile che ha governato l’intero studio, e che ne costituisce il carattere distintivo. La natura prudenziale si è manifestata in ogni stima della valutazione: nel calcolo del rapporto costo-efficacia sul costo lordo senza dedurre i risparmi, che ha prodotto un rapporto conservativo; nell’analisi di impatto di bilancio condotta anche nella variante prudenziale che esclude i risparmi, in ossequio al </w:t>
      </w:r>
      <w:proofErr w:type="spellStart"/>
      <w:r>
        <w:t>caveat</w:t>
      </w:r>
      <w:proofErr w:type="spellEnd"/>
      <w:r>
        <w:t xml:space="preserve"> dell’IMPACT trial; nell’applicazione dei deflatori al rendimento sociale, che ne hanno ridotto il valore al genuinamente imputabile; nell’adozione di bande prudenziali su ogni grandezza, e di valori centrali conservativi. La natura falsificabile si è manifestata nella formulazione di ogni risultato in termini verificabili e confutabili: i rapporti, i punteggi, le grandezze sono stati espressi in valori puntuali corredati di bande, e collocati rispetto a soglie e intervalli dichiarati, sì che ciascuno possa essere verificato e, ove i dati lo smentiscano, confutato. La valutazione integrata non ha prodotto, dunque, affermazioni indimostrabili o cifre suggestive, ma stime prudenziali e falsificabili, ciascuna graduata nella propria evidenza e collocata entro i propri confini; e il verdetto tripartito che ne è risultato è, per ciò stesso, un giudizio scientificamente fondato, suscettibile di verifica e di confutazione, e non un’asserzione di valore indimostrata. È questa natura prudenziale e falsificabile che distingue la valutazione integrata da una valutazione compiacente, e che ne fonda l’attendibilità presso il decisore.</w:t>
      </w:r>
    </w:p>
    <w:p w14:paraId="060C2833" w14:textId="77777777" w:rsidR="007C4598" w:rsidRDefault="007C4598"/>
    <w:p w14:paraId="1B6EE567" w14:textId="77777777" w:rsidR="007C4598" w:rsidRDefault="00000000">
      <w:pPr>
        <w:pStyle w:val="Titolo2"/>
        <w:spacing w:before="200" w:after="100"/>
      </w:pPr>
      <w:r>
        <w:rPr>
          <w:sz w:val="22"/>
          <w:szCs w:val="22"/>
        </w:rPr>
        <w:t>Il raccordo con la modellazione e con l’analisi distributiva</w:t>
      </w:r>
    </w:p>
    <w:p w14:paraId="08634EBA" w14:textId="77777777" w:rsidR="007C4598" w:rsidRDefault="007C4598"/>
    <w:p w14:paraId="64CFF2C9" w14:textId="77777777" w:rsidR="007C4598" w:rsidRDefault="00000000">
      <w:pPr>
        <w:jc w:val="both"/>
      </w:pPr>
      <w:r>
        <w:t xml:space="preserve">Il saldo economico consolidato, che chiude la valutazione economica integrata, è la sintesi statica del valore della riforma a regime, e si raccorda con le parti successive dello studio, che ne svilupperanno le dimensioni che esso, per sua natura, non tratta. Il primo raccordo è con la modellazione dell’undicesima parte, che proietterà nel tempo le grandezze consolidate. Il saldo consolidato è riferito ai valori annui di regime, e non ne modella l’andamento temporale; ma il valore della riforma si dispiega nel tempo, dalla fase di avvio in cui i costi precedono i benefici alla fase di regime in cui i benefici maturano, e la sua valutazione completa richiede la proiezione temporale. La modellazione dell’undicesima parte assumerà le grandezze consolidate in questa parte e le proietterà lungo l’orizzonte di valutazione, attraverso il modello di </w:t>
      </w:r>
      <w:proofErr w:type="spellStart"/>
      <w:r>
        <w:t>Markov</w:t>
      </w:r>
      <w:proofErr w:type="spellEnd"/>
      <w:r>
        <w:t xml:space="preserve"> e la </w:t>
      </w:r>
      <w:proofErr w:type="spellStart"/>
      <w:r>
        <w:t>microsimulazione</w:t>
      </w:r>
      <w:proofErr w:type="spellEnd"/>
      <w:r>
        <w:t>, e ne trarrà le previsioni falsificabili sulla qualità della vita delle persone, sui bilanci regionali, sulla burocrazia e l’efficienza amministrativa e sui sistemi sanitari regionali, che sono l’oggetto ultimo della rinegoziazione integrale. Il saldo consolidato fornisce dunque alla modellazione il suo punto di partenza: le grandezze del valore a regime, che la modellazione proietterà nel tempo.</w:t>
      </w:r>
    </w:p>
    <w:p w14:paraId="18A1F239" w14:textId="77777777" w:rsidR="007C4598" w:rsidRDefault="007C4598"/>
    <w:p w14:paraId="17D62916" w14:textId="77777777" w:rsidR="007C4598" w:rsidRDefault="00000000">
      <w:pPr>
        <w:jc w:val="both"/>
      </w:pPr>
      <w:r>
        <w:t>Il secondo raccordo è con l’analisi distributiva della dodicesima parte, che ne valuterà la distribuzione tra i territori e le popolazioni. Il saldo consolidato presenta il valore economico complessivo della riforma, ma non ne analizza la distribuzione: esso dice quanto vale la riforma, non come il suo valore si ripartisca tra le aree della regione e tra i gruppi della popolazione. Ma la distribuzione del valore è dimensione essenziale di una riforma sanitaria, perché una riforma che generasse valore concentrandolo nelle aree già servite e nelle popolazioni già favorite sarebbe diversa, sul piano della giustizia, da una riforma che lo distribuisse equamente; e la valutazione completa richiede perciò l’analisi distributiva. La dodicesima parte assumerà il valore consolidato in questa parte e ne analizzerà la distribuzione territoriale e tra le popolazioni, valutando l’equità con cui i costi e i benefici si ripartiscono, e il rischio che la leva digitale, su cui la riforma si appoggia, introduca un divario di accesso. Il saldo consolidato fornisce dunque all’analisi distributiva il suo oggetto: il valore economico complessivo, di cui la dodicesima parte studierà la ripartizione. Con questi due raccordi — alla modellazione, che ne proietta il valore nel tempo, e all’analisi distributiva, che ne studia la ripartizione nello spazio sociale — la valutazione economica integrata si inserisce nel disegno complessivo dello studio, di cui costituisce il fulcro economico, e consegna alle parti successive il verdetto tripartito che ne è il risultato.</w:t>
      </w:r>
    </w:p>
    <w:p w14:paraId="0DF2E333" w14:textId="77777777" w:rsidR="007C4598" w:rsidRDefault="007C4598"/>
    <w:p w14:paraId="3A02C377" w14:textId="77777777" w:rsidR="007C4598" w:rsidRDefault="00000000">
      <w:pPr>
        <w:pStyle w:val="Titolo1"/>
        <w:pageBreakBefore/>
      </w:pPr>
      <w:r>
        <w:rPr>
          <w:sz w:val="22"/>
          <w:szCs w:val="22"/>
        </w:rPr>
        <w:t>Conclusione</w:t>
      </w:r>
    </w:p>
    <w:p w14:paraId="17117EF4" w14:textId="77777777" w:rsidR="007C4598" w:rsidRDefault="007C4598"/>
    <w:p w14:paraId="15401E80" w14:textId="77777777" w:rsidR="007C4598" w:rsidRDefault="00000000">
      <w:pPr>
        <w:jc w:val="both"/>
      </w:pPr>
      <w:r>
        <w:rPr>
          <w:i/>
          <w:iCs/>
        </w:rPr>
        <w:t>La conclusione raccoglie quanto la decima parte ha stabilito, ne ribadisce il verdetto e il rigore, e ne dichiara il rapporto con le parti che seguono. La parte ha condotto la valutazione economica integrata della riforma, ricomponendo le grandezze stabilite dalle parti precedenti negli strumenti della valutazione economica e traendone il saldo consolidato; e ha così fornito il fulcro economico dell’intero studio, su cui le parti successive innesteranno la proiezione temporale, l’analisi distributiva e le raccomandazioni.</w:t>
      </w:r>
    </w:p>
    <w:p w14:paraId="57DECF64" w14:textId="77777777" w:rsidR="007C4598" w:rsidRDefault="007C4598"/>
    <w:p w14:paraId="19C726B1" w14:textId="77777777" w:rsidR="007C4598" w:rsidRDefault="00000000">
      <w:pPr>
        <w:jc w:val="both"/>
      </w:pPr>
      <w:r>
        <w:t xml:space="preserve">La decima parte ha stabilito la valutazione economica integrata della riforma del Servizio di Psicologia di Base in Puglia. Essa ha ricomposto le grandezze stabilite distintamente dalle parti precedenti — i costi diretti della settima parte, i risparmi fiscali diretti dell’ottava, i benefici sociali indiretti della nona — negli strumenti della valutazione economica integrata, e ne ha tratto il saldo economico consolidato. La valutazione costo-utilità ha stabilito che la riforma è nettamente costo-efficace, producendo anni di vita in buona salute a un costo unitario ampiamente inferiore alla soglia convenzionale, e ha operato il passaggio alla fascia superiore di </w:t>
      </w:r>
      <w:proofErr w:type="spellStart"/>
      <w:r>
        <w:t>Chisholm</w:t>
      </w:r>
      <w:proofErr w:type="spellEnd"/>
      <w:r>
        <w:t xml:space="preserve"> attraverso il valore monetizzato dei guadagni di salute. L’analisi di impatto di bilancio ha stabilito che la riforma è sostenibile per il bilancio sanitario regionale, con un impatto contenuto entro frazioni dell’uno per cento del Fondo e decrescente verso il pareggio a regime, e ne ha preservato la variante prudenziale in ossequio al </w:t>
      </w:r>
      <w:proofErr w:type="spellStart"/>
      <w:r>
        <w:t>caveat</w:t>
      </w:r>
      <w:proofErr w:type="spellEnd"/>
      <w:r>
        <w:t xml:space="preserve"> dell’IMPACT trial. Il rendimento sociale dell’investimento ha stabilito che la riforma genera un valore sociale dell’ordine di tre volte l’investimento, anche dopo i deflatori di prudenza, in prossimità del margine inferiore della fascia superiore di </w:t>
      </w:r>
      <w:proofErr w:type="spellStart"/>
      <w:r>
        <w:t>Chisholm</w:t>
      </w:r>
      <w:proofErr w:type="spellEnd"/>
      <w:r>
        <w:t>. La sintesi multi-criterio ha stabilito che la riforma riceve, sulla composizione di tutti i criteri, un punteggio nella fascia favorevole, robusto rispetto alla scelta dei pesi. E il saldo consolidato ha ricomposto queste dimensioni in un verdetto tripartito, tenendole distinte.</w:t>
      </w:r>
    </w:p>
    <w:p w14:paraId="08241558" w14:textId="77777777" w:rsidR="007C4598" w:rsidRDefault="007C4598"/>
    <w:p w14:paraId="6B53778E" w14:textId="77777777" w:rsidR="007C4598" w:rsidRDefault="00000000">
      <w:pPr>
        <w:jc w:val="both"/>
      </w:pPr>
      <w:r>
        <w:t xml:space="preserve">Il verdetto della decima parte è dunque tripartito, e ciascuno dei suoi tre termini è stabilito autonomamente. Sul conto fiscale diretto, che attiene al bilancio sanitario regionale, la riforma è prossima al pareggio a regime: i risparmi diretti quasi eguagliano i costi, e la riforma quasi si autofinanzia attraverso i risparmi che genera. Sul conto della salute, che attiene al valore intrinseco della salute prodotta, la riforma è nettamente costo-efficace: essa produce anni di vita in buona salute a un costo unitario ampiamente inferiore alla soglia, e questa costo-efficacia è il risultato più robusto della valutazione, indenne dai </w:t>
      </w:r>
      <w:proofErr w:type="spellStart"/>
      <w:r>
        <w:t>caveat</w:t>
      </w:r>
      <w:proofErr w:type="spellEnd"/>
      <w:r>
        <w:t xml:space="preserve"> che gravano sulle altre grandezze. Sul conto sociale, che attiene al tessuto economico e sociale, la riforma è fortemente positiva: essa genera, per la collettività, benefici dell’ordine di due volte e mezza il costo, entro la fascia di </w:t>
      </w:r>
      <w:proofErr w:type="spellStart"/>
      <w:r>
        <w:t>Chisholm</w:t>
      </w:r>
      <w:proofErr w:type="spellEnd"/>
      <w:r>
        <w:t>. Le tre dimensioni, tenute distinte e mai sommate in un’unica cifra, convergono in un giudizio favorevole, ciascuna sul proprio piano; e questa convergenza, raggiunta per tre vie indipendenti, è la forma più solida del giudizio sulla riforma.</w:t>
      </w:r>
      <w:r>
        <w:rPr>
          <w:color w:val="555555"/>
          <w:sz w:val="16"/>
          <w:szCs w:val="16"/>
          <w:vertAlign w:val="superscript"/>
        </w:rPr>
        <w:t>[26]</w:t>
      </w:r>
    </w:p>
    <w:p w14:paraId="7C1E7154" w14:textId="77777777" w:rsidR="007C4598" w:rsidRDefault="007C4598"/>
    <w:p w14:paraId="36EE8F30" w14:textId="77777777" w:rsidR="007C4598" w:rsidRDefault="00000000">
      <w:pPr>
        <w:jc w:val="both"/>
      </w:pPr>
      <w:r>
        <w:t xml:space="preserve">Il rigore di questo risultato risiede in tre presidi, che la parte ha mantenuto fino al saldo conclusivo. Il primo è la separazione delle tre dimensioni, che la valutazione ha preservato in ossequio alla regola di non duplicazione, rifiutando la cifra unica e adottando la ricomposizione che compone senza confondere. Il secondo è la convergenza con gli intervalli di </w:t>
      </w:r>
      <w:proofErr w:type="spellStart"/>
      <w:r>
        <w:t>Chisholm</w:t>
      </w:r>
      <w:proofErr w:type="spellEnd"/>
      <w:r>
        <w:t>, stabilita per tre vie indipendenti — il rapporto dei soli benefici economici entro la prima fascia, il rapporto che include il valore della salute entro la seconda, il rendimento sociale al netto dei deflatori in prossimità della seconda — che ha confermato la coerenza del valore della riforma con la letteratura internazionale. Il terzo è la natura prudenziale e falsificabile di ogni stima, che ha prodotto valori conservativi corredati di bande e collocati rispetto a soglie dichiarate, suscettibili di verifica e di confutazione. Questi tre presidi fanno del verdetto tripartito un giudizio scientificamente fondato, e non un’asserzione di valore indimostrata; ed è su questo fondamento che la valutazione economica integrata consegna il proprio risultato alle parti successive.</w:t>
      </w:r>
    </w:p>
    <w:p w14:paraId="78F7FF06" w14:textId="77777777" w:rsidR="007C4598" w:rsidRDefault="007C4598"/>
    <w:p w14:paraId="5CFF7A2C" w14:textId="77777777" w:rsidR="007C4598" w:rsidRDefault="00000000">
      <w:pPr>
        <w:jc w:val="both"/>
      </w:pPr>
      <w:r>
        <w:t xml:space="preserve">La decima parte costituisce così il fulcro economico dell’intero studio, su cui le parti successive innesteranno i propri sviluppi. La modellazione dell’undicesima parte assumerà il saldo consolidato e ne proietterà le grandezze nel tempo, attraverso il modello di </w:t>
      </w:r>
      <w:proofErr w:type="spellStart"/>
      <w:r>
        <w:t>Markov</w:t>
      </w:r>
      <w:proofErr w:type="spellEnd"/>
      <w:r>
        <w:t xml:space="preserve"> e la </w:t>
      </w:r>
      <w:proofErr w:type="spellStart"/>
      <w:r>
        <w:t>microsimulazione</w:t>
      </w:r>
      <w:proofErr w:type="spellEnd"/>
      <w:r>
        <w:t>, traendone le previsioni falsificabili sulla qualità della vita, sui bilanci regionali, sulla burocrazia e sui sistemi sanitari, che sono l’oggetto ultimo della rinegoziazione integrale. La dodicesima parte ne analizzerà la distribuzione tra i territori e le popolazioni, valutando l’equità con cui i costi e i benefici si ripartiscono. E le parti conclusive ne trarranno i profili etico-giuridici, l’attuazione, il monitoraggio e le raccomandazioni. Il verdetto tripartito stabilito da questa parte — la riforma prossima al pareggio sul conto fiscale, nettamente costo-efficace sul conto della salute, fortemente positiva sul conto sociale — è dunque il risultato economico su cui l’intero studio converge, e che le parti successive proietteranno, distribuiranno e tradurranno in raccomandazioni. Con esso, la rinegoziazione integrale dei costi e dei benefici trova la propria sintesi quantitativa, e la riforma del primo livello psicologico in Puglia trova la propria giustificazione economica, articolata su tre dimensioni distinte e convergenti, e fondata sul rigore della separazione, della convergenza con la letteratura e della falsificabilità.</w:t>
      </w:r>
    </w:p>
    <w:p w14:paraId="4FFEC087" w14:textId="77777777" w:rsidR="007C4598" w:rsidRDefault="007C4598"/>
    <w:p w14:paraId="7B2CCD03" w14:textId="77777777" w:rsidR="007C4598" w:rsidRDefault="00000000">
      <w:pPr>
        <w:pStyle w:val="Titolo1"/>
        <w:pageBreakBefore/>
      </w:pPr>
      <w:r>
        <w:rPr>
          <w:sz w:val="22"/>
          <w:szCs w:val="22"/>
        </w:rPr>
        <w:t>Note bibliografiche integrali</w:t>
      </w:r>
    </w:p>
    <w:p w14:paraId="00C1E15B" w14:textId="77777777" w:rsidR="007C4598" w:rsidRDefault="007C4598"/>
    <w:p w14:paraId="28EF1DE0" w14:textId="77777777" w:rsidR="007C4598" w:rsidRDefault="00000000">
      <w:pPr>
        <w:jc w:val="both"/>
      </w:pPr>
      <w:r>
        <w:rPr>
          <w:i/>
          <w:iCs/>
        </w:rPr>
        <w:t>Le note bibliografiche integrali raccolgono le fonti su cui la valutazione economica integrata di questa parte si fonda, ciascuna corredata di un mini-riassunto che ne dichiara il contenuto e la pertinenza. Le fonti attengono ai metodi della valutazione economica impiegati — la valutazione costo-utilità, l’analisi di impatto di bilancio, il rendimento sociale dell’investimento e la sintesi multi-criterio — e all’evidenza economica sul valore degli interventi in salute mentale, che sostiene il rendimento della riforma e la sua collocazione entro gli intervalli di riferimento.</w:t>
      </w:r>
    </w:p>
    <w:p w14:paraId="7859EE98" w14:textId="77777777" w:rsidR="007C4598" w:rsidRDefault="007C4598"/>
    <w:p w14:paraId="2D2328DB" w14:textId="77777777" w:rsidR="007C4598" w:rsidRDefault="00000000">
      <w:pPr>
        <w:jc w:val="both"/>
      </w:pPr>
      <w:r>
        <w:rPr>
          <w:b/>
          <w:bCs/>
        </w:rPr>
        <w:t xml:space="preserve">▪  </w:t>
      </w:r>
      <w:proofErr w:type="spellStart"/>
      <w:r>
        <w:t>Drummond</w:t>
      </w:r>
      <w:proofErr w:type="spellEnd"/>
      <w:r>
        <w:t xml:space="preserve"> M. F., </w:t>
      </w:r>
      <w:proofErr w:type="spellStart"/>
      <w:r>
        <w:t>Sculpher</w:t>
      </w:r>
      <w:proofErr w:type="spellEnd"/>
      <w:r>
        <w:t xml:space="preserve"> M. J., </w:t>
      </w:r>
      <w:proofErr w:type="spellStart"/>
      <w:r>
        <w:t>Claxton</w:t>
      </w:r>
      <w:proofErr w:type="spellEnd"/>
      <w:r>
        <w:t xml:space="preserve"> K., </w:t>
      </w:r>
      <w:proofErr w:type="spellStart"/>
      <w:r>
        <w:t>Stoddart</w:t>
      </w:r>
      <w:proofErr w:type="spellEnd"/>
      <w:r>
        <w:t xml:space="preserve"> G. L., Torrance G. W., «</w:t>
      </w:r>
      <w:proofErr w:type="spellStart"/>
      <w:r>
        <w:t>Methods</w:t>
      </w:r>
      <w:proofErr w:type="spellEnd"/>
      <w:r>
        <w:t xml:space="preserve"> for the </w:t>
      </w:r>
      <w:proofErr w:type="spellStart"/>
      <w:r>
        <w:t>Economic</w:t>
      </w:r>
      <w:proofErr w:type="spellEnd"/>
      <w:r>
        <w:t xml:space="preserve"> Evaluation of </w:t>
      </w:r>
      <w:proofErr w:type="spellStart"/>
      <w:r>
        <w:t>Health</w:t>
      </w:r>
      <w:proofErr w:type="spellEnd"/>
      <w:r>
        <w:t xml:space="preserve"> Care </w:t>
      </w:r>
      <w:proofErr w:type="spellStart"/>
      <w:r>
        <w:t>Programmes</w:t>
      </w:r>
      <w:proofErr w:type="spellEnd"/>
      <w:r>
        <w:t xml:space="preserve">», quarta edizione, Oxford </w:t>
      </w:r>
      <w:proofErr w:type="spellStart"/>
      <w:r>
        <w:t>University</w:t>
      </w:r>
      <w:proofErr w:type="spellEnd"/>
      <w:r>
        <w:t xml:space="preserve"> Press, Oxford, 2015.</w:t>
      </w:r>
    </w:p>
    <w:p w14:paraId="38E31D5F" w14:textId="77777777" w:rsidR="007C4598" w:rsidRDefault="007C4598"/>
    <w:p w14:paraId="7BEA87BF" w14:textId="77777777" w:rsidR="007C4598" w:rsidRDefault="00000000">
      <w:pPr>
        <w:jc w:val="both"/>
      </w:pPr>
      <w:r>
        <w:rPr>
          <w:i/>
          <w:iCs/>
        </w:rPr>
        <w:t>Mini-riassunto. È il testo di riferimento della valutazione economica in sanità, che espone i metodi impiegati in questa parte — l’analisi costo-utilità con gli anni di vita in buona salute guadagnati e il rapporto incrementale costo-efficacia, l’analisi di impatto di bilancio, e i metodi di stima del valore della salute e della produttività — e ne discute i fondamenti, compresa la soglia convenzionale di disponibilità a pagare per anno di vita in buona salute guadagnato impiegata nella valutazione costo-utilità.</w:t>
      </w:r>
    </w:p>
    <w:p w14:paraId="6F669A1A" w14:textId="77777777" w:rsidR="007C4598" w:rsidRDefault="007C4598"/>
    <w:p w14:paraId="4E32D10E" w14:textId="77777777" w:rsidR="007C4598" w:rsidRDefault="00000000">
      <w:pPr>
        <w:jc w:val="both"/>
      </w:pPr>
      <w:r>
        <w:rPr>
          <w:b/>
          <w:bCs/>
        </w:rPr>
        <w:t xml:space="preserve">▪  </w:t>
      </w:r>
      <w:proofErr w:type="spellStart"/>
      <w:r>
        <w:t>Chisholm</w:t>
      </w:r>
      <w:proofErr w:type="spellEnd"/>
      <w:r>
        <w:t xml:space="preserve"> D., </w:t>
      </w:r>
      <w:proofErr w:type="spellStart"/>
      <w:r>
        <w:t>Sweeny</w:t>
      </w:r>
      <w:proofErr w:type="spellEnd"/>
      <w:r>
        <w:t xml:space="preserve"> K., </w:t>
      </w:r>
      <w:proofErr w:type="spellStart"/>
      <w:r>
        <w:t>Sheehan</w:t>
      </w:r>
      <w:proofErr w:type="spellEnd"/>
      <w:r>
        <w:t xml:space="preserve"> P., </w:t>
      </w:r>
      <w:proofErr w:type="spellStart"/>
      <w:r>
        <w:t>Rasmussen</w:t>
      </w:r>
      <w:proofErr w:type="spellEnd"/>
      <w:r>
        <w:t xml:space="preserve"> B., </w:t>
      </w:r>
      <w:proofErr w:type="spellStart"/>
      <w:r>
        <w:t>Smit</w:t>
      </w:r>
      <w:proofErr w:type="spellEnd"/>
      <w:r>
        <w:t xml:space="preserve"> F., </w:t>
      </w:r>
      <w:proofErr w:type="spellStart"/>
      <w:r>
        <w:t>Cuijpers</w:t>
      </w:r>
      <w:proofErr w:type="spellEnd"/>
      <w:r>
        <w:t xml:space="preserve"> P., </w:t>
      </w:r>
      <w:proofErr w:type="spellStart"/>
      <w:r>
        <w:t>Saxena</w:t>
      </w:r>
      <w:proofErr w:type="spellEnd"/>
      <w:r>
        <w:t xml:space="preserve"> S., «</w:t>
      </w:r>
      <w:proofErr w:type="spellStart"/>
      <w:r>
        <w:t>Scaling</w:t>
      </w:r>
      <w:proofErr w:type="spellEnd"/>
      <w:r>
        <w:t xml:space="preserve">-up treatment of </w:t>
      </w:r>
      <w:proofErr w:type="spellStart"/>
      <w:r>
        <w:t>depression</w:t>
      </w:r>
      <w:proofErr w:type="spellEnd"/>
      <w:r>
        <w:t xml:space="preserve"> and </w:t>
      </w:r>
      <w:proofErr w:type="spellStart"/>
      <w:r>
        <w:t>anxiety</w:t>
      </w:r>
      <w:proofErr w:type="spellEnd"/>
      <w:r>
        <w:t xml:space="preserve">: a global </w:t>
      </w:r>
      <w:proofErr w:type="spellStart"/>
      <w:r>
        <w:t>return</w:t>
      </w:r>
      <w:proofErr w:type="spellEnd"/>
      <w:r>
        <w:t xml:space="preserve"> on </w:t>
      </w:r>
      <w:proofErr w:type="spellStart"/>
      <w:r>
        <w:t>investment</w:t>
      </w:r>
      <w:proofErr w:type="spellEnd"/>
      <w:r>
        <w:t xml:space="preserve"> </w:t>
      </w:r>
      <w:proofErr w:type="spellStart"/>
      <w:r>
        <w:t>analysis</w:t>
      </w:r>
      <w:proofErr w:type="spellEnd"/>
      <w:r>
        <w:t xml:space="preserve">», The Lancet </w:t>
      </w:r>
      <w:proofErr w:type="spellStart"/>
      <w:r>
        <w:t>Psychiatry</w:t>
      </w:r>
      <w:proofErr w:type="spellEnd"/>
      <w:r>
        <w:t>, vol. 3, n. 5, 2016, pp. 415–424.</w:t>
      </w:r>
    </w:p>
    <w:p w14:paraId="0E8AD86F" w14:textId="77777777" w:rsidR="007C4598" w:rsidRDefault="007C4598"/>
    <w:p w14:paraId="7F9DE5B3" w14:textId="77777777" w:rsidR="007C4598" w:rsidRDefault="00000000">
      <w:pPr>
        <w:jc w:val="both"/>
      </w:pPr>
      <w:r>
        <w:rPr>
          <w:i/>
          <w:iCs/>
        </w:rPr>
        <w:t>Mini-riassunto. È l’analisi globale del rendimento dell’investimento nel trattamento della depressione e dell’ansia, che stabilisce il duplice intervallo del ritorno — compreso tra 2,3 e 3,0 a 1 per i soli benefici economici e tra 3,3 e 5,7 a 1 con l’inclusione dei ritorni di salute — impiegato nell’intero studio come ancora di validazione, e in questa parte nelle sue due fasce distinte, verso le quali le stime della riforma convergono per tre vie indipendenti.</w:t>
      </w:r>
    </w:p>
    <w:p w14:paraId="6781F9E3" w14:textId="77777777" w:rsidR="007C4598" w:rsidRDefault="007C4598"/>
    <w:p w14:paraId="005C6F08" w14:textId="77777777" w:rsidR="007C4598" w:rsidRDefault="00000000">
      <w:pPr>
        <w:jc w:val="both"/>
      </w:pPr>
      <w:r>
        <w:rPr>
          <w:b/>
          <w:bCs/>
        </w:rPr>
        <w:t xml:space="preserve">▪  </w:t>
      </w:r>
      <w:proofErr w:type="spellStart"/>
      <w:r>
        <w:t>Unützer</w:t>
      </w:r>
      <w:proofErr w:type="spellEnd"/>
      <w:r>
        <w:t xml:space="preserve"> J., </w:t>
      </w:r>
      <w:proofErr w:type="spellStart"/>
      <w:r>
        <w:t>Katon</w:t>
      </w:r>
      <w:proofErr w:type="spellEnd"/>
      <w:r>
        <w:t xml:space="preserve"> W. J., Fan M. Y., </w:t>
      </w:r>
      <w:proofErr w:type="spellStart"/>
      <w:r>
        <w:t>Schoenbaum</w:t>
      </w:r>
      <w:proofErr w:type="spellEnd"/>
      <w:r>
        <w:t xml:space="preserve"> M. C., </w:t>
      </w:r>
      <w:proofErr w:type="spellStart"/>
      <w:r>
        <w:t>Lin</w:t>
      </w:r>
      <w:proofErr w:type="spellEnd"/>
      <w:r>
        <w:t xml:space="preserve"> E. H. B., Della Penna R. D., </w:t>
      </w:r>
      <w:proofErr w:type="spellStart"/>
      <w:r>
        <w:t>Powers</w:t>
      </w:r>
      <w:proofErr w:type="spellEnd"/>
      <w:r>
        <w:t xml:space="preserve"> D., «Long-</w:t>
      </w:r>
      <w:proofErr w:type="spellStart"/>
      <w:r>
        <w:t>term</w:t>
      </w:r>
      <w:proofErr w:type="spellEnd"/>
      <w:r>
        <w:t xml:space="preserve"> </w:t>
      </w:r>
      <w:proofErr w:type="spellStart"/>
      <w:r>
        <w:t>cost</w:t>
      </w:r>
      <w:proofErr w:type="spellEnd"/>
      <w:r>
        <w:t xml:space="preserve"> </w:t>
      </w:r>
      <w:proofErr w:type="spellStart"/>
      <w:r>
        <w:t>effects</w:t>
      </w:r>
      <w:proofErr w:type="spellEnd"/>
      <w:r>
        <w:t xml:space="preserve"> of collaborative care for late-life </w:t>
      </w:r>
      <w:proofErr w:type="spellStart"/>
      <w:r>
        <w:t>depression</w:t>
      </w:r>
      <w:proofErr w:type="spellEnd"/>
      <w:r>
        <w:t xml:space="preserve">», The American Journal of </w:t>
      </w:r>
      <w:proofErr w:type="spellStart"/>
      <w:r>
        <w:t>Managed</w:t>
      </w:r>
      <w:proofErr w:type="spellEnd"/>
      <w:r>
        <w:t xml:space="preserve"> Care, vol. 14, n. 2, 2008, pp. 95–100.</w:t>
      </w:r>
    </w:p>
    <w:p w14:paraId="751C3927" w14:textId="77777777" w:rsidR="007C4598" w:rsidRDefault="007C4598"/>
    <w:p w14:paraId="56C996A9" w14:textId="77777777" w:rsidR="007C4598" w:rsidRDefault="00000000">
      <w:pPr>
        <w:jc w:val="both"/>
      </w:pPr>
      <w:r>
        <w:rPr>
          <w:i/>
          <w:iCs/>
        </w:rPr>
        <w:t xml:space="preserve">Mini-riassunto. È l’analisi di lungo periodo dei costi delle cure collaborative per la depressione, da cui deriva il </w:t>
      </w:r>
      <w:proofErr w:type="spellStart"/>
      <w:r>
        <w:rPr>
          <w:i/>
          <w:iCs/>
        </w:rPr>
        <w:t>caveat</w:t>
      </w:r>
      <w:proofErr w:type="spellEnd"/>
      <w:r>
        <w:rPr>
          <w:i/>
          <w:iCs/>
        </w:rPr>
        <w:t xml:space="preserve"> preservato nell’intero studio — i risparmi sui costi sanitari diretti, ancorché presenti, non raggiungono la significatività statistica — che governa in questa parte l’analisi di impatto di bilancio e ne impone la variante prudenziale, nella quale i risparmi diretti non sono computati e l’impatto netto coincide con il costo lordo.</w:t>
      </w:r>
    </w:p>
    <w:p w14:paraId="0EA5C576" w14:textId="77777777" w:rsidR="007C4598" w:rsidRDefault="007C4598"/>
    <w:p w14:paraId="08950135" w14:textId="77777777" w:rsidR="007C4598" w:rsidRDefault="00000000">
      <w:pPr>
        <w:jc w:val="both"/>
      </w:pPr>
      <w:r>
        <w:rPr>
          <w:b/>
          <w:bCs/>
        </w:rPr>
        <w:t xml:space="preserve">▪  </w:t>
      </w:r>
      <w:proofErr w:type="spellStart"/>
      <w:r>
        <w:t>Nicholls</w:t>
      </w:r>
      <w:proofErr w:type="spellEnd"/>
      <w:r>
        <w:t xml:space="preserve"> J., </w:t>
      </w:r>
      <w:proofErr w:type="spellStart"/>
      <w:r>
        <w:t>Lawlor</w:t>
      </w:r>
      <w:proofErr w:type="spellEnd"/>
      <w:r>
        <w:t xml:space="preserve"> E., </w:t>
      </w:r>
      <w:proofErr w:type="spellStart"/>
      <w:r>
        <w:t>Neitzert</w:t>
      </w:r>
      <w:proofErr w:type="spellEnd"/>
      <w:r>
        <w:t xml:space="preserve"> E., </w:t>
      </w:r>
      <w:proofErr w:type="spellStart"/>
      <w:r>
        <w:t>Goodspeed</w:t>
      </w:r>
      <w:proofErr w:type="spellEnd"/>
      <w:r>
        <w:t xml:space="preserve"> T., «A Guide to Social Return on </w:t>
      </w:r>
      <w:proofErr w:type="spellStart"/>
      <w:r>
        <w:t>Investment</w:t>
      </w:r>
      <w:proofErr w:type="spellEnd"/>
      <w:r>
        <w:t>», Cabinet Office e The SROI Network, Londra, 2012.</w:t>
      </w:r>
    </w:p>
    <w:p w14:paraId="575C10B7" w14:textId="77777777" w:rsidR="007C4598" w:rsidRDefault="007C4598"/>
    <w:p w14:paraId="01FA1ABF" w14:textId="77777777" w:rsidR="007C4598" w:rsidRDefault="00000000">
      <w:pPr>
        <w:jc w:val="both"/>
      </w:pPr>
      <w:r>
        <w:rPr>
          <w:i/>
          <w:iCs/>
        </w:rPr>
        <w:t>Mini-riassunto. È la guida metodologica al rendimento sociale dell’investimento, che espone l’impianto del metodo impiegato nella terza voce di questa parte — la composizione del valore sociale e l’applicazione dei deflatori di prudenza per ciò che si sarebbe verificato comunque, per l’attribuzione ad altri fattori, per gli effetti spostati altrove e per il decadimento nel tempo — che riducono il valore sociale lordo al valore genuinamente imputabile alla riforma.</w:t>
      </w:r>
    </w:p>
    <w:p w14:paraId="72E0B1D4" w14:textId="77777777" w:rsidR="007C4598" w:rsidRDefault="007C4598"/>
    <w:p w14:paraId="311304CF" w14:textId="77777777" w:rsidR="007C4598" w:rsidRDefault="00000000">
      <w:pPr>
        <w:jc w:val="both"/>
      </w:pPr>
      <w:r>
        <w:rPr>
          <w:b/>
          <w:bCs/>
        </w:rPr>
        <w:t xml:space="preserve">▪  </w:t>
      </w:r>
      <w:proofErr w:type="spellStart"/>
      <w:r>
        <w:t>Thokala</w:t>
      </w:r>
      <w:proofErr w:type="spellEnd"/>
      <w:r>
        <w:t xml:space="preserve"> P., </w:t>
      </w:r>
      <w:proofErr w:type="spellStart"/>
      <w:r>
        <w:t>Devlin</w:t>
      </w:r>
      <w:proofErr w:type="spellEnd"/>
      <w:r>
        <w:t xml:space="preserve"> N., </w:t>
      </w:r>
      <w:proofErr w:type="spellStart"/>
      <w:r>
        <w:t>Marsh</w:t>
      </w:r>
      <w:proofErr w:type="spellEnd"/>
      <w:r>
        <w:t xml:space="preserve"> K., </w:t>
      </w:r>
      <w:proofErr w:type="spellStart"/>
      <w:r>
        <w:t>Baltussen</w:t>
      </w:r>
      <w:proofErr w:type="spellEnd"/>
      <w:r>
        <w:t xml:space="preserve"> R., </w:t>
      </w:r>
      <w:proofErr w:type="spellStart"/>
      <w:r>
        <w:t>Boysen</w:t>
      </w:r>
      <w:proofErr w:type="spellEnd"/>
      <w:r>
        <w:t xml:space="preserve"> M., </w:t>
      </w:r>
      <w:proofErr w:type="spellStart"/>
      <w:r>
        <w:t>Kalo</w:t>
      </w:r>
      <w:proofErr w:type="spellEnd"/>
      <w:r>
        <w:t xml:space="preserve"> Z., </w:t>
      </w:r>
      <w:proofErr w:type="spellStart"/>
      <w:r>
        <w:t>Longrenn</w:t>
      </w:r>
      <w:proofErr w:type="spellEnd"/>
      <w:r>
        <w:t xml:space="preserve"> T., </w:t>
      </w:r>
      <w:proofErr w:type="spellStart"/>
      <w:r>
        <w:t>Mussen</w:t>
      </w:r>
      <w:proofErr w:type="spellEnd"/>
      <w:r>
        <w:t xml:space="preserve"> F., </w:t>
      </w:r>
      <w:proofErr w:type="spellStart"/>
      <w:r>
        <w:t>Peacock</w:t>
      </w:r>
      <w:proofErr w:type="spellEnd"/>
      <w:r>
        <w:t xml:space="preserve"> S., Watkins J., </w:t>
      </w:r>
      <w:proofErr w:type="spellStart"/>
      <w:r>
        <w:t>Ijzerman</w:t>
      </w:r>
      <w:proofErr w:type="spellEnd"/>
      <w:r>
        <w:t xml:space="preserve"> M., «Multiple </w:t>
      </w:r>
      <w:proofErr w:type="spellStart"/>
      <w:r>
        <w:t>Criteria</w:t>
      </w:r>
      <w:proofErr w:type="spellEnd"/>
      <w:r>
        <w:t xml:space="preserve"> </w:t>
      </w:r>
      <w:proofErr w:type="spellStart"/>
      <w:r>
        <w:t>Decision</w:t>
      </w:r>
      <w:proofErr w:type="spellEnd"/>
      <w:r>
        <w:t xml:space="preserve"> Analysis for </w:t>
      </w:r>
      <w:proofErr w:type="spellStart"/>
      <w:r>
        <w:t>Health</w:t>
      </w:r>
      <w:proofErr w:type="spellEnd"/>
      <w:r>
        <w:t xml:space="preserve"> Care </w:t>
      </w:r>
      <w:proofErr w:type="spellStart"/>
      <w:r>
        <w:t>Decision</w:t>
      </w:r>
      <w:proofErr w:type="spellEnd"/>
      <w:r>
        <w:t xml:space="preserve"> </w:t>
      </w:r>
      <w:proofErr w:type="spellStart"/>
      <w:r>
        <w:t>Making</w:t>
      </w:r>
      <w:proofErr w:type="spellEnd"/>
      <w:r>
        <w:t xml:space="preserve"> — An </w:t>
      </w:r>
      <w:proofErr w:type="spellStart"/>
      <w:r>
        <w:t>Introduction</w:t>
      </w:r>
      <w:proofErr w:type="spellEnd"/>
      <w:r>
        <w:t xml:space="preserve">: Report 1 of the ISPOR MCDA </w:t>
      </w:r>
      <w:proofErr w:type="spellStart"/>
      <w:r>
        <w:t>Emerging</w:t>
      </w:r>
      <w:proofErr w:type="spellEnd"/>
      <w:r>
        <w:t xml:space="preserve"> </w:t>
      </w:r>
      <w:proofErr w:type="spellStart"/>
      <w:r>
        <w:t>Good</w:t>
      </w:r>
      <w:proofErr w:type="spellEnd"/>
      <w:r>
        <w:t xml:space="preserve"> </w:t>
      </w:r>
      <w:proofErr w:type="spellStart"/>
      <w:r>
        <w:t>Practices</w:t>
      </w:r>
      <w:proofErr w:type="spellEnd"/>
      <w:r>
        <w:t xml:space="preserve"> Task Force», Value in </w:t>
      </w:r>
      <w:proofErr w:type="spellStart"/>
      <w:r>
        <w:t>Health</w:t>
      </w:r>
      <w:proofErr w:type="spellEnd"/>
      <w:r>
        <w:t>, vol. 19, n. 1, 2016, pp. 1–13.</w:t>
      </w:r>
    </w:p>
    <w:p w14:paraId="41AC4E18" w14:textId="77777777" w:rsidR="007C4598" w:rsidRDefault="007C4598"/>
    <w:p w14:paraId="0A3CC0D8" w14:textId="77777777" w:rsidR="007C4598" w:rsidRDefault="00000000">
      <w:pPr>
        <w:jc w:val="both"/>
      </w:pPr>
      <w:r>
        <w:rPr>
          <w:i/>
          <w:iCs/>
        </w:rPr>
        <w:t>Mini-riassunto. È l’introduzione metodologica alla sintesi multi-criterio per le decisioni in sanità, che espone l’impianto del metodo impiegato nella quarta voce di questa parte — l’individuazione dei criteri, l’attribuzione dei pesi e la composizione dei punteggi ponderati in un punteggio composito — e ne discute l’uso per comporre dimensioni eterogenee non riducibili a un’unica unità di misura, come quelle economiche e non economiche della riforma.</w:t>
      </w:r>
    </w:p>
    <w:p w14:paraId="57BED4F1" w14:textId="77777777" w:rsidR="007C4598" w:rsidRDefault="007C4598"/>
    <w:p w14:paraId="4EFBFD6A" w14:textId="77777777" w:rsidR="007C4598" w:rsidRDefault="00000000">
      <w:pPr>
        <w:jc w:val="both"/>
      </w:pPr>
      <w:r>
        <w:rPr>
          <w:b/>
          <w:bCs/>
        </w:rPr>
        <w:t xml:space="preserve">▪  </w:t>
      </w:r>
      <w:proofErr w:type="spellStart"/>
      <w:r>
        <w:t>Marsh</w:t>
      </w:r>
      <w:proofErr w:type="spellEnd"/>
      <w:r>
        <w:t xml:space="preserve"> K., </w:t>
      </w:r>
      <w:proofErr w:type="spellStart"/>
      <w:r>
        <w:t>IJzerman</w:t>
      </w:r>
      <w:proofErr w:type="spellEnd"/>
      <w:r>
        <w:t xml:space="preserve"> M., </w:t>
      </w:r>
      <w:proofErr w:type="spellStart"/>
      <w:r>
        <w:t>Thokala</w:t>
      </w:r>
      <w:proofErr w:type="spellEnd"/>
      <w:r>
        <w:t xml:space="preserve"> P., </w:t>
      </w:r>
      <w:proofErr w:type="spellStart"/>
      <w:r>
        <w:t>Baltussen</w:t>
      </w:r>
      <w:proofErr w:type="spellEnd"/>
      <w:r>
        <w:t xml:space="preserve"> R., </w:t>
      </w:r>
      <w:proofErr w:type="spellStart"/>
      <w:r>
        <w:t>Boysen</w:t>
      </w:r>
      <w:proofErr w:type="spellEnd"/>
      <w:r>
        <w:t xml:space="preserve"> M., </w:t>
      </w:r>
      <w:proofErr w:type="spellStart"/>
      <w:r>
        <w:t>Kalo</w:t>
      </w:r>
      <w:proofErr w:type="spellEnd"/>
      <w:r>
        <w:t xml:space="preserve"> Z., </w:t>
      </w:r>
      <w:proofErr w:type="spellStart"/>
      <w:r>
        <w:t>Lonngren</w:t>
      </w:r>
      <w:proofErr w:type="spellEnd"/>
      <w:r>
        <w:t xml:space="preserve"> T., </w:t>
      </w:r>
      <w:proofErr w:type="spellStart"/>
      <w:r>
        <w:t>Mussen</w:t>
      </w:r>
      <w:proofErr w:type="spellEnd"/>
      <w:r>
        <w:t xml:space="preserve"> F., </w:t>
      </w:r>
      <w:proofErr w:type="spellStart"/>
      <w:r>
        <w:t>Peacock</w:t>
      </w:r>
      <w:proofErr w:type="spellEnd"/>
      <w:r>
        <w:t xml:space="preserve"> S., Watkins J., </w:t>
      </w:r>
      <w:proofErr w:type="spellStart"/>
      <w:r>
        <w:t>Devlin</w:t>
      </w:r>
      <w:proofErr w:type="spellEnd"/>
      <w:r>
        <w:t xml:space="preserve"> N., «Multiple </w:t>
      </w:r>
      <w:proofErr w:type="spellStart"/>
      <w:r>
        <w:t>Criteria</w:t>
      </w:r>
      <w:proofErr w:type="spellEnd"/>
      <w:r>
        <w:t xml:space="preserve"> </w:t>
      </w:r>
      <w:proofErr w:type="spellStart"/>
      <w:r>
        <w:t>Decision</w:t>
      </w:r>
      <w:proofErr w:type="spellEnd"/>
      <w:r>
        <w:t xml:space="preserve"> Analysis for </w:t>
      </w:r>
      <w:proofErr w:type="spellStart"/>
      <w:r>
        <w:t>Health</w:t>
      </w:r>
      <w:proofErr w:type="spellEnd"/>
      <w:r>
        <w:t xml:space="preserve"> Care </w:t>
      </w:r>
      <w:proofErr w:type="spellStart"/>
      <w:r>
        <w:t>Decision</w:t>
      </w:r>
      <w:proofErr w:type="spellEnd"/>
      <w:r>
        <w:t xml:space="preserve"> </w:t>
      </w:r>
      <w:proofErr w:type="spellStart"/>
      <w:r>
        <w:t>Making</w:t>
      </w:r>
      <w:proofErr w:type="spellEnd"/>
      <w:r>
        <w:t xml:space="preserve"> — </w:t>
      </w:r>
      <w:proofErr w:type="spellStart"/>
      <w:r>
        <w:t>Emerging</w:t>
      </w:r>
      <w:proofErr w:type="spellEnd"/>
      <w:r>
        <w:t xml:space="preserve"> </w:t>
      </w:r>
      <w:proofErr w:type="spellStart"/>
      <w:r>
        <w:t>Good</w:t>
      </w:r>
      <w:proofErr w:type="spellEnd"/>
      <w:r>
        <w:t xml:space="preserve"> </w:t>
      </w:r>
      <w:proofErr w:type="spellStart"/>
      <w:r>
        <w:t>Practices</w:t>
      </w:r>
      <w:proofErr w:type="spellEnd"/>
      <w:r>
        <w:t xml:space="preserve">: Report 2 of the ISPOR MCDA </w:t>
      </w:r>
      <w:proofErr w:type="spellStart"/>
      <w:r>
        <w:t>Emerging</w:t>
      </w:r>
      <w:proofErr w:type="spellEnd"/>
      <w:r>
        <w:t xml:space="preserve"> </w:t>
      </w:r>
      <w:proofErr w:type="spellStart"/>
      <w:r>
        <w:t>Good</w:t>
      </w:r>
      <w:proofErr w:type="spellEnd"/>
      <w:r>
        <w:t xml:space="preserve"> </w:t>
      </w:r>
      <w:proofErr w:type="spellStart"/>
      <w:r>
        <w:t>Practices</w:t>
      </w:r>
      <w:proofErr w:type="spellEnd"/>
      <w:r>
        <w:t xml:space="preserve"> Task Force», Value in </w:t>
      </w:r>
      <w:proofErr w:type="spellStart"/>
      <w:r>
        <w:t>Health</w:t>
      </w:r>
      <w:proofErr w:type="spellEnd"/>
      <w:r>
        <w:t>, vol. 19, n. 2, 2016, pp. 125–137.</w:t>
      </w:r>
    </w:p>
    <w:p w14:paraId="34359982" w14:textId="77777777" w:rsidR="007C4598" w:rsidRDefault="007C4598"/>
    <w:p w14:paraId="074EED71" w14:textId="77777777" w:rsidR="007C4598" w:rsidRDefault="00000000">
      <w:pPr>
        <w:jc w:val="both"/>
      </w:pPr>
      <w:r>
        <w:rPr>
          <w:i/>
          <w:iCs/>
        </w:rPr>
        <w:t>Mini-riassunto. È il secondo rapporto della task force sulla sintesi multi-criterio, che espone le buone pratiche del metodo — la selezione dei criteri, la costruzione delle scale di punteggio, l’attribuzione dei pesi e l’analisi di sensibilità — adottate nella quarta voce di questa parte, compresa la verifica della robustezza del punteggio composito rispetto alla scelta dei pesi, che ne ha confermato la stabilità.</w:t>
      </w:r>
    </w:p>
    <w:p w14:paraId="79F7BA06" w14:textId="77777777" w:rsidR="007C4598" w:rsidRDefault="007C4598"/>
    <w:p w14:paraId="2FA87E4D" w14:textId="77777777" w:rsidR="007C4598" w:rsidRDefault="00000000">
      <w:pPr>
        <w:jc w:val="both"/>
      </w:pPr>
      <w:r>
        <w:rPr>
          <w:b/>
          <w:bCs/>
        </w:rPr>
        <w:t xml:space="preserve">▪  </w:t>
      </w:r>
      <w:proofErr w:type="spellStart"/>
      <w:r>
        <w:t>McDaid</w:t>
      </w:r>
      <w:proofErr w:type="spellEnd"/>
      <w:r>
        <w:t xml:space="preserve"> D., Park A. L., </w:t>
      </w:r>
      <w:proofErr w:type="spellStart"/>
      <w:r>
        <w:t>Wahlbeck</w:t>
      </w:r>
      <w:proofErr w:type="spellEnd"/>
      <w:r>
        <w:t xml:space="preserve"> K., «The </w:t>
      </w:r>
      <w:proofErr w:type="spellStart"/>
      <w:r>
        <w:t>Economic</w:t>
      </w:r>
      <w:proofErr w:type="spellEnd"/>
      <w:r>
        <w:t xml:space="preserve"> Case for the </w:t>
      </w:r>
      <w:proofErr w:type="spellStart"/>
      <w:r>
        <w:t>Prevention</w:t>
      </w:r>
      <w:proofErr w:type="spellEnd"/>
      <w:r>
        <w:t xml:space="preserve"> of </w:t>
      </w:r>
      <w:proofErr w:type="spellStart"/>
      <w:r>
        <w:t>Mental</w:t>
      </w:r>
      <w:proofErr w:type="spellEnd"/>
      <w:r>
        <w:t xml:space="preserve"> </w:t>
      </w:r>
      <w:proofErr w:type="spellStart"/>
      <w:r>
        <w:t>Illness</w:t>
      </w:r>
      <w:proofErr w:type="spellEnd"/>
      <w:r>
        <w:t xml:space="preserve">», </w:t>
      </w:r>
      <w:proofErr w:type="spellStart"/>
      <w:r>
        <w:t>Annual</w:t>
      </w:r>
      <w:proofErr w:type="spellEnd"/>
      <w:r>
        <w:t xml:space="preserve"> </w:t>
      </w:r>
      <w:proofErr w:type="spellStart"/>
      <w:r>
        <w:t>Review</w:t>
      </w:r>
      <w:proofErr w:type="spellEnd"/>
      <w:r>
        <w:t xml:space="preserve"> of Public </w:t>
      </w:r>
      <w:proofErr w:type="spellStart"/>
      <w:r>
        <w:t>Health</w:t>
      </w:r>
      <w:proofErr w:type="spellEnd"/>
      <w:r>
        <w:t>, vol. 40, 2019, pp. 373–389.</w:t>
      </w:r>
    </w:p>
    <w:p w14:paraId="6E022F0E" w14:textId="77777777" w:rsidR="007C4598" w:rsidRDefault="007C4598"/>
    <w:p w14:paraId="64D4192E" w14:textId="77777777" w:rsidR="007C4598" w:rsidRDefault="00000000">
      <w:pPr>
        <w:jc w:val="both"/>
      </w:pPr>
      <w:r>
        <w:rPr>
          <w:i/>
          <w:iCs/>
        </w:rPr>
        <w:t xml:space="preserve">Mini-riassunto. È la rassegna dell’evidenza economica sulla prevenzione del disagio mentale, che documenta il rendimento favorevole degli interventi e ne sostiene la costo-efficacia e il valore sociale, a corredo del rendimento della riforma stabilito in questa parte e della sua collocazione entro gli intervalli di </w:t>
      </w:r>
      <w:proofErr w:type="spellStart"/>
      <w:r>
        <w:rPr>
          <w:i/>
          <w:iCs/>
        </w:rPr>
        <w:t>Chisholm</w:t>
      </w:r>
      <w:proofErr w:type="spellEnd"/>
      <w:r>
        <w:rPr>
          <w:i/>
          <w:iCs/>
        </w:rPr>
        <w:t>, e a sostegno della dimensione di salute e della dimensione sociale del valore.</w:t>
      </w:r>
    </w:p>
    <w:p w14:paraId="37D6E589" w14:textId="77777777" w:rsidR="007C4598" w:rsidRDefault="007C4598"/>
    <w:p w14:paraId="4A307ADB" w14:textId="77777777" w:rsidR="007C4598" w:rsidRDefault="00000000">
      <w:pPr>
        <w:jc w:val="both"/>
      </w:pPr>
      <w:r>
        <w:rPr>
          <w:b/>
          <w:bCs/>
        </w:rPr>
        <w:t xml:space="preserve">▪  </w:t>
      </w:r>
      <w:proofErr w:type="spellStart"/>
      <w:r>
        <w:t>Layard</w:t>
      </w:r>
      <w:proofErr w:type="spellEnd"/>
      <w:r>
        <w:t xml:space="preserve"> R., Clark D. M., «</w:t>
      </w:r>
      <w:proofErr w:type="spellStart"/>
      <w:r>
        <w:t>Thrive</w:t>
      </w:r>
      <w:proofErr w:type="spellEnd"/>
      <w:r>
        <w:t xml:space="preserve">: How </w:t>
      </w:r>
      <w:proofErr w:type="spellStart"/>
      <w:r>
        <w:t>Better</w:t>
      </w:r>
      <w:proofErr w:type="spellEnd"/>
      <w:r>
        <w:t xml:space="preserve"> </w:t>
      </w:r>
      <w:proofErr w:type="spellStart"/>
      <w:r>
        <w:t>Mental</w:t>
      </w:r>
      <w:proofErr w:type="spellEnd"/>
      <w:r>
        <w:t xml:space="preserve"> </w:t>
      </w:r>
      <w:proofErr w:type="spellStart"/>
      <w:r>
        <w:t>Health</w:t>
      </w:r>
      <w:proofErr w:type="spellEnd"/>
      <w:r>
        <w:t xml:space="preserve"> Care </w:t>
      </w:r>
      <w:proofErr w:type="spellStart"/>
      <w:r>
        <w:t>Transforms</w:t>
      </w:r>
      <w:proofErr w:type="spellEnd"/>
      <w:r>
        <w:t xml:space="preserve"> </w:t>
      </w:r>
      <w:proofErr w:type="spellStart"/>
      <w:r>
        <w:t>Lives</w:t>
      </w:r>
      <w:proofErr w:type="spellEnd"/>
      <w:r>
        <w:t xml:space="preserve"> and </w:t>
      </w:r>
      <w:proofErr w:type="spellStart"/>
      <w:r>
        <w:t>Saves</w:t>
      </w:r>
      <w:proofErr w:type="spellEnd"/>
      <w:r>
        <w:t xml:space="preserve"> Money», Princeton </w:t>
      </w:r>
      <w:proofErr w:type="spellStart"/>
      <w:r>
        <w:t>University</w:t>
      </w:r>
      <w:proofErr w:type="spellEnd"/>
      <w:r>
        <w:t xml:space="preserve"> Press, Princeton, 2014.</w:t>
      </w:r>
    </w:p>
    <w:p w14:paraId="40E60557" w14:textId="77777777" w:rsidR="007C4598" w:rsidRDefault="007C4598"/>
    <w:p w14:paraId="5367B604" w14:textId="77777777" w:rsidR="007C4598" w:rsidRDefault="00000000">
      <w:pPr>
        <w:jc w:val="both"/>
      </w:pPr>
      <w:r>
        <w:rPr>
          <w:i/>
          <w:iCs/>
        </w:rPr>
        <w:t>Mini-riassunto. È l’analisi del caso economico per l’espansione dell’accesso alle terapie psicologiche nelle cure primarie, che documenta la costo-efficacia dell’intervento psicologico per il disagio comune e il suo valore per la collettività, a sostegno del modello del primo livello psicologico oggetto della riforma e della dimensione di salute del suo valore, stabilita dalla valutazione costo-utilità di questa parte.</w:t>
      </w:r>
    </w:p>
    <w:p w14:paraId="4CBEA85F" w14:textId="77777777" w:rsidR="007C4598" w:rsidRDefault="007C4598"/>
    <w:p w14:paraId="494E1416" w14:textId="77777777" w:rsidR="007C4598" w:rsidRDefault="00000000">
      <w:pPr>
        <w:jc w:val="both"/>
      </w:pPr>
      <w:r>
        <w:rPr>
          <w:b/>
          <w:bCs/>
        </w:rPr>
        <w:t xml:space="preserve">▪  </w:t>
      </w:r>
      <w:r>
        <w:t xml:space="preserve">OECD, «A New Benchmark for </w:t>
      </w:r>
      <w:proofErr w:type="spellStart"/>
      <w:r>
        <w:t>Mental</w:t>
      </w:r>
      <w:proofErr w:type="spellEnd"/>
      <w:r>
        <w:t xml:space="preserve"> </w:t>
      </w:r>
      <w:proofErr w:type="spellStart"/>
      <w:r>
        <w:t>Health</w:t>
      </w:r>
      <w:proofErr w:type="spellEnd"/>
      <w:r>
        <w:t xml:space="preserve"> Systems: </w:t>
      </w:r>
      <w:proofErr w:type="spellStart"/>
      <w:r>
        <w:t>Tackling</w:t>
      </w:r>
      <w:proofErr w:type="spellEnd"/>
      <w:r>
        <w:t xml:space="preserve"> the Social and </w:t>
      </w:r>
      <w:proofErr w:type="spellStart"/>
      <w:r>
        <w:t>Economic</w:t>
      </w:r>
      <w:proofErr w:type="spellEnd"/>
      <w:r>
        <w:t xml:space="preserve"> </w:t>
      </w:r>
      <w:proofErr w:type="spellStart"/>
      <w:r>
        <w:t>Costs</w:t>
      </w:r>
      <w:proofErr w:type="spellEnd"/>
      <w:r>
        <w:t xml:space="preserve"> of </w:t>
      </w:r>
      <w:proofErr w:type="spellStart"/>
      <w:r>
        <w:t>Mental</w:t>
      </w:r>
      <w:proofErr w:type="spellEnd"/>
      <w:r>
        <w:t xml:space="preserve"> </w:t>
      </w:r>
      <w:proofErr w:type="spellStart"/>
      <w:r>
        <w:t>Ill-Health</w:t>
      </w:r>
      <w:proofErr w:type="spellEnd"/>
      <w:r>
        <w:t xml:space="preserve">», OECD </w:t>
      </w:r>
      <w:proofErr w:type="spellStart"/>
      <w:r>
        <w:t>Health</w:t>
      </w:r>
      <w:proofErr w:type="spellEnd"/>
      <w:r>
        <w:t xml:space="preserve"> Policy </w:t>
      </w:r>
      <w:proofErr w:type="spellStart"/>
      <w:r>
        <w:t>Studies</w:t>
      </w:r>
      <w:proofErr w:type="spellEnd"/>
      <w:r>
        <w:t>, OECD Publishing, Parigi, 2021.</w:t>
      </w:r>
    </w:p>
    <w:p w14:paraId="53656615" w14:textId="77777777" w:rsidR="007C4598" w:rsidRDefault="007C4598"/>
    <w:p w14:paraId="740A2884" w14:textId="77777777" w:rsidR="007C4598" w:rsidRDefault="00000000">
      <w:pPr>
        <w:jc w:val="both"/>
      </w:pPr>
      <w:r>
        <w:rPr>
          <w:i/>
          <w:iCs/>
        </w:rPr>
        <w:t>Mini-riassunto. È lo studio comparato dei sistemi di salute mentale, che quantifica i costi sociali ed economici del disagio mentale e ne documenta l’incidenza sui molteplici domini — il lavoro, la produttività, i sistemi previdenziali e assistenziali — a corredo della dimensione sociale indiretta del valore della riforma, ricomposta nel saldo consolidato e distinta dalla dimensione fiscale diretta.</w:t>
      </w:r>
    </w:p>
    <w:p w14:paraId="44C13794" w14:textId="77777777" w:rsidR="007C4598" w:rsidRDefault="007C4598"/>
    <w:p w14:paraId="437E0AB2" w14:textId="77777777" w:rsidR="007C4598" w:rsidRDefault="00000000">
      <w:pPr>
        <w:jc w:val="both"/>
      </w:pPr>
      <w:r>
        <w:rPr>
          <w:b/>
          <w:bCs/>
        </w:rPr>
        <w:t xml:space="preserve">▪  </w:t>
      </w:r>
      <w:r>
        <w:t xml:space="preserve">World </w:t>
      </w:r>
      <w:proofErr w:type="spellStart"/>
      <w:r>
        <w:t>Health</w:t>
      </w:r>
      <w:proofErr w:type="spellEnd"/>
      <w:r>
        <w:t xml:space="preserve"> Organization, «World </w:t>
      </w:r>
      <w:proofErr w:type="spellStart"/>
      <w:r>
        <w:t>Mental</w:t>
      </w:r>
      <w:proofErr w:type="spellEnd"/>
      <w:r>
        <w:t xml:space="preserve"> </w:t>
      </w:r>
      <w:proofErr w:type="spellStart"/>
      <w:r>
        <w:t>Health</w:t>
      </w:r>
      <w:proofErr w:type="spellEnd"/>
      <w:r>
        <w:t xml:space="preserve"> Report: </w:t>
      </w:r>
      <w:proofErr w:type="spellStart"/>
      <w:r>
        <w:t>Transforming</w:t>
      </w:r>
      <w:proofErr w:type="spellEnd"/>
      <w:r>
        <w:t xml:space="preserve"> </w:t>
      </w:r>
      <w:proofErr w:type="spellStart"/>
      <w:r>
        <w:t>Mental</w:t>
      </w:r>
      <w:proofErr w:type="spellEnd"/>
      <w:r>
        <w:t xml:space="preserve"> </w:t>
      </w:r>
      <w:proofErr w:type="spellStart"/>
      <w:r>
        <w:t>Health</w:t>
      </w:r>
      <w:proofErr w:type="spellEnd"/>
      <w:r>
        <w:t xml:space="preserve"> for </w:t>
      </w:r>
      <w:proofErr w:type="spellStart"/>
      <w:r>
        <w:t>All</w:t>
      </w:r>
      <w:proofErr w:type="spellEnd"/>
      <w:r>
        <w:t xml:space="preserve">», World </w:t>
      </w:r>
      <w:proofErr w:type="spellStart"/>
      <w:r>
        <w:t>Health</w:t>
      </w:r>
      <w:proofErr w:type="spellEnd"/>
      <w:r>
        <w:t xml:space="preserve"> Organization, Ginevra, 2022.</w:t>
      </w:r>
    </w:p>
    <w:p w14:paraId="556D3803" w14:textId="77777777" w:rsidR="007C4598" w:rsidRDefault="007C4598"/>
    <w:p w14:paraId="5A0AB3C3" w14:textId="77777777" w:rsidR="007C4598" w:rsidRDefault="00000000">
      <w:pPr>
        <w:jc w:val="both"/>
      </w:pPr>
      <w:r>
        <w:rPr>
          <w:i/>
          <w:iCs/>
        </w:rPr>
        <w:t>Mini-riassunto. È il rapporto mondiale sulla salute mentale, che documenta il divario di trattamento e il valore della sua riduzione attraverso l’integrazione dei servizi psicologici nelle cure primarie, a cornice della riforma del primo livello psicologico e del suo valore di salute e sociale, e a sostegno della finalità di salute che la sintesi multi-criterio ha collocato al vertice dei criteri.</w:t>
      </w:r>
    </w:p>
    <w:p w14:paraId="679F3686" w14:textId="77777777" w:rsidR="007C4598" w:rsidRDefault="007C4598"/>
    <w:p w14:paraId="61FBA817" w14:textId="77777777" w:rsidR="007C4598" w:rsidRDefault="00000000">
      <w:pPr>
        <w:pStyle w:val="Titolo2"/>
        <w:spacing w:before="200" w:after="100"/>
      </w:pPr>
      <w:r>
        <w:rPr>
          <w:sz w:val="22"/>
          <w:szCs w:val="22"/>
        </w:rPr>
        <w:t>Nota sui rinvii interni e sui principi metodologici</w:t>
      </w:r>
    </w:p>
    <w:p w14:paraId="0E6C6C66" w14:textId="77777777" w:rsidR="007C4598" w:rsidRDefault="007C4598"/>
    <w:p w14:paraId="70874A10" w14:textId="77777777" w:rsidR="007C4598" w:rsidRDefault="00000000">
      <w:pPr>
        <w:jc w:val="both"/>
      </w:pPr>
      <w:r>
        <w:t>La decima parte è la sede di sintesi della valutazione economica dell’intero studio, e si raccorda perciò con un’ampia rete di parti, da cui assume le grandezze e a cui consegna il proprio risultato. Essa assume i costi diretti dell’investimento stabiliti dalla settima parte, i risparmi fiscali diretti stabiliti dall’ottava e i benefici sociali indiretti stabiliti dalla nona, e li ricompone nel saldo consolidato; trae dalla sesta parte l’evidenza di efficacia che sostiene la stima dei guadagni di salute della valutazione costo-utilità; richiama la quarta parte per le leve abilitanti che, potenziando la figura, accrescono il valore che la valutazione ricompone; e si radica nella terza parte, di cui il saldo consolidato costituisce la traduzione economica, ricomponendo in grandezze il valore che la cascata delle figure genera e propaga dall’apice ai domini periferici. Verso le parti successive, essa consegna il saldo consolidato alla modellazione dell’undicesima parte, che ne proietterà le grandezze nel tempo e ne trarrà le previsioni falsificabili, e all’analisi distributiva della dodicesima parte, che ne studierà la ripartizione tra i territori e le popolazioni; e fornisce il fulcro economico su cui le parti conclusive innesteranno i profili etico-giuridici, l’attuazione, il monitoraggio e le raccomandazioni.</w:t>
      </w:r>
    </w:p>
    <w:p w14:paraId="11312CD2" w14:textId="77777777" w:rsidR="007C4598" w:rsidRDefault="007C4598"/>
    <w:p w14:paraId="26912212" w14:textId="77777777" w:rsidR="007C4598" w:rsidRDefault="00000000">
      <w:pPr>
        <w:jc w:val="both"/>
      </w:pPr>
      <w:r>
        <w:t xml:space="preserve">I principi metodologici invarianti dello studio governano la valutazione economica integrata in ogni suo passaggio. La distinzione cardine tra le grandezze fiscali dirette, sociali indirette e di salute è mantenuta fino al saldo conclusivo, che le ricompone in colonne distinte senza sommarle in un’unica cifra, in ossequio alla regola di non duplicazione. Il duplice intervallo di </w:t>
      </w:r>
      <w:proofErr w:type="spellStart"/>
      <w:r>
        <w:t>Chisholm</w:t>
      </w:r>
      <w:proofErr w:type="spellEnd"/>
      <w:r>
        <w:t xml:space="preserve"> opera come ancora di validazione nelle sue due fasce, verso le quali le stime della riforma convergono per tre vie indipendenti. Il </w:t>
      </w:r>
      <w:proofErr w:type="spellStart"/>
      <w:r>
        <w:t>caveat</w:t>
      </w:r>
      <w:proofErr w:type="spellEnd"/>
      <w:r>
        <w:t xml:space="preserve"> dell’IMPACT trial sui risparmi diretti governa l’analisi di impatto di bilancio, che ne preserva la variante prudenziale. I due metodi di stima delle perdite di produttività non sono mai combinati, ove l’uno o l’altro siano richiamati. Le grandezze cliniche e quelle economiche sono graduate con i medesimi criteri, e ogni stima è espressa in bande prudenziali e in previsioni falsificabili, corredate di soglie e di intervalli dichiarati. La valutazione economica integrata si conforma così, nella sua sintesi, ai medesimi principi che hanno governato le parti analitiche che la precedono, e ne costituisce il coronamento, ricomponendone i risultati in un verdetto unitario e tripartito, fondato sul rigore della separazione, della convergenza con la letteratura e della falsificabilità.</w:t>
      </w:r>
    </w:p>
    <w:p w14:paraId="28D4E5B5" w14:textId="77777777" w:rsidR="007C4598" w:rsidRDefault="007C4598"/>
    <w:p w14:paraId="0A7D0A14" w14:textId="77777777" w:rsidR="007C4598" w:rsidRDefault="00000000">
      <w:pPr>
        <w:jc w:val="both"/>
      </w:pPr>
      <w:r>
        <w:t>Valutazione economica integrata · saldo consolidato</w:t>
      </w:r>
      <w:r>
        <w:tab/>
        <w:t>L. De Michele · giugno 2026</w:t>
      </w:r>
    </w:p>
    <w:p w14:paraId="79F85304" w14:textId="77777777" w:rsidR="007C4598" w:rsidRDefault="007C4598"/>
    <w:p w14:paraId="4695B1AB" w14:textId="77777777" w:rsidR="007C4598" w:rsidRDefault="00000000">
      <w:pPr>
        <w:jc w:val="both"/>
      </w:pPr>
      <w:r>
        <w:rPr>
          <w:color w:val="555555"/>
          <w:sz w:val="16"/>
          <w:szCs w:val="16"/>
          <w:vertAlign w:val="superscript"/>
        </w:rPr>
        <w:t>[1]</w:t>
      </w:r>
      <w:r>
        <w:t>: La distinzione tra le grandezze fiscali dirette (risparmi per il bilancio sanitario regionale, parte ottava) e le grandezze sociali indirette (benefici per il tessuto economico e sociale, parte nona) è imposta dalla regola di non duplicazione enunciata nella prima parte (sezione 1.5). Le due categorie sono ricomposte nel saldo consolidato (sezione 10.5) in colonne distinte, ma non sono mai sommate in un’unica cifra. La presente parte aggiunge una terza dimensione, quella di salute, stabilita dalla valutazione costo-utilità, anch’essa tenuta distinta dalle prime due.</w:t>
      </w:r>
    </w:p>
    <w:p w14:paraId="77CDD8A4" w14:textId="77777777" w:rsidR="007C4598" w:rsidRDefault="00000000">
      <w:pPr>
        <w:jc w:val="both"/>
      </w:pPr>
      <w:r>
        <w:rPr>
          <w:color w:val="555555"/>
          <w:sz w:val="16"/>
          <w:szCs w:val="16"/>
          <w:vertAlign w:val="superscript"/>
        </w:rPr>
        <w:t>[2]</w:t>
      </w:r>
      <w:r>
        <w:t>: Il rapporto incrementale costo-efficacia esprime il costo per anno di vita in buona salute guadagnato (QALY), e si confronta con una soglia convenzionale di disponibilità a pagare. La soglia comunemente adottata nella letteratura economico-sanitaria europea e italiana è dell’ordine di 25.000–40.000 euro per QALY; valori analoghi sono impiegati da agenzie di valutazione internazionali. La valutazione adotta prudenzialmente tale intervallo come riferimento e, per la monetizzazione, il valore intermedio dell’ordine di 30.000 euro per QALY.</w:t>
      </w:r>
    </w:p>
    <w:p w14:paraId="2EFCFE85" w14:textId="77777777" w:rsidR="007C4598" w:rsidRDefault="00000000">
      <w:pPr>
        <w:jc w:val="both"/>
      </w:pPr>
      <w:r>
        <w:rPr>
          <w:color w:val="555555"/>
          <w:sz w:val="16"/>
          <w:szCs w:val="16"/>
          <w:vertAlign w:val="superscript"/>
        </w:rPr>
        <w:t>[3]</w:t>
      </w:r>
      <w:r>
        <w:t xml:space="preserve">: Il rapporto incrementale costo-efficacia è calcolato in via prudenziale sul costo diretto lordo, senza dedurre i risparmi diretti, ottenendo un rapporto conservativo (dell’ordine di 16.000–19.000 euro per QALY nei tre scenari) ampiamente inferiore alla soglia. Il rapporto netto dei risparmi diretti, più favorevole, è soggetto al </w:t>
      </w:r>
      <w:proofErr w:type="spellStart"/>
      <w:r>
        <w:t>caveat</w:t>
      </w:r>
      <w:proofErr w:type="spellEnd"/>
      <w:r>
        <w:t xml:space="preserve"> dell’IMPACT trial (</w:t>
      </w:r>
      <w:proofErr w:type="spellStart"/>
      <w:r>
        <w:t>Unützer</w:t>
      </w:r>
      <w:proofErr w:type="spellEnd"/>
      <w:r>
        <w:t xml:space="preserve"> et al. 2008) sulla significatività statistica dei risparmi sanitari diretti; la valutazione si fonda perciò sul rapporto lordo, indenne dal </w:t>
      </w:r>
      <w:proofErr w:type="spellStart"/>
      <w:r>
        <w:t>caveat</w:t>
      </w:r>
      <w:proofErr w:type="spellEnd"/>
      <w:r>
        <w:t>.</w:t>
      </w:r>
    </w:p>
    <w:p w14:paraId="3ABD0038" w14:textId="77777777" w:rsidR="007C4598" w:rsidRDefault="00000000">
      <w:pPr>
        <w:jc w:val="both"/>
      </w:pPr>
      <w:r>
        <w:rPr>
          <w:color w:val="555555"/>
          <w:sz w:val="16"/>
          <w:szCs w:val="16"/>
          <w:vertAlign w:val="superscript"/>
        </w:rPr>
        <w:t>[4]</w:t>
      </w:r>
      <w:r>
        <w:t xml:space="preserve">: Il passaggio dalla prima fascia di </w:t>
      </w:r>
      <w:proofErr w:type="spellStart"/>
      <w:r>
        <w:t>Chisholm</w:t>
      </w:r>
      <w:proofErr w:type="spellEnd"/>
      <w:r>
        <w:t xml:space="preserve"> (soli benefici economici, 2,3–3,0 a 1) alla seconda (con ritorni di salute, 3,3–5,7 a 1) è operato dall’aggiunta del valore monetizzato dei guadagni di salute ai benefici economici indiretti. Il rapporto dei soli benefici economici (~2,6, ~2,6, ~2,8 a 1) si colloca nella prima fascia; il rapporto con valore della salute (~4,2, ~4,3, ~4,6 a 1) nella seconda. La duplice collocazione costituisce una seconda convergenza con la letteratura, dopo quella della nona parte. Il valore della salute è composto con i benefici economici per il solo calcolo del rapporto, e non sommato ai risparmi diretti.</w:t>
      </w:r>
    </w:p>
    <w:p w14:paraId="7FBE3E41" w14:textId="77777777" w:rsidR="007C4598" w:rsidRDefault="00000000">
      <w:pPr>
        <w:jc w:val="both"/>
      </w:pPr>
      <w:r>
        <w:rPr>
          <w:color w:val="555555"/>
          <w:sz w:val="16"/>
          <w:szCs w:val="16"/>
          <w:vertAlign w:val="superscript"/>
        </w:rPr>
        <w:t>[5]</w:t>
      </w:r>
      <w:r>
        <w:t>: La costo-efficacia della riforma, stabilita sul rapporto lordo, è il risultato più robusto della voce, perché non dipende né dai risparmi diretti né dai benefici indiretti, ma soltanto dal rapporto tra costo diretto e guadagni di salute, sostenuto da evidenza graduata da moderata ad alta (sesta parte). La monetizzazione del valore dei guadagni di salute dipende invece dal valore convenzionale dell’anno di vita in buona salute, una convenzione dichiarata; le bande prudenziali dei guadagni di salute si propagano ai rapporti, verificati sui valori centrali. La proiezione pluriennale è riservata alla modellazione (undicesima parte).</w:t>
      </w:r>
    </w:p>
    <w:p w14:paraId="4067429E" w14:textId="77777777" w:rsidR="007C4598" w:rsidRDefault="00000000">
      <w:pPr>
        <w:jc w:val="both"/>
      </w:pPr>
      <w:r>
        <w:rPr>
          <w:color w:val="555555"/>
          <w:sz w:val="16"/>
          <w:szCs w:val="16"/>
          <w:vertAlign w:val="superscript"/>
        </w:rPr>
        <w:t>[6]</w:t>
      </w:r>
      <w:r>
        <w:t xml:space="preserve">: L’analisi di impatto di bilancio (Budget Impact Analysis) misura la sostenibilità finanziaria di un intervento per un bilancio determinato in un orizzonte definito, ed è complementare alla valutazione costo-efficacia, che ne misura l’efficienza. Un intervento può essere costo-efficace e tuttavia comportare un impatto di bilancio rilevante se la popolazione è ampia, o viceversa; la valutazione completa richiede entrambe le analisi. Cfr. </w:t>
      </w:r>
      <w:proofErr w:type="spellStart"/>
      <w:r>
        <w:t>Drummond</w:t>
      </w:r>
      <w:proofErr w:type="spellEnd"/>
      <w:r>
        <w:t xml:space="preserve"> et al. 2015 per l’impianto metodologico delle due analisi.</w:t>
      </w:r>
    </w:p>
    <w:p w14:paraId="54737CBE" w14:textId="77777777" w:rsidR="007C4598" w:rsidRDefault="00000000">
      <w:pPr>
        <w:jc w:val="both"/>
      </w:pPr>
      <w:r>
        <w:rPr>
          <w:color w:val="555555"/>
          <w:sz w:val="16"/>
          <w:szCs w:val="16"/>
          <w:vertAlign w:val="superscript"/>
        </w:rPr>
        <w:t>[7]</w:t>
      </w:r>
      <w:r>
        <w:t>: La traiettoria quinquennale dell’impatto di bilancio (scenario intermedio) modella il crescere dei costi (22, 32, 38, 38, 38 milioni) e il ritardato maturare dei risparmi (2, 9, 18, 27, 34 milioni), con impatto netto sul bilancio sanitario di +20, +23, +20, +11, +4 milioni nei cinque anni. L’impatto cumulato del quinquennio è dell’ordine di 78 milioni, concentrato nei primi anni. Il pareggio quasi raggiunto al quinto anno è coerente con il saldo fiscale diretto a regime stabilito dall’ottava parte.</w:t>
      </w:r>
    </w:p>
    <w:p w14:paraId="6D855A97" w14:textId="77777777" w:rsidR="007C4598" w:rsidRDefault="00000000">
      <w:pPr>
        <w:jc w:val="both"/>
      </w:pPr>
      <w:r>
        <w:rPr>
          <w:color w:val="555555"/>
          <w:sz w:val="16"/>
          <w:szCs w:val="16"/>
          <w:vertAlign w:val="superscript"/>
        </w:rPr>
        <w:t>[8]</w:t>
      </w:r>
      <w:r>
        <w:t xml:space="preserve">: La variante prudenziale dell’analisi di impatto di bilancio esclude i risparmi diretti, in ossequio al </w:t>
      </w:r>
      <w:proofErr w:type="spellStart"/>
      <w:r>
        <w:t>caveat</w:t>
      </w:r>
      <w:proofErr w:type="spellEnd"/>
      <w:r>
        <w:t xml:space="preserve"> dell’IMPACT trial (</w:t>
      </w:r>
      <w:proofErr w:type="spellStart"/>
      <w:r>
        <w:t>Unützer</w:t>
      </w:r>
      <w:proofErr w:type="spellEnd"/>
      <w:r>
        <w:t xml:space="preserve"> et al. 2008), e computa il solo costo lordo: l’impatto netto coincide con il costo, ~38 milioni l’anno a regime, e l’impatto cumulato del quinquennio è dell’ordine di 168 milioni, contro i 78 della variante centrale. La differenza (~90 milioni cumulati) è il valore dei risparmi diretti. La conclusione di sostenibilità, fondandosi anche sulla variante prudenziale, è robusta rispetto al </w:t>
      </w:r>
      <w:proofErr w:type="spellStart"/>
      <w:r>
        <w:t>caveat</w:t>
      </w:r>
      <w:proofErr w:type="spellEnd"/>
      <w:r>
        <w:t>.</w:t>
      </w:r>
    </w:p>
    <w:p w14:paraId="2FF13D54" w14:textId="77777777" w:rsidR="007C4598" w:rsidRDefault="00000000">
      <w:pPr>
        <w:jc w:val="both"/>
      </w:pPr>
      <w:r>
        <w:rPr>
          <w:color w:val="555555"/>
          <w:sz w:val="16"/>
          <w:szCs w:val="16"/>
          <w:vertAlign w:val="superscript"/>
        </w:rPr>
        <w:t>[9]</w:t>
      </w:r>
      <w:r>
        <w:t>: La sostenibilità è valutata rapportando l’impatto di bilancio al Fondo Sanitario Regionale della Puglia, dell’ordine di alcuni miliardi di euro l’anno (ordine di grandezza ~8.000 milioni). Il costo lordo a regime (~38 milioni) è dell’ordine di mezzo punto percentuale del Fondo; l’impatto netto della variante centrale a regime (~4 milioni) è una frazione trascurabile (~0,05%); anche la variante prudenziale resta entro mezzo punto percentuale. La riforma è perciò ampiamente sostenibile per il bilancio sanitario regionale.</w:t>
      </w:r>
    </w:p>
    <w:p w14:paraId="54CA9DB3" w14:textId="77777777" w:rsidR="007C4598" w:rsidRDefault="00000000">
      <w:pPr>
        <w:jc w:val="both"/>
      </w:pPr>
      <w:r>
        <w:rPr>
          <w:color w:val="555555"/>
          <w:sz w:val="16"/>
          <w:szCs w:val="16"/>
          <w:vertAlign w:val="superscript"/>
        </w:rPr>
        <w:t>[10]</w:t>
      </w:r>
      <w:r>
        <w:t>: La traiettoria dei costi è graduata alta (parametri di costo osservabili, settima parte); la traiettoria dei risparmi è graduata bassa (</w:t>
      </w:r>
      <w:proofErr w:type="spellStart"/>
      <w:r>
        <w:t>caveat</w:t>
      </w:r>
      <w:proofErr w:type="spellEnd"/>
      <w:r>
        <w:t xml:space="preserve"> IMPACT, profilo di maturazione stimato). L’impatto netto, differenza tra le due, eredita l’incertezza dei risparmi ed è presentato in due varianti (centrale e prudenziale) che ne delimitano l’intervallo. La conclusione di sostenibilità vale anche nella variante prudenziale, ed è perciò robusta. La proiezione oltre il quinquennio è riservata alla modellazione (undicesima parte).</w:t>
      </w:r>
    </w:p>
    <w:p w14:paraId="7C10C23A" w14:textId="77777777" w:rsidR="007C4598" w:rsidRDefault="00000000">
      <w:pPr>
        <w:jc w:val="both"/>
      </w:pPr>
      <w:r>
        <w:rPr>
          <w:color w:val="555555"/>
          <w:sz w:val="16"/>
          <w:szCs w:val="16"/>
          <w:vertAlign w:val="superscript"/>
        </w:rPr>
        <w:t>[11]</w:t>
      </w:r>
      <w:r>
        <w:t xml:space="preserve">: Il rendimento sociale dell’investimento (Social Return on </w:t>
      </w:r>
      <w:proofErr w:type="spellStart"/>
      <w:r>
        <w:t>Investment</w:t>
      </w:r>
      <w:proofErr w:type="spellEnd"/>
      <w:r>
        <w:t>) misura il valore sociale complessivo creato per ogni euro investito, ed è la più ampia delle misure della valutazione, perché abbraccia i benefici sociali indiretti e il valore dei guadagni di salute. Esso si distingue dalla costo-efficacia (soli esiti di salute) e dall’analisi di impatto di bilancio (soli effetti sul bilancio sanitario). Cfr. la metodologia consolidata del rendimento sociale per l’impianto dei deflatori.</w:t>
      </w:r>
    </w:p>
    <w:p w14:paraId="29F821FC" w14:textId="77777777" w:rsidR="007C4598" w:rsidRDefault="00000000">
      <w:pPr>
        <w:jc w:val="both"/>
      </w:pPr>
      <w:r>
        <w:rPr>
          <w:color w:val="555555"/>
          <w:sz w:val="16"/>
          <w:szCs w:val="16"/>
          <w:vertAlign w:val="superscript"/>
        </w:rPr>
        <w:t>[12]</w:t>
      </w:r>
      <w:r>
        <w:t>: I quattro deflatori del rendimento sociale — per ciò che si sarebbe verificato comunque (</w:t>
      </w:r>
      <w:proofErr w:type="spellStart"/>
      <w:r>
        <w:t>deadweight</w:t>
      </w:r>
      <w:proofErr w:type="spellEnd"/>
      <w:r>
        <w:t>, ~15%), per l’attribuzione ad altri fattori (~8%), per gli effetti spostati altrove (</w:t>
      </w:r>
      <w:proofErr w:type="spellStart"/>
      <w:r>
        <w:t>displacement</w:t>
      </w:r>
      <w:proofErr w:type="spellEnd"/>
      <w:r>
        <w:t>, ~4%) e per il decadimento nel tempo (minimo, riferito all’orizzonte annuale) — si compongono in un fattore di ritenzione dell’ordine di 0,75, corrispondente a una riduzione complessiva del valore lordo dell’ordine di un quarto. La riduzione è il presidio di prudenza del metodo, che attribuisce alla riforma il solo valore genuinamente imputabile.</w:t>
      </w:r>
    </w:p>
    <w:p w14:paraId="2F3C7E37" w14:textId="77777777" w:rsidR="007C4598" w:rsidRDefault="00000000">
      <w:pPr>
        <w:jc w:val="both"/>
      </w:pPr>
      <w:r>
        <w:rPr>
          <w:color w:val="555555"/>
          <w:sz w:val="16"/>
          <w:szCs w:val="16"/>
          <w:vertAlign w:val="superscript"/>
        </w:rPr>
        <w:t>[13]</w:t>
      </w:r>
      <w:r>
        <w:t xml:space="preserve">: Il rendimento sociale netto (~3,1, ~3,2, ~3,5 a 1 nei tre scenari) è calcolato sul valore sociale netto (~78, ~123, ~174 milioni) rapportato all’investimento (~25, ~38, ~50 milioni). Esso è deliberatamente più conservativo del rapporto lordo con valore della salute (~4,2, ~4,3, ~4,6 a 1, voce 10.1), e la differenza è l’effetto dei deflatori. Il rendimento netto si colloca in prossimità del margine inferiore della fascia superiore di </w:t>
      </w:r>
      <w:proofErr w:type="spellStart"/>
      <w:r>
        <w:t>Chisholm</w:t>
      </w:r>
      <w:proofErr w:type="spellEnd"/>
      <w:r>
        <w:t xml:space="preserve"> (3,3–5,7 a 1), a conferma della robustezza del valore anche con il metodo più prudente.</w:t>
      </w:r>
    </w:p>
    <w:p w14:paraId="3EC2CA43" w14:textId="77777777" w:rsidR="007C4598" w:rsidRDefault="00000000">
      <w:pPr>
        <w:jc w:val="both"/>
      </w:pPr>
      <w:r>
        <w:rPr>
          <w:color w:val="555555"/>
          <w:sz w:val="16"/>
          <w:szCs w:val="16"/>
          <w:vertAlign w:val="superscript"/>
        </w:rPr>
        <w:t>[14]</w:t>
      </w:r>
      <w:r>
        <w:t>: Il valore sociale lordo eredita la graduazione delle sue componenti (benefici indiretti, da moderata a bassa; valore della salute, costo-efficacia solida ma monetizzazione convenzionale); i deflatori sono soggetti a incertezza, essendo riferiti a valori comunemente adottati ma non specifici al contesto. Il rendimento netto è perciò stima centrale di un intervallo. Esso esclude le grandezze fiscali dirette (oggetto dell’analisi di impatto di bilancio) ed è riferito ai valori annui; la proiezione pluriennale, con il decadimento, è riservata alla modellazione (undicesima parte).</w:t>
      </w:r>
    </w:p>
    <w:p w14:paraId="51D654B7" w14:textId="77777777" w:rsidR="007C4598" w:rsidRDefault="00000000">
      <w:pPr>
        <w:jc w:val="both"/>
      </w:pPr>
      <w:r>
        <w:rPr>
          <w:color w:val="555555"/>
          <w:sz w:val="16"/>
          <w:szCs w:val="16"/>
          <w:vertAlign w:val="superscript"/>
        </w:rPr>
        <w:t>[15]</w:t>
      </w:r>
      <w:r>
        <w:t>: La sintesi multi-criterio (Multi-</w:t>
      </w:r>
      <w:proofErr w:type="spellStart"/>
      <w:r>
        <w:t>Criteria</w:t>
      </w:r>
      <w:proofErr w:type="spellEnd"/>
      <w:r>
        <w:t xml:space="preserve"> </w:t>
      </w:r>
      <w:proofErr w:type="spellStart"/>
      <w:r>
        <w:t>Decision</w:t>
      </w:r>
      <w:proofErr w:type="spellEnd"/>
      <w:r>
        <w:t xml:space="preserve"> Analysis) compone in un quadro unitario dimensioni eterogenee, non riducibili a un’unica unità di misura, mediante punteggi su scala comune ponderati per pesi che ne esprimono l’importanza relativa. Essa ricompone le valutazioni economiche con i criteri non economici (equità, fattibilità, qualità) in una valutazione complessiva. Cfr. la metodologia consolidata della valutazione multi-criterio in sanità (</w:t>
      </w:r>
      <w:proofErr w:type="spellStart"/>
      <w:r>
        <w:t>Thokala</w:t>
      </w:r>
      <w:proofErr w:type="spellEnd"/>
      <w:r>
        <w:t xml:space="preserve"> et al.; </w:t>
      </w:r>
      <w:proofErr w:type="spellStart"/>
      <w:r>
        <w:t>Marsh</w:t>
      </w:r>
      <w:proofErr w:type="spellEnd"/>
      <w:r>
        <w:t xml:space="preserve"> et al., rapporti ISPOR) per l’impianto del metodo.</w:t>
      </w:r>
    </w:p>
    <w:p w14:paraId="267CCB4C" w14:textId="77777777" w:rsidR="007C4598" w:rsidRDefault="00000000">
      <w:pPr>
        <w:jc w:val="both"/>
      </w:pPr>
      <w:r>
        <w:rPr>
          <w:color w:val="555555"/>
          <w:sz w:val="16"/>
          <w:szCs w:val="16"/>
          <w:vertAlign w:val="superscript"/>
        </w:rPr>
        <w:t>[16]</w:t>
      </w:r>
      <w:r>
        <w:t xml:space="preserve">: I punteggi sui criteri sono attribuiti sulla base dei risultati delle parti precedenti: efficacia e salute (sesta parte e voce 10.1, evidenza solida, ICER sotto soglia); ritorno economico (nona parte, fascia di </w:t>
      </w:r>
      <w:proofErr w:type="spellStart"/>
      <w:r>
        <w:t>Chisholm</w:t>
      </w:r>
      <w:proofErr w:type="spellEnd"/>
      <w:r>
        <w:t>; voce 10.3, rendimento sociale); equità (dodicesima parte, miglioramento dell’accesso temperato dal rischio di divario digitale); sostenibilità (voce 10.2, impatto contenuto); fattibilità (realizzabilità organizzativa); innovazione (quarta parte, leve abilitanti). I punteggi variano per scenario secondo la tensione tra i criteri che premiano la scala e quelli che la penalizzano.</w:t>
      </w:r>
    </w:p>
    <w:p w14:paraId="1C8FDBC8" w14:textId="77777777" w:rsidR="007C4598" w:rsidRDefault="00000000">
      <w:pPr>
        <w:jc w:val="both"/>
      </w:pPr>
      <w:r>
        <w:rPr>
          <w:color w:val="555555"/>
          <w:sz w:val="16"/>
          <w:szCs w:val="16"/>
          <w:vertAlign w:val="superscript"/>
        </w:rPr>
        <w:t>[17]</w:t>
      </w:r>
      <w:r>
        <w:t>: Il punteggio composito è la somma dei punteggi di criterio ponderati per i pesi canonici: ~75, ~77, ~78 su cento nei tre scenari. La leggera crescita con il dimensionamento riflette la prevalenza, nella composizione ponderata, dei criteri che premiano la scala (salute, ritorno, equità) su quelli che la penalizzano (sostenibilità, fattibilità). Tutti gli scenari si collocano nella fascia favorevole, dell’ordine di tre quarti della scala, senza valori estremi, in coerenza con la prudenza della valutazione.</w:t>
      </w:r>
    </w:p>
    <w:p w14:paraId="55EF51D6" w14:textId="77777777" w:rsidR="007C4598" w:rsidRDefault="00000000">
      <w:pPr>
        <w:jc w:val="both"/>
      </w:pPr>
      <w:r>
        <w:rPr>
          <w:color w:val="555555"/>
          <w:sz w:val="16"/>
          <w:szCs w:val="16"/>
          <w:vertAlign w:val="superscript"/>
        </w:rPr>
        <w:t>[18]</w:t>
      </w:r>
      <w:r>
        <w:t>: L’analisi di sensibilità ricalcola il punteggio composito con schemi di ponderazione alternativi (</w:t>
      </w:r>
      <w:proofErr w:type="spellStart"/>
      <w:r>
        <w:t>equiponderazione</w:t>
      </w:r>
      <w:proofErr w:type="spellEnd"/>
      <w:r>
        <w:t>; ponderazione a favore del ritorno economico; ponderazione a favore dell’equità), ottenendo un intervallo ristretto (~73–78 su cento) in tutti gli scenari. La ristrettezza dell’intervallo testimonia la robustezza della valutazione rispetto alla scelta dei pesi. I punteggi sui criteri non economici (equità, fattibilità, innovazione) comportano un grado di giudizio qualitativo, riconosciuto; il composito è robusto nell’ordine di grandezza, non una misura puntuale.</w:t>
      </w:r>
    </w:p>
    <w:p w14:paraId="592351D6" w14:textId="77777777" w:rsidR="007C4598" w:rsidRDefault="00000000">
      <w:pPr>
        <w:jc w:val="both"/>
      </w:pPr>
      <w:r>
        <w:rPr>
          <w:color w:val="555555"/>
          <w:sz w:val="16"/>
          <w:szCs w:val="16"/>
          <w:vertAlign w:val="superscript"/>
        </w:rPr>
        <w:t>[19]</w:t>
      </w:r>
      <w:r>
        <w:t>: Il saldo economico consolidato è una composizione, non una somma: esso ricompone le grandezze economiche raggruppandole per dimensione e mostrandone il rapporto, ma non le riduce a un’unica cifra. La regola di non duplicazione (prima parte, sezione 1.5) impone di tenere distinte le tre dimensioni — fiscale diretta, sociale indiretta, di salute — perché la loro somma confonderebbe ciò che è distinto: il risparmio per il bilancio sanitario, il beneficio per il tessuto sociale e il valore della salute sono grandezze di natura diversa.</w:t>
      </w:r>
    </w:p>
    <w:p w14:paraId="3B076971" w14:textId="77777777" w:rsidR="007C4598" w:rsidRDefault="00000000">
      <w:pPr>
        <w:jc w:val="both"/>
      </w:pPr>
      <w:r>
        <w:rPr>
          <w:color w:val="555555"/>
          <w:sz w:val="16"/>
          <w:szCs w:val="16"/>
          <w:vertAlign w:val="superscript"/>
        </w:rPr>
        <w:t>[20]</w:t>
      </w:r>
      <w:r>
        <w:t xml:space="preserve">: Il verdetto del saldo consolidato è la convergenza di tre giudizi favorevoli, ciascuno sul proprio piano: sul conto fiscale diretto, prossimità al pareggio a regime (posizione netta ~ −5, ~ −4, ~ 0 milioni); sul conto della salute, netta costo-efficacia (ICER ~17.300 €/QALY, sotto soglia, risultato più robusto perché indenne dai </w:t>
      </w:r>
      <w:proofErr w:type="spellStart"/>
      <w:r>
        <w:t>caveat</w:t>
      </w:r>
      <w:proofErr w:type="spellEnd"/>
      <w:r>
        <w:t xml:space="preserve">); sul conto sociale, forte positività (benefici indiretti ~98 milioni, rapporto ~2,6 a 1 entro la fascia di </w:t>
      </w:r>
      <w:proofErr w:type="spellStart"/>
      <w:r>
        <w:t>Chisholm</w:t>
      </w:r>
      <w:proofErr w:type="spellEnd"/>
      <w:r>
        <w:t>). Le tre dimensioni non sono sommate, ma convergono in un giudizio favorevole ciascuna autonomamente.</w:t>
      </w:r>
    </w:p>
    <w:p w14:paraId="2664E0B4" w14:textId="77777777" w:rsidR="007C4598" w:rsidRDefault="00000000">
      <w:pPr>
        <w:jc w:val="both"/>
      </w:pPr>
      <w:r>
        <w:rPr>
          <w:color w:val="555555"/>
          <w:sz w:val="16"/>
          <w:szCs w:val="16"/>
          <w:vertAlign w:val="superscript"/>
        </w:rPr>
        <w:t>[21]</w:t>
      </w:r>
      <w:r>
        <w:t>: Il verdetto, fondato sulla convergenza di tre dimensioni distinte ciascuna stabilita con il proprio metodo, è più robusto di un giudizio fondato su un’unica cifra, che confonderebbe dimensioni distinte e dipenderebbe dalle assunzioni più incerte. La dimensione di salute (costo-efficacia) ha il fondamento più solido; la sociale, solida nell’ordine di grandezza; la fiscale, più incerta nei risparmi (</w:t>
      </w:r>
      <w:proofErr w:type="spellStart"/>
      <w:r>
        <w:t>caveat</w:t>
      </w:r>
      <w:proofErr w:type="spellEnd"/>
      <w:r>
        <w:t xml:space="preserve"> IMPACT, due varianti). Il saldo è statico e a regime; la proiezione temporale è riservata alla modellazione (undicesima parte), la distribuzione all’analisi dell’equità (dodicesima parte).</w:t>
      </w:r>
    </w:p>
    <w:p w14:paraId="070D2C44" w14:textId="77777777" w:rsidR="007C4598" w:rsidRDefault="00000000">
      <w:pPr>
        <w:jc w:val="both"/>
      </w:pPr>
      <w:r>
        <w:rPr>
          <w:color w:val="555555"/>
          <w:sz w:val="16"/>
          <w:szCs w:val="16"/>
          <w:vertAlign w:val="superscript"/>
        </w:rPr>
        <w:t>[22]</w:t>
      </w:r>
      <w:r>
        <w:t xml:space="preserve">: Il verdetto tripartito sintetizza il valore della riforma su tre dimensioni distinte, ciascuna stabilita autonomamente: sul conto fiscale diretto, prossimità al pareggio a regime (posizione netta ~ −5, ~ −4, ~ 0 milioni nei tre scenari); sul conto della salute, netta costo-efficacia (ICER ~17.300 €/QALY nello scenario intermedio, sotto la soglia convenzionale di 25.000–40.000); sul conto sociale, forte positività (benefici indiretti ~98 milioni nello scenario intermedio, rapporto ~2,6 a 1 entro la prima fascia di </w:t>
      </w:r>
      <w:proofErr w:type="spellStart"/>
      <w:r>
        <w:t>Chisholm</w:t>
      </w:r>
      <w:proofErr w:type="spellEnd"/>
      <w:r>
        <w:t>). I tre termini non sono sommati, ma convergono ciascuno sul proprio piano.</w:t>
      </w:r>
    </w:p>
    <w:p w14:paraId="1F67DC23" w14:textId="77777777" w:rsidR="007C4598" w:rsidRDefault="00000000">
      <w:pPr>
        <w:jc w:val="both"/>
      </w:pPr>
      <w:r>
        <w:rPr>
          <w:color w:val="555555"/>
          <w:sz w:val="16"/>
          <w:szCs w:val="16"/>
          <w:vertAlign w:val="superscript"/>
        </w:rPr>
        <w:t>[23]</w:t>
      </w:r>
      <w:r>
        <w:t>: La valutazione integrata rifiuta la cifra unica — la somma di tutte le grandezze — perché essa confonderebbe categorie distinte (risparmio fiscale, beneficio sociale, valore di salute) e produrrebbe un numero privo di significato interpretabile. Essa adotta la ricomposizione che preserva la distinzione, traduzione nella sintesi della regola di non duplicazione (prima parte, sezione 1.5). Il verdetto tripartito, fondato sulla convergenza di tre dimensioni distinte, è più robusto di una cifra unica, dipendente questa dalle assunzioni più incerte.</w:t>
      </w:r>
    </w:p>
    <w:p w14:paraId="6E74DD5D" w14:textId="77777777" w:rsidR="007C4598" w:rsidRDefault="00000000">
      <w:pPr>
        <w:jc w:val="both"/>
      </w:pPr>
      <w:r>
        <w:rPr>
          <w:color w:val="555555"/>
          <w:sz w:val="16"/>
          <w:szCs w:val="16"/>
          <w:vertAlign w:val="superscript"/>
        </w:rPr>
        <w:t>[24]</w:t>
      </w:r>
      <w:r>
        <w:t xml:space="preserve">: Le convergenze con gli intervalli di </w:t>
      </w:r>
      <w:proofErr w:type="spellStart"/>
      <w:r>
        <w:t>Chisholm</w:t>
      </w:r>
      <w:proofErr w:type="spellEnd"/>
      <w:r>
        <w:t xml:space="preserve"> sono tre: la prima (nona parte), il rapporto dei soli benefici economici (~2,6 a 1) entro la prima fascia (2,3–3,0 a 1); la seconda (voce 10.1), il rapporto che include il valore della salute (~4,3 a 1) entro la seconda fascia (3,3–5,7 a 1); la terza (voce 10.3), il rendimento sociale al netto dei deflatori (~3,2 a 1) in prossimità del margine inferiore della seconda fascia. Le tre convergenze, raggiunte per vie indipendenti con stime costruite autonomamente, confermano la coerenza del valore della riforma con la letteratura.</w:t>
      </w:r>
    </w:p>
    <w:p w14:paraId="145D30E6" w14:textId="77777777" w:rsidR="007C4598" w:rsidRDefault="00000000">
      <w:pPr>
        <w:jc w:val="both"/>
      </w:pPr>
      <w:r>
        <w:rPr>
          <w:color w:val="555555"/>
          <w:sz w:val="16"/>
          <w:szCs w:val="16"/>
          <w:vertAlign w:val="superscript"/>
        </w:rPr>
        <w:t>[25]</w:t>
      </w:r>
      <w:r>
        <w:t>: Le tre dimensioni del valore sono la traduzione economica della cascata gerarchica delle figure (terza parte): la dimensione fiscale diretta misura il valore generato nel sistema sanitario, lungo il tratto dallo Psicologo di Base alle figure cliniche; la dimensione sociale indiretta misura il valore propagato ai domini extra-sanitari, lungo il tratto alle figure istituzionali ed extra-sanitarie; la dimensione di salute misura il valore prodotto nelle persone, all’origine della cascata. Il saldo consolidato ricompone in grandezze il valore che la cascata genera e propaga dall’apice ai domini periferici.</w:t>
      </w:r>
    </w:p>
    <w:p w14:paraId="5629A1A0" w14:textId="77777777" w:rsidR="007C4598" w:rsidRDefault="00000000">
      <w:pPr>
        <w:jc w:val="both"/>
      </w:pPr>
      <w:r>
        <w:rPr>
          <w:color w:val="555555"/>
          <w:sz w:val="16"/>
          <w:szCs w:val="16"/>
          <w:vertAlign w:val="superscript"/>
        </w:rPr>
        <w:t>[26]</w:t>
      </w:r>
      <w:r>
        <w:t xml:space="preserve">: Il verdetto tripartito è la convergenza di tre giudizi favorevoli, ciascuno stabilito sul proprio piano e con il proprio metodo: l’analisi di impatto di bilancio per il conto fiscale, la valutazione costo-utilità per il conto della salute, l’analisi dei benefici indiretti per il conto sociale. La convergenza per tre vie indipendenti è la forma più solida del giudizio, perché ciascuna dimensione lo sostiene autonomamente e la conclusione non dipende da nessuna singola assunzione. La costo-efficacia (conto della salute) è il risultato più robusto, indenne dai </w:t>
      </w:r>
      <w:proofErr w:type="spellStart"/>
      <w:r>
        <w:t>caveat</w:t>
      </w:r>
      <w:proofErr w:type="spellEnd"/>
      <w:r>
        <w:t xml:space="preserve"> che gravano sulle altre grandezze.</w:t>
      </w:r>
    </w:p>
    <w:p w14:paraId="162A4833" w14:textId="77777777" w:rsidR="007C4598" w:rsidRDefault="00000000">
      <w:r>
        <w:br w:type="page"/>
      </w:r>
    </w:p>
    <w:p w14:paraId="6F209488" w14:textId="77777777" w:rsidR="007C4598" w:rsidRDefault="00000000">
      <w:pPr>
        <w:spacing w:before="1200" w:after="200"/>
        <w:jc w:val="center"/>
      </w:pPr>
      <w:r>
        <w:rPr>
          <w:b/>
          <w:bCs/>
          <w:color w:val="C49A48"/>
          <w:sz w:val="64"/>
          <w:szCs w:val="64"/>
        </w:rPr>
        <w:t>PARTE XI</w:t>
      </w:r>
    </w:p>
    <w:p w14:paraId="4FEF1499" w14:textId="77777777" w:rsidR="007C4598" w:rsidRDefault="00000000">
      <w:pPr>
        <w:spacing w:after="600"/>
        <w:jc w:val="center"/>
      </w:pPr>
      <w:r>
        <w:rPr>
          <w:b/>
          <w:bCs/>
          <w:color w:val="16264B"/>
          <w:sz w:val="32"/>
          <w:szCs w:val="32"/>
        </w:rPr>
        <w:t>Modellazione, incertezza e previsione falsificabile</w:t>
      </w:r>
    </w:p>
    <w:p w14:paraId="21F620B4" w14:textId="77777777" w:rsidR="007C4598" w:rsidRDefault="007C4598">
      <w:pPr>
        <w:pBdr>
          <w:bottom w:val="single" w:sz="6" w:space="1" w:color="C49A48"/>
        </w:pBdr>
        <w:spacing w:after="200"/>
      </w:pPr>
    </w:p>
    <w:p w14:paraId="7A515B2D" w14:textId="77777777" w:rsidR="007C4598" w:rsidRDefault="00000000">
      <w:pPr>
        <w:jc w:val="both"/>
      </w:pPr>
      <w:r>
        <w:t>Studio Integrale Puglia · Parte XI — Modellazione e previsione falsificabile</w:t>
      </w:r>
    </w:p>
    <w:p w14:paraId="1E23B99F" w14:textId="77777777" w:rsidR="007C4598" w:rsidRDefault="007C4598"/>
    <w:p w14:paraId="5B94CE5E" w14:textId="77777777" w:rsidR="007C4598" w:rsidRDefault="00000000">
      <w:pPr>
        <w:jc w:val="both"/>
      </w:pPr>
      <w:r>
        <w:rPr>
          <w:b/>
          <w:bCs/>
        </w:rPr>
        <w:t>PROGETTO « PSICOLOGO DI BASE » · REGIONE PUGLIA</w:t>
      </w:r>
    </w:p>
    <w:p w14:paraId="76BDE288" w14:textId="77777777" w:rsidR="007C4598" w:rsidRDefault="007C4598"/>
    <w:p w14:paraId="6DA87B4E" w14:textId="77777777" w:rsidR="007C4598" w:rsidRDefault="00000000">
      <w:pPr>
        <w:jc w:val="both"/>
      </w:pPr>
      <w:r>
        <w:rPr>
          <w:b/>
          <w:bCs/>
        </w:rPr>
        <w:t>Studio Integrale, Finale e Definitivo</w:t>
      </w:r>
    </w:p>
    <w:p w14:paraId="738F61EF" w14:textId="77777777" w:rsidR="007C4598" w:rsidRDefault="007C4598"/>
    <w:p w14:paraId="5EACFEBD" w14:textId="77777777" w:rsidR="007C4598" w:rsidRDefault="00000000">
      <w:pPr>
        <w:jc w:val="both"/>
      </w:pPr>
      <w:r>
        <w:rPr>
          <w:b/>
          <w:bCs/>
        </w:rPr>
        <w:t>Parte XI</w:t>
      </w:r>
    </w:p>
    <w:p w14:paraId="2DB58EAC" w14:textId="77777777" w:rsidR="007C4598" w:rsidRDefault="007C4598"/>
    <w:p w14:paraId="292F398C" w14:textId="77777777" w:rsidR="007C4598" w:rsidRDefault="00000000">
      <w:pPr>
        <w:jc w:val="both"/>
      </w:pPr>
      <w:r>
        <w:rPr>
          <w:b/>
          <w:bCs/>
        </w:rPr>
        <w:t>Modellazione, incertezza</w:t>
      </w:r>
    </w:p>
    <w:p w14:paraId="13BF7A44" w14:textId="77777777" w:rsidR="007C4598" w:rsidRDefault="007C4598"/>
    <w:p w14:paraId="33C24457" w14:textId="77777777" w:rsidR="007C4598" w:rsidRDefault="00000000">
      <w:pPr>
        <w:jc w:val="both"/>
      </w:pPr>
      <w:r>
        <w:rPr>
          <w:b/>
          <w:bCs/>
        </w:rPr>
        <w:t>e previsione falsificabile</w:t>
      </w:r>
    </w:p>
    <w:p w14:paraId="3EC49BF1" w14:textId="77777777" w:rsidR="007C4598" w:rsidRDefault="007C4598"/>
    <w:p w14:paraId="179F3A54" w14:textId="77777777" w:rsidR="007C4598" w:rsidRDefault="00000000">
      <w:pPr>
        <w:jc w:val="both"/>
      </w:pPr>
      <w:r>
        <w:rPr>
          <w:i/>
          <w:iCs/>
        </w:rPr>
        <w:t xml:space="preserve">La proiezione temporale del saldo consolidato attraverso il modello di </w:t>
      </w:r>
      <w:proofErr w:type="spellStart"/>
      <w:r>
        <w:rPr>
          <w:i/>
          <w:iCs/>
        </w:rPr>
        <w:t>Markov</w:t>
      </w:r>
      <w:proofErr w:type="spellEnd"/>
      <w:r>
        <w:rPr>
          <w:i/>
          <w:iCs/>
        </w:rPr>
        <w:t xml:space="preserve"> e la </w:t>
      </w:r>
      <w:proofErr w:type="spellStart"/>
      <w:r>
        <w:rPr>
          <w:i/>
          <w:iCs/>
        </w:rPr>
        <w:t>microsimulazione</w:t>
      </w:r>
      <w:proofErr w:type="spellEnd"/>
      <w:r>
        <w:rPr>
          <w:i/>
          <w:iCs/>
        </w:rPr>
        <w:t xml:space="preserve">, l\u2019analisi di </w:t>
      </w:r>
      <w:proofErr w:type="spellStart"/>
      <w:r>
        <w:rPr>
          <w:i/>
          <w:iCs/>
        </w:rPr>
        <w:t>sensibilit</w:t>
      </w:r>
      <w:proofErr w:type="spellEnd"/>
      <w:r>
        <w:rPr>
          <w:i/>
          <w:iCs/>
        </w:rPr>
        <w:t xml:space="preserve">\u00E0 probabilistica e le previsioni falsificabili sulla </w:t>
      </w:r>
      <w:proofErr w:type="spellStart"/>
      <w:r>
        <w:rPr>
          <w:i/>
          <w:iCs/>
        </w:rPr>
        <w:t>qualit</w:t>
      </w:r>
      <w:proofErr w:type="spellEnd"/>
      <w:r>
        <w:rPr>
          <w:i/>
          <w:iCs/>
        </w:rPr>
        <w:t>\u00E0 della vita, sui bilanci regionali, sulla burocrazia e sui sistemi sanitari</w:t>
      </w:r>
    </w:p>
    <w:p w14:paraId="528D70D2" w14:textId="77777777" w:rsidR="007C4598" w:rsidRDefault="007C4598"/>
    <w:p w14:paraId="172E0CFF" w14:textId="77777777" w:rsidR="007C4598" w:rsidRDefault="00000000">
      <w:pPr>
        <w:jc w:val="both"/>
      </w:pPr>
      <w:r>
        <w:t xml:space="preserve">Telaio HTA · </w:t>
      </w:r>
      <w:proofErr w:type="spellStart"/>
      <w:r>
        <w:t>Five</w:t>
      </w:r>
      <w:proofErr w:type="spellEnd"/>
      <w:r>
        <w:t xml:space="preserve"> Case Model · CHEERS 2022 · criteri OCSE-DAC</w:t>
      </w:r>
    </w:p>
    <w:p w14:paraId="5CB54AE8" w14:textId="77777777" w:rsidR="007C4598" w:rsidRDefault="007C4598"/>
    <w:p w14:paraId="32078FEE" w14:textId="77777777" w:rsidR="007C4598" w:rsidRDefault="00000000">
      <w:pPr>
        <w:jc w:val="both"/>
      </w:pPr>
      <w:r>
        <w:t>Cascata gerarchica piramidale dallo Psicologo di Base · perimetro multidisciplinare integrale</w:t>
      </w:r>
    </w:p>
    <w:p w14:paraId="67297BA5" w14:textId="77777777" w:rsidR="007C4598" w:rsidRDefault="007C4598"/>
    <w:p w14:paraId="3D794F25" w14:textId="77777777" w:rsidR="007C4598" w:rsidRDefault="00000000">
      <w:pPr>
        <w:jc w:val="both"/>
      </w:pPr>
      <w:r>
        <w:rPr>
          <w:b/>
          <w:bCs/>
        </w:rPr>
        <w:t>Autore intellettuale della riforma: Luigi De Michele</w:t>
      </w:r>
    </w:p>
    <w:p w14:paraId="71DE0EFD" w14:textId="77777777" w:rsidR="007C4598" w:rsidRDefault="007C4598"/>
    <w:p w14:paraId="6EF1E3DD" w14:textId="77777777" w:rsidR="007C4598" w:rsidRDefault="00000000">
      <w:pPr>
        <w:jc w:val="both"/>
      </w:pPr>
      <w:r>
        <w:t>Codice fiscale DMCLGU82E11Z112C · PEC luigidemichele@legalmail.it</w:t>
      </w:r>
    </w:p>
    <w:p w14:paraId="50BF7AF6" w14:textId="77777777" w:rsidR="007C4598" w:rsidRDefault="007C4598"/>
    <w:p w14:paraId="5CDD1BF0" w14:textId="77777777" w:rsidR="007C4598" w:rsidRDefault="00000000">
      <w:pPr>
        <w:jc w:val="both"/>
      </w:pPr>
      <w:r>
        <w:t>Giugno 2026</w:t>
      </w:r>
    </w:p>
    <w:p w14:paraId="2985A799"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9026"/>
      </w:tblGrid>
      <w:tr w:rsidR="007C4598" w14:paraId="20E52454"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77B5128" w14:textId="77777777" w:rsidR="007C4598" w:rsidRDefault="00000000">
            <w:pPr>
              <w:spacing w:after="40"/>
            </w:pPr>
            <w:r>
              <w:rPr>
                <w:b/>
                <w:bCs/>
                <w:color w:val="FFFFFF"/>
                <w:sz w:val="18"/>
                <w:szCs w:val="18"/>
              </w:rPr>
              <w:t xml:space="preserve">Avvertenza sui vincoli metodologici invarianti La presente parte proietta nel tempo il saldo economico consolidato stabilito dalla decima parte, attraverso il modello di </w:t>
            </w:r>
            <w:proofErr w:type="spellStart"/>
            <w:r>
              <w:rPr>
                <w:b/>
                <w:bCs/>
                <w:color w:val="FFFFFF"/>
                <w:sz w:val="18"/>
                <w:szCs w:val="18"/>
              </w:rPr>
              <w:t>Markov</w:t>
            </w:r>
            <w:proofErr w:type="spellEnd"/>
            <w:r>
              <w:rPr>
                <w:b/>
                <w:bCs/>
                <w:color w:val="FFFFFF"/>
                <w:sz w:val="18"/>
                <w:szCs w:val="18"/>
              </w:rPr>
              <w:t xml:space="preserve"> e la </w:t>
            </w:r>
            <w:proofErr w:type="spellStart"/>
            <w:r>
              <w:rPr>
                <w:b/>
                <w:bCs/>
                <w:color w:val="FFFFFF"/>
                <w:sz w:val="18"/>
                <w:szCs w:val="18"/>
              </w:rPr>
              <w:t>microsimulazione</w:t>
            </w:r>
            <w:proofErr w:type="spellEnd"/>
            <w:r>
              <w:rPr>
                <w:b/>
                <w:bCs/>
                <w:color w:val="FFFFFF"/>
                <w:sz w:val="18"/>
                <w:szCs w:val="18"/>
              </w:rPr>
              <w:t xml:space="preserve">, e ne trae previsioni sulla qualità della vita, sui bilanci regionali, sulla burocrazia e sui sistemi sanitari. Il modello impiega i parametri invarianti cross-regionali del progetto, ossia i medesimi parametri clinici e di costo adottati per l’intera serie regionale, sicché la proiezione è confrontabile tra le regioni e varia soltanto per i parametri demografici e di scala propri della Puglia. Ogni previsione è formulata come banda prudenziale falsificabile, corredata della soglia di confutazione — il valore al di sotto del quale la previsione è smentita — e del metodo di verifica ex-post, sicché nessuna previsione è un’asserzione indimostrabile, ma un enunciato verificabile e confutabile, che la quindicesima parte sottoporrà a riscontro. Il ritorno economico è espresso nei soli intervalli corretti di </w:t>
            </w:r>
            <w:proofErr w:type="spellStart"/>
            <w:r>
              <w:rPr>
                <w:b/>
                <w:bCs/>
                <w:color w:val="FFFFFF"/>
                <w:sz w:val="18"/>
                <w:szCs w:val="18"/>
              </w:rPr>
              <w:t>Chisholm</w:t>
            </w:r>
            <w:proofErr w:type="spellEnd"/>
            <w:r>
              <w:rPr>
                <w:b/>
                <w:bCs/>
                <w:color w:val="FFFFFF"/>
                <w:sz w:val="18"/>
                <w:szCs w:val="18"/>
              </w:rPr>
              <w:t xml:space="preserve">, compresi tra 2,3 e 3,0 a 1 per i soli benefici economici e tra 3,3 e 5,7 a 1 con l’inclusione dei ritorni di salute; il </w:t>
            </w:r>
            <w:proofErr w:type="spellStart"/>
            <w:r>
              <w:rPr>
                <w:b/>
                <w:bCs/>
                <w:color w:val="FFFFFF"/>
                <w:sz w:val="18"/>
                <w:szCs w:val="18"/>
              </w:rPr>
              <w:t>caveat</w:t>
            </w:r>
            <w:proofErr w:type="spellEnd"/>
            <w:r>
              <w:rPr>
                <w:b/>
                <w:bCs/>
                <w:color w:val="FFFFFF"/>
                <w:sz w:val="18"/>
                <w:szCs w:val="18"/>
              </w:rPr>
              <w:t xml:space="preserve"> dell’IMPACT trial sui risparmi diretti è preservato, e la modellazione ne riflette l’incertezza nelle distribuzioni dei parametri. Le tre dimensioni del valore — fiscale diretta, sociale indiretta e di salute — sono mantenute distinte anche nella proiezione, e le previsioni sono formulate distintamente per ciascuna, senza somma in un’unica cifra. L’analisi di sensibilità probabilistica assegna distribuzioni ai parametri incerti e ne propaga l’incertezza agli esiti; ogni stima è graduata secondo la sua qualità con i criteri GRADE, applicati con il medesimo rigore alle affermazioni cliniche e a quelle economiche.</w:t>
            </w:r>
          </w:p>
        </w:tc>
      </w:tr>
    </w:tbl>
    <w:p w14:paraId="11AF7838" w14:textId="77777777" w:rsidR="007C4598" w:rsidRDefault="007C4598"/>
    <w:p w14:paraId="13A3BDAF" w14:textId="77777777" w:rsidR="007C4598" w:rsidRDefault="00000000">
      <w:pPr>
        <w:pStyle w:val="Titolo1"/>
        <w:pageBreakBefore/>
      </w:pPr>
      <w:r>
        <w:rPr>
          <w:sz w:val="22"/>
          <w:szCs w:val="22"/>
        </w:rPr>
        <w:t>Premessa</w:t>
      </w:r>
    </w:p>
    <w:p w14:paraId="0BB0A50A" w14:textId="77777777" w:rsidR="007C4598" w:rsidRDefault="007C4598"/>
    <w:p w14:paraId="12B82888" w14:textId="77777777" w:rsidR="007C4598" w:rsidRDefault="00000000">
      <w:pPr>
        <w:jc w:val="both"/>
      </w:pPr>
      <w:r>
        <w:rPr>
          <w:i/>
          <w:iCs/>
        </w:rPr>
        <w:t xml:space="preserve">L’undicesima parte dello studio integrale proietta nel tempo il valore della riforma e ne trae previsioni verificabili. La decima parte ha stabilito il saldo economico consolidato, sintesi statica del valore della riforma a regime; ma il valore di una riforma non è statico, bensì si dispiega nel tempo, dalla fase di avvio in cui i costi precedono i benefici alla fase di regime in cui i benefici maturano, e la sua valutazione completa richiede la proiezione temporale. L’undicesima parte assume il saldo consolidato e lo proietta lungo l’orizzonte di valutazione, attraverso il modello di </w:t>
      </w:r>
      <w:proofErr w:type="spellStart"/>
      <w:r>
        <w:rPr>
          <w:i/>
          <w:iCs/>
        </w:rPr>
        <w:t>Markov</w:t>
      </w:r>
      <w:proofErr w:type="spellEnd"/>
      <w:r>
        <w:rPr>
          <w:i/>
          <w:iCs/>
        </w:rPr>
        <w:t xml:space="preserve"> e la </w:t>
      </w:r>
      <w:proofErr w:type="spellStart"/>
      <w:r>
        <w:rPr>
          <w:i/>
          <w:iCs/>
        </w:rPr>
        <w:t>microsimulazione</w:t>
      </w:r>
      <w:proofErr w:type="spellEnd"/>
      <w:r>
        <w:rPr>
          <w:i/>
          <w:iCs/>
        </w:rPr>
        <w:t>, e ne trae le previsioni sulla qualità della vita delle persone, sui bilanci regionali, sulla burocrazia e l’efficienza amministrativa e sui sistemi sanitari regionali, che sono l’oggetto ultimo della rinegoziazione integrale dei costi e dei benefici. La parte sottopone inoltre i risultati alla prova dell’incertezza, attraverso l’analisi di sensibilità probabilistica, e individua le soglie il cui superamento modifica la raccomandazione, sì che la previsione resti sempre verificabile e confutabile.</w:t>
      </w:r>
    </w:p>
    <w:p w14:paraId="3DF7B037" w14:textId="77777777" w:rsidR="007C4598" w:rsidRDefault="007C4598"/>
    <w:p w14:paraId="622FFA68" w14:textId="77777777" w:rsidR="007C4598" w:rsidRDefault="00000000">
      <w:pPr>
        <w:jc w:val="both"/>
      </w:pPr>
      <w:r>
        <w:t>Il carattere distintivo dell’undicesima parte è la falsificabilità delle sue previsioni. Una previsione falsificabile non è un’asserzione di valore indimostrabile, ma un enunciato verificabile e confutabile, corredato della banda entro cui il valore previsto si colloca, della soglia di confutazione al di sotto della quale la previsione è smentita, e del metodo con cui la previsione sarà verificata a posteriori. La parte formula perciò ogni previsione in questa forma: non come affermazione perentoria di un esito certo, ma come banda prudenziale con la propria soglia di confutazione, sicché chiunque possa, a riforma attuata, verificare se la previsione si sia avverata o sia stata smentita. È questa forma che distingue la previsione scientifica dall’asserzione retorica, e che fa dell’undicesima parte non un’esposizione di esiti auspicati, ma una serie di previsioni controllabili, di cui la quindicesima parte, dedicata al monitoraggio e alla valutazione ex-post, condurrà il riscontro. La modellazione e la falsificabilità sono dunque i due pilastri di questa parte: il modello proietta nel tempo il valore consolidato, e la falsificabilità ne rende le previsioni controllabili.</w:t>
      </w:r>
    </w:p>
    <w:p w14:paraId="65A64C1C" w14:textId="77777777" w:rsidR="007C4598" w:rsidRDefault="007C4598"/>
    <w:p w14:paraId="37C2B054" w14:textId="77777777" w:rsidR="007C4598" w:rsidRDefault="00000000">
      <w:pPr>
        <w:pStyle w:val="Titolo1"/>
        <w:pageBreakBefore/>
      </w:pPr>
      <w:r>
        <w:rPr>
          <w:sz w:val="22"/>
          <w:szCs w:val="22"/>
        </w:rPr>
        <w:t>Introduzione</w:t>
      </w:r>
    </w:p>
    <w:p w14:paraId="42F35E68" w14:textId="77777777" w:rsidR="007C4598" w:rsidRDefault="007C4598"/>
    <w:p w14:paraId="0D799819" w14:textId="77777777" w:rsidR="007C4598" w:rsidRDefault="00000000">
      <w:pPr>
        <w:jc w:val="both"/>
      </w:pPr>
      <w:r>
        <w:rPr>
          <w:i/>
          <w:iCs/>
        </w:rPr>
        <w:t xml:space="preserve">L’introduzione definisce il compito della modellazione e della previsione falsificabile, espone gli strumenti che la parte impiega — il modello di </w:t>
      </w:r>
      <w:proofErr w:type="spellStart"/>
      <w:r>
        <w:rPr>
          <w:i/>
          <w:iCs/>
        </w:rPr>
        <w:t>Markov</w:t>
      </w:r>
      <w:proofErr w:type="spellEnd"/>
      <w:r>
        <w:rPr>
          <w:i/>
          <w:iCs/>
        </w:rPr>
        <w:t xml:space="preserve">, la </w:t>
      </w:r>
      <w:proofErr w:type="spellStart"/>
      <w:r>
        <w:rPr>
          <w:i/>
          <w:iCs/>
        </w:rPr>
        <w:t>microsimulazione</w:t>
      </w:r>
      <w:proofErr w:type="spellEnd"/>
      <w:r>
        <w:rPr>
          <w:i/>
          <w:iCs/>
        </w:rPr>
        <w:t xml:space="preserve"> e l’analisi di sensibilità probabilistica — dichiara il principio della falsificabilità che governa ogni previsione, e ne richiama il radicamento nei parametri invarianti cross-regionali del progetto. Essa stabilisce, in particolare, la distinzione tra la proiezione del valore, che è il compito del modello, e la formulazione delle previsioni, che è il compito della parte, e ne mostra il rapporto.</w:t>
      </w:r>
    </w:p>
    <w:p w14:paraId="0CCCA22B" w14:textId="77777777" w:rsidR="007C4598" w:rsidRDefault="007C4598"/>
    <w:p w14:paraId="2176101C" w14:textId="77777777" w:rsidR="007C4598" w:rsidRDefault="00000000">
      <w:pPr>
        <w:pStyle w:val="Titolo2"/>
        <w:spacing w:before="200" w:after="100"/>
      </w:pPr>
      <w:r>
        <w:rPr>
          <w:sz w:val="22"/>
          <w:szCs w:val="22"/>
        </w:rPr>
        <w:t>Il compito della modellazione e della previsione falsificabile</w:t>
      </w:r>
    </w:p>
    <w:p w14:paraId="4954B666" w14:textId="77777777" w:rsidR="007C4598" w:rsidRDefault="007C4598"/>
    <w:p w14:paraId="51E631AF" w14:textId="77777777" w:rsidR="007C4598" w:rsidRDefault="00000000">
      <w:pPr>
        <w:jc w:val="both"/>
      </w:pPr>
      <w:r>
        <w:t xml:space="preserve">Il compito dell’undicesima parte è duplice: proiettare nel tempo il valore della riforma stabilito staticamente dalla decima parte, e trarne previsioni falsificabili sui quattro ambiti che costituiscono l’oggetto ultimo della rinegoziazione integrale — la qualità della vita delle persone, i bilanci regionali, la burocrazia e l’efficienza amministrativa, i sistemi sanitari regionali. Il primo compito è affidato al modello di </w:t>
      </w:r>
      <w:proofErr w:type="spellStart"/>
      <w:r>
        <w:t>Markov</w:t>
      </w:r>
      <w:proofErr w:type="spellEnd"/>
      <w:r>
        <w:t xml:space="preserve"> e alla </w:t>
      </w:r>
      <w:proofErr w:type="spellStart"/>
      <w:r>
        <w:t>microsimulazione</w:t>
      </w:r>
      <w:proofErr w:type="spellEnd"/>
      <w:r>
        <w:t>, che assumono le grandezze consolidate e ne proiettano l’andamento lungo l’orizzonte di valutazione, modellando il passaggio dalla fase di avvio alla fase di regime e accumulando i costi, i risparmi, i benefici e i guadagni di salute lungo il tempo. Il secondo compito è affidato alla formulazione delle previsioni, che traducono i risultati del modello in enunciati falsificabili, corredati di bande e di soglie di confutazione, e riferiti ai quattro ambiti. La parte conduce inoltre l’analisi di sensibilità probabilistica, che sottopone i risultati del modello alla prova dell’incertezza, e individua le soglie il cui superamento modifica la raccomandazione, che rendono la raccomandazione stessa falsificabile.</w:t>
      </w:r>
    </w:p>
    <w:p w14:paraId="070CDD1F" w14:textId="77777777" w:rsidR="007C4598" w:rsidRDefault="007C4598"/>
    <w:p w14:paraId="138B99DF" w14:textId="77777777" w:rsidR="007C4598" w:rsidRDefault="00000000">
      <w:pPr>
        <w:jc w:val="both"/>
      </w:pPr>
      <w:r>
        <w:t>La distinzione tra la proiezione del valore e la formulazione delle previsioni va precisata, perché ne governa la struttura della parte. La proiezione del valore è un’operazione tecnica, che impiega il modello per calcolare l’andamento temporale delle grandezze; essa produce i numeri della proiezione — i costi, i risparmi, i benefici e i guadagni di salute per ciascun anno dell’orizzonte. La formulazione delle previsioni è invece un’operazione di traduzione, che assume i numeri della proiezione e li enuncia in forma falsificabile, riferendoli agli ambiti su cui la riforma incide e corredandoli delle soglie di confutazione. La proiezione è dunque il presupposto della previsione, e la previsione è l’esito della proiezione: senza la proiezione, la previsione non avrebbe fondamento; senza la previsione, la proiezione resterebbe un calcolo privo di significato controllabile. La parte è perciò organizzata in modo da condurre prima la proiezione, attraverso il modello e l’analisi di sensibilità, e poi la formulazione delle previsioni, riferite ai quattro ambiti, e infine l’individuazione delle soglie che modificano la raccomandazione.</w:t>
      </w:r>
    </w:p>
    <w:p w14:paraId="6D9ACEE9" w14:textId="77777777" w:rsidR="007C4598" w:rsidRDefault="007C4598"/>
    <w:p w14:paraId="6700A4BF" w14:textId="77777777" w:rsidR="007C4598" w:rsidRDefault="00000000">
      <w:pPr>
        <w:pStyle w:val="Titolo2"/>
        <w:spacing w:before="200" w:after="100"/>
      </w:pPr>
      <w:r>
        <w:rPr>
          <w:sz w:val="22"/>
          <w:szCs w:val="22"/>
        </w:rPr>
        <w:t xml:space="preserve">Gli strumenti: il modello di </w:t>
      </w:r>
      <w:proofErr w:type="spellStart"/>
      <w:r>
        <w:rPr>
          <w:sz w:val="22"/>
          <w:szCs w:val="22"/>
        </w:rPr>
        <w:t>Markov</w:t>
      </w:r>
      <w:proofErr w:type="spellEnd"/>
      <w:r>
        <w:rPr>
          <w:sz w:val="22"/>
          <w:szCs w:val="22"/>
        </w:rPr>
        <w:t xml:space="preserve">, la </w:t>
      </w:r>
      <w:proofErr w:type="spellStart"/>
      <w:r>
        <w:rPr>
          <w:sz w:val="22"/>
          <w:szCs w:val="22"/>
        </w:rPr>
        <w:t>microsimulazione</w:t>
      </w:r>
      <w:proofErr w:type="spellEnd"/>
      <w:r>
        <w:rPr>
          <w:sz w:val="22"/>
          <w:szCs w:val="22"/>
        </w:rPr>
        <w:t>, l’analisi di sensibilità</w:t>
      </w:r>
    </w:p>
    <w:p w14:paraId="1EBD2701" w14:textId="77777777" w:rsidR="007C4598" w:rsidRDefault="007C4598"/>
    <w:p w14:paraId="598E0F41" w14:textId="77777777" w:rsidR="007C4598" w:rsidRDefault="00000000">
      <w:pPr>
        <w:jc w:val="both"/>
      </w:pPr>
      <w:r>
        <w:t xml:space="preserve">Gli strumenti della modellazione sono tre, ciascuno con la propria funzione. Il primo è il modello di </w:t>
      </w:r>
      <w:proofErr w:type="spellStart"/>
      <w:r>
        <w:t>Markov</w:t>
      </w:r>
      <w:proofErr w:type="spellEnd"/>
      <w:r>
        <w:t xml:space="preserve">, che rappresenta l’evoluzione della popolazione attraverso un insieme di stati di salute, tra i quali la popolazione transita secondo probabilità definite, in cicli successivi lungo l’orizzonte; esso è lo strumento con cui si modella il decorso del disagio comune e l’effetto della riforma su tale decorso, attraverso la modificazione delle probabilità di transizione. Il secondo è la </w:t>
      </w:r>
      <w:proofErr w:type="spellStart"/>
      <w:r>
        <w:t>microsimulazione</w:t>
      </w:r>
      <w:proofErr w:type="spellEnd"/>
      <w:r>
        <w:t xml:space="preserve">, che applica il modello di </w:t>
      </w:r>
      <w:proofErr w:type="spellStart"/>
      <w:r>
        <w:t>Markov</w:t>
      </w:r>
      <w:proofErr w:type="spellEnd"/>
      <w:r>
        <w:t xml:space="preserve"> non a una coorte indistinta ma a individui simulati, ciascuno con le proprie caratteristiche — l’età, la gravità, le </w:t>
      </w:r>
      <w:proofErr w:type="spellStart"/>
      <w:r>
        <w:t>comorbilità</w:t>
      </w:r>
      <w:proofErr w:type="spellEnd"/>
      <w:r>
        <w:t xml:space="preserve"> — sicché il modello catturi l’eterogeneità della popolazione e ne rifletta la varietà nelle proiezioni; essa è lo strumento con cui si affina la proiezione, rendendola sensibile alla composizione della popolazione. Il terzo è l’analisi di sensibilità probabilistica, che assegna ai parametri incerti del modello distribuzioni di probabilità anziché valori puntuali, e ne propaga l’incertezza agli esiti attraverso la simulazione ripetuta, producendo distribuzioni degli esiti anziché stime puntuali; essa è lo strumento con cui si sottopone la proiezione alla prova dell’incertezza, e se ne valuta la robustezza.</w:t>
      </w:r>
      <w:r>
        <w:rPr>
          <w:color w:val="555555"/>
          <w:sz w:val="16"/>
          <w:szCs w:val="16"/>
          <w:vertAlign w:val="superscript"/>
        </w:rPr>
        <w:t>[1]</w:t>
      </w:r>
    </w:p>
    <w:p w14:paraId="39EC0BCD" w14:textId="77777777" w:rsidR="007C4598" w:rsidRDefault="007C4598"/>
    <w:p w14:paraId="2F8D937C" w14:textId="77777777" w:rsidR="007C4598" w:rsidRDefault="00000000">
      <w:pPr>
        <w:jc w:val="both"/>
      </w:pPr>
      <w:r>
        <w:t xml:space="preserve">Questi tre strumenti operano congiuntamente nella proiezione del valore della riforma. Il modello di </w:t>
      </w:r>
      <w:proofErr w:type="spellStart"/>
      <w:r>
        <w:t>Markov</w:t>
      </w:r>
      <w:proofErr w:type="spellEnd"/>
      <w:r>
        <w:t xml:space="preserve"> fornisce la struttura — gli stati e le transizioni — entro cui il decorso del disagio e l’effetto della riforma sono rappresentati; la </w:t>
      </w:r>
      <w:proofErr w:type="spellStart"/>
      <w:r>
        <w:t>microsimulazione</w:t>
      </w:r>
      <w:proofErr w:type="spellEnd"/>
      <w:r>
        <w:t xml:space="preserve"> popola questa struttura di individui eterogenei, sicché la proiezione rifletta la varietà della popolazione; l’analisi di sensibilità probabilistica sottopone la proiezione all’incertezza dei parametri, sicché i risultati siano espressi come distribuzioni corredate di intervalli di credibilità. Il prodotto congiunto dei tre strumenti è una proiezione del valore della riforma che è insieme strutturata, eterogenea e probabilistica: strutturata, perché fondata sul modello degli stati e delle transizioni; eterogenea, perché sensibile alla composizione della popolazione; probabilistica, perché corredata della misura della propria incertezza. È su questa proiezione che la parte fonda le previsioni falsificabili, traducendone i risultati in enunciati controllabili riferiti ai quattro ambiti.</w:t>
      </w:r>
    </w:p>
    <w:p w14:paraId="655FD7FB" w14:textId="77777777" w:rsidR="007C4598" w:rsidRDefault="007C4598"/>
    <w:p w14:paraId="28EDB384" w14:textId="77777777" w:rsidR="007C4598" w:rsidRDefault="00000000">
      <w:pPr>
        <w:pStyle w:val="Titolo2"/>
        <w:spacing w:before="200" w:after="100"/>
      </w:pPr>
      <w:r>
        <w:rPr>
          <w:sz w:val="22"/>
          <w:szCs w:val="22"/>
        </w:rPr>
        <w:t>La falsificabilità e i parametri invarianti cross-regionali</w:t>
      </w:r>
    </w:p>
    <w:p w14:paraId="420CA80B" w14:textId="77777777" w:rsidR="007C4598" w:rsidRDefault="007C4598"/>
    <w:p w14:paraId="7A9786B5" w14:textId="77777777" w:rsidR="007C4598" w:rsidRDefault="00000000">
      <w:pPr>
        <w:jc w:val="both"/>
      </w:pPr>
      <w:r>
        <w:t>Il principio della falsificabilità governa la formulazione di ogni previsione della parte, e ne costituisce il carattere distintivo. Una previsione è falsificabile quando è formulata in modo da poter essere smentita dall’osservazione: essa indica non soltanto il valore previsto, ma la banda entro cui tale valore si colloca, e la soglia di confutazione al di sotto della quale la previsione è da considerarsi smentita. La formulazione falsificabile impone perciò, per ciascuna previsione, tre elementi: il valore previsto, espresso come banda prudenziale; la soglia di confutazione, ossia il valore che, se non raggiunto, smentisce la previsione; e il metodo di verifica, ossia il modo in cui la previsione sarà controllata a posteriori. La parte formula ogni previsione corredandola di questi tre elementi, sicché ciascuna sia controllabile; e affida alla quindicesima parte, dedicata al monitoraggio e alla valutazione ex-post, il compito di condurre la verifica, confrontando le previsioni con gli esiti osservati e dichiarando, per ciascuna, se si sia avverata o sia stata smentita. La falsificabilità non è dunque una cautela retorica, ma un vincolo metodologico stringente, che fa di ogni previsione un enunciato controllabile e che espone la riforma alla verifica dei fatti.</w:t>
      </w:r>
      <w:r>
        <w:rPr>
          <w:color w:val="555555"/>
          <w:sz w:val="16"/>
          <w:szCs w:val="16"/>
          <w:vertAlign w:val="superscript"/>
        </w:rPr>
        <w:t>[2]</w:t>
      </w:r>
    </w:p>
    <w:p w14:paraId="2217D05B" w14:textId="77777777" w:rsidR="007C4598" w:rsidRDefault="007C4598"/>
    <w:p w14:paraId="06A0FD9E" w14:textId="77777777" w:rsidR="007C4598" w:rsidRDefault="00000000">
      <w:pPr>
        <w:jc w:val="both"/>
      </w:pPr>
      <w:r>
        <w:t>Le previsioni della parte sono fondate su un modello che impiega i parametri invarianti cross-regionali del progetto, ossia i parametri clinici e di costo che sono mantenuti costanti per l’intera serie regionale dello studio. La scelta di parametri invarianti cross-regionali risponde a una duplice esigenza. La prima è la confrontabilità: impiegando i medesimi parametri clinici — le probabilità di transizione, i pesi di utilità, i costi per stato — per tutte le regioni della serie, le proiezioni delle diverse regioni risultano confrontabili, perché differiscono soltanto per i parametri propri di ciascuna regione, e non per assunzioni cliniche arbitrarie. La seconda è la prudenza: i parametri invarianti sono desunti dalla letteratura internazionale e dalle migliori evidenze disponibili, graduate nella sesta parte, e non sono adattati per produrre risultati favorevoli alla singola regione, sicché la proiezione sia ancorata a parametri esterni e non a stime compiacenti. I parametri che variano da regione a regione sono soltanto quelli demografici e di scala — la dimensione della popolazione, la struttura per età, la prevalenza di base del disagio, il numero di incarichi — che riflettono le caratteristiche proprie della Puglia. Il modello impiega dunque i parametri clinici invarianti della serie e i parametri demografici e di scala propri della Puglia, e ne trae la proiezione del valore della riforma in Puglia, confrontabile con quella delle altre regioni e ancorata a parametri esterni.</w:t>
      </w:r>
    </w:p>
    <w:p w14:paraId="692E3F9B" w14:textId="77777777" w:rsidR="007C4598" w:rsidRDefault="007C4598"/>
    <w:p w14:paraId="2E4B19C4" w14:textId="77777777" w:rsidR="007C4598" w:rsidRDefault="00000000">
      <w:pPr>
        <w:pStyle w:val="Titolo2"/>
        <w:spacing w:before="200" w:after="100"/>
      </w:pPr>
      <w:r>
        <w:rPr>
          <w:sz w:val="22"/>
          <w:szCs w:val="22"/>
        </w:rPr>
        <w:t>La struttura della parte</w:t>
      </w:r>
    </w:p>
    <w:p w14:paraId="122842BB" w14:textId="77777777" w:rsidR="007C4598" w:rsidRDefault="007C4598"/>
    <w:p w14:paraId="2D94C133" w14:textId="77777777" w:rsidR="007C4598" w:rsidRDefault="00000000">
      <w:pPr>
        <w:jc w:val="both"/>
      </w:pPr>
      <w:r>
        <w:t xml:space="preserve">La parte è organizzata in sette voci. La prima voce espone il modello di </w:t>
      </w:r>
      <w:proofErr w:type="spellStart"/>
      <w:r>
        <w:t>Markov</w:t>
      </w:r>
      <w:proofErr w:type="spellEnd"/>
      <w:r>
        <w:t xml:space="preserve"> e la </w:t>
      </w:r>
      <w:proofErr w:type="spellStart"/>
      <w:r>
        <w:t>microsimulazione</w:t>
      </w:r>
      <w:proofErr w:type="spellEnd"/>
      <w:r>
        <w:t>, ne definisce gli stati di salute, le transizioni e i parametri invarianti, e ne descrive l’impiego per la proiezione del valore. La seconda voce conduce l’analisi di sensibilità probabilistica, ne assegna le distribuzioni ai parametri incerti, e ne trae i risultati sulla robustezza della proiezione e sulla probabilità di costo-efficacia. Le quattro voci successive formulano le previsioni falsificabili sui quattro ambiti su cui la riforma incide: la terza sulla qualità della vita delle persone, la quarta sui bilanci regionali, la quinta sulla burocrazia e l’efficienza amministrativa, la sesta sui sistemi sanitari regionali; ciascuna previsione è corredata della banda, della soglia di confutazione e del metodo di verifica. La settima e conclusiva voce individua le soglie il cui superamento modifica la raccomandazione, ossia i valori dei parametri al di là dei quali la riforma cesserebbe di essere favorevole, e che rendono la raccomandazione stessa falsificabile. A queste voci seguono il quadro conclusivo, la conclusione e le note bibliografiche integrali.</w:t>
      </w:r>
    </w:p>
    <w:p w14:paraId="3EC47D05" w14:textId="77777777" w:rsidR="007C4598" w:rsidRDefault="007C4598"/>
    <w:p w14:paraId="12FD0B33" w14:textId="77777777" w:rsidR="007C4598" w:rsidRDefault="00000000">
      <w:pPr>
        <w:pStyle w:val="Titolo1"/>
        <w:pageBreakBefore/>
      </w:pPr>
      <w:r>
        <w:rPr>
          <w:sz w:val="22"/>
          <w:szCs w:val="22"/>
        </w:rPr>
        <w:t xml:space="preserve">11.1  Il modello di </w:t>
      </w:r>
      <w:proofErr w:type="spellStart"/>
      <w:r>
        <w:rPr>
          <w:sz w:val="22"/>
          <w:szCs w:val="22"/>
        </w:rPr>
        <w:t>Markov</w:t>
      </w:r>
      <w:proofErr w:type="spellEnd"/>
      <w:r>
        <w:rPr>
          <w:sz w:val="22"/>
          <w:szCs w:val="22"/>
        </w:rPr>
        <w:t xml:space="preserve"> e la </w:t>
      </w:r>
      <w:proofErr w:type="spellStart"/>
      <w:r>
        <w:rPr>
          <w:sz w:val="22"/>
          <w:szCs w:val="22"/>
        </w:rPr>
        <w:t>microsimulazione</w:t>
      </w:r>
      <w:proofErr w:type="spellEnd"/>
    </w:p>
    <w:p w14:paraId="10A369F7" w14:textId="77777777" w:rsidR="007C4598" w:rsidRDefault="007C4598"/>
    <w:p w14:paraId="6824D250" w14:textId="77777777" w:rsidR="007C4598" w:rsidRDefault="00000000">
      <w:pPr>
        <w:jc w:val="both"/>
      </w:pPr>
      <w:r>
        <w:rPr>
          <w:i/>
          <w:iCs/>
        </w:rPr>
        <w:t xml:space="preserve">La prima voce espone lo strumento centrale della proiezione: il modello di </w:t>
      </w:r>
      <w:proofErr w:type="spellStart"/>
      <w:r>
        <w:rPr>
          <w:i/>
          <w:iCs/>
        </w:rPr>
        <w:t>Markov</w:t>
      </w:r>
      <w:proofErr w:type="spellEnd"/>
      <w:r>
        <w:rPr>
          <w:i/>
          <w:iCs/>
        </w:rPr>
        <w:t xml:space="preserve">, che rappresenta il decorso del disagio comune attraverso un insieme di stati di salute tra i quali la popolazione transita nel tempo, e la </w:t>
      </w:r>
      <w:proofErr w:type="spellStart"/>
      <w:r>
        <w:rPr>
          <w:i/>
          <w:iCs/>
        </w:rPr>
        <w:t>microsimulazione</w:t>
      </w:r>
      <w:proofErr w:type="spellEnd"/>
      <w:r>
        <w:rPr>
          <w:i/>
          <w:iCs/>
        </w:rPr>
        <w:t>, che applica il modello a individui eterogenei. La voce definisce gli stati del modello e i pesi di utilità che vi sono associati, espone le probabilità di transizione tra gli stati nel decorso naturale e nel decorso modificato dalla riforma, dichiara i parametri invarianti cross-regionali che il modello impiega, e descrive l’orizzonte di proiezione e l’effetto della riforma sulle transizioni. La voce stabilisce così lo strumento con cui il valore della riforma è proiettato nel tempo, e ne dichiara i parametri e i confini.</w:t>
      </w:r>
    </w:p>
    <w:p w14:paraId="67A53FFF" w14:textId="77777777" w:rsidR="007C4598" w:rsidRDefault="007C4598"/>
    <w:p w14:paraId="4994F9EB" w14:textId="77777777" w:rsidR="007C4598" w:rsidRDefault="00000000">
      <w:pPr>
        <w:pStyle w:val="Titolo2"/>
        <w:spacing w:before="200" w:after="100"/>
      </w:pPr>
      <w:r>
        <w:rPr>
          <w:sz w:val="22"/>
          <w:szCs w:val="22"/>
        </w:rPr>
        <w:t xml:space="preserve">11.1.1  La logica della modellazione di </w:t>
      </w:r>
      <w:proofErr w:type="spellStart"/>
      <w:r>
        <w:rPr>
          <w:sz w:val="22"/>
          <w:szCs w:val="22"/>
        </w:rPr>
        <w:t>Markov</w:t>
      </w:r>
      <w:proofErr w:type="spellEnd"/>
      <w:r>
        <w:rPr>
          <w:sz w:val="22"/>
          <w:szCs w:val="22"/>
        </w:rPr>
        <w:t xml:space="preserve"> e della </w:t>
      </w:r>
      <w:proofErr w:type="spellStart"/>
      <w:r>
        <w:rPr>
          <w:sz w:val="22"/>
          <w:szCs w:val="22"/>
        </w:rPr>
        <w:t>microsimulazione</w:t>
      </w:r>
      <w:proofErr w:type="spellEnd"/>
    </w:p>
    <w:p w14:paraId="734495DE" w14:textId="77777777" w:rsidR="007C4598" w:rsidRDefault="007C4598"/>
    <w:p w14:paraId="29365C43" w14:textId="77777777" w:rsidR="007C4598" w:rsidRDefault="00000000">
      <w:pPr>
        <w:jc w:val="both"/>
      </w:pPr>
      <w:r>
        <w:t xml:space="preserve">Il modello di </w:t>
      </w:r>
      <w:proofErr w:type="spellStart"/>
      <w:r>
        <w:t>Markov</w:t>
      </w:r>
      <w:proofErr w:type="spellEnd"/>
      <w:r>
        <w:t xml:space="preserve"> è lo strumento con cui la valutazione economica rappresenta l’evoluzione nel tempo di una condizione di salute, attraverso un insieme di stati tra i quali la popolazione transita secondo probabilità definite. Esso muove dal riconoscimento che una condizione di salute non è statica, ma evolve nel tempo attraverso stati successivi — il miglioramento, la persistenza, l’aggravamento, la guarigione — e che la sua rappresentazione richiede di modellare non un esito unico, ma la sequenza degli stati attraverso cui la condizione evolve. Il modello rappresenta perciò la condizione mediante un insieme di stati di salute, mutuamente esclusivi ed esaustivi, e mediante le probabilità di transizione tra gli stati in cicli temporali successivi; e proietta l’evoluzione della popolazione attraverso gli stati lungo l’orizzonte di valutazione, calcolando, per ciascun ciclo, la distribuzione della popolazione tra gli stati, e accumulando gli esiti — i guadagni di salute, i costi — associati a ciascuno stato. Il modello di </w:t>
      </w:r>
      <w:proofErr w:type="spellStart"/>
      <w:r>
        <w:t>Markov</w:t>
      </w:r>
      <w:proofErr w:type="spellEnd"/>
      <w:r>
        <w:t xml:space="preserve"> è dunque lo strumento con cui si proietta nel tempo il decorso di una condizione di salute e l’effetto di un intervento su tale decorso.</w:t>
      </w:r>
      <w:r>
        <w:rPr>
          <w:color w:val="555555"/>
          <w:sz w:val="16"/>
          <w:szCs w:val="16"/>
          <w:vertAlign w:val="superscript"/>
        </w:rPr>
        <w:t>[3]</w:t>
      </w:r>
    </w:p>
    <w:p w14:paraId="257E3E7F" w14:textId="77777777" w:rsidR="007C4598" w:rsidRDefault="007C4598"/>
    <w:p w14:paraId="773064E7" w14:textId="77777777" w:rsidR="007C4598" w:rsidRDefault="00000000">
      <w:pPr>
        <w:jc w:val="both"/>
      </w:pPr>
      <w:r>
        <w:t xml:space="preserve">La </w:t>
      </w:r>
      <w:proofErr w:type="spellStart"/>
      <w:r>
        <w:t>microsimulazione</w:t>
      </w:r>
      <w:proofErr w:type="spellEnd"/>
      <w:r>
        <w:t xml:space="preserve"> affina il modello di </w:t>
      </w:r>
      <w:proofErr w:type="spellStart"/>
      <w:r>
        <w:t>Markov</w:t>
      </w:r>
      <w:proofErr w:type="spellEnd"/>
      <w:r>
        <w:t xml:space="preserve"> applicandolo non a una coorte indistinta, ma a individui simulati, ciascuno con le proprie caratteristiche. Nel modello di </w:t>
      </w:r>
      <w:proofErr w:type="spellStart"/>
      <w:r>
        <w:t>Markov</w:t>
      </w:r>
      <w:proofErr w:type="spellEnd"/>
      <w:r>
        <w:t xml:space="preserve"> a coorte, la popolazione è trattata come un aggregato indistinto, che si distribuisce tra gli stati secondo le probabilità di transizione medie; ma questa rappresentazione trascura l’eterogeneità della popolazione, ossia il fatto che individui diversi — per età, gravità, </w:t>
      </w:r>
      <w:proofErr w:type="spellStart"/>
      <w:r>
        <w:t>comorbilità</w:t>
      </w:r>
      <w:proofErr w:type="spellEnd"/>
      <w:r>
        <w:t xml:space="preserve"> — hanno probabilità di transizione diverse, e seguono decorsi diversi. La </w:t>
      </w:r>
      <w:proofErr w:type="spellStart"/>
      <w:r>
        <w:t>microsimulazione</w:t>
      </w:r>
      <w:proofErr w:type="spellEnd"/>
      <w:r>
        <w:t xml:space="preserve"> supera questa limitazione simulando individui singoli, ciascuno con le proprie caratteristiche e le proprie probabilità di transizione, e seguendone il decorso individuale attraverso gli stati lungo l’orizzonte; e aggrega poi gli esiti individuali in esiti di popolazione, che riflettono l’eterogeneità dei decorsi individuali. La </w:t>
      </w:r>
      <w:proofErr w:type="spellStart"/>
      <w:r>
        <w:t>microsimulazione</w:t>
      </w:r>
      <w:proofErr w:type="spellEnd"/>
      <w:r>
        <w:t xml:space="preserve"> è dunque lo strumento con cui si rende il modello sensibile alla composizione della popolazione, sicché la proiezione rifletta la varietà dei decorsi anziché un decorso medio indistinto. Nel caso della riforma, la </w:t>
      </w:r>
      <w:proofErr w:type="spellStart"/>
      <w:r>
        <w:t>microsimulazione</w:t>
      </w:r>
      <w:proofErr w:type="spellEnd"/>
      <w:r>
        <w:t xml:space="preserve"> consente di proiettare il valore tenendo conto della diversa risposta delle diverse componenti della popolazione — i giovani e gli anziani, i casi lievi e quelli moderati — alla presa in carico.</w:t>
      </w:r>
    </w:p>
    <w:p w14:paraId="169BD8CC" w14:textId="77777777" w:rsidR="007C4598" w:rsidRDefault="007C4598"/>
    <w:p w14:paraId="73D8CCB8" w14:textId="77777777" w:rsidR="007C4598" w:rsidRDefault="00000000">
      <w:pPr>
        <w:pStyle w:val="Titolo2"/>
        <w:spacing w:before="200" w:after="100"/>
      </w:pPr>
      <w:r>
        <w:rPr>
          <w:sz w:val="22"/>
          <w:szCs w:val="22"/>
        </w:rPr>
        <w:t>11.1.2  Gli stati di salute del modello e i pesi di utilità</w:t>
      </w:r>
    </w:p>
    <w:p w14:paraId="5F329B0A" w14:textId="77777777" w:rsidR="007C4598" w:rsidRDefault="007C4598"/>
    <w:p w14:paraId="3372B390" w14:textId="77777777" w:rsidR="007C4598" w:rsidRDefault="00000000">
      <w:pPr>
        <w:jc w:val="both"/>
      </w:pPr>
      <w:r>
        <w:t>Gli stati di salute del modello rappresentano le condizioni attraverso cui il disagio comune evolve, dal benessere alla cronicizzazione, e a ciascuno è associato un peso di utilità che ne esprime la qualità della vita. Il modello distingue cinque stati. Il primo è il benessere, o remissione, in cui la persona non è affetta da disagio o ne è guarita, e che ha il peso di utilità più elevato. Il secondo è il disturbo comune lieve-moderato non intercettato, in cui la persona è affetta da disagio comune ma non è presa in carico, e che ha un peso di utilità ridotto, riflettendo la compromissione della qualità della vita propria del disagio non trattato. Il terzo è il disturbo comune lieve-moderato in trattamento, in cui la persona è affetta da disagio ma è presa in carico, e che ha un peso di utilità intermedio, superiore a quello del disturbo non intercettato perché il trattamento attenua la compromissione e avvia il recupero. Il quarto è il disturbo cronicizzato o severo, in cui il disagio si è aggravato o cronicizzato, e che ha il peso di utilità più basso tra gli stati di malattia, riflettendo la grave compromissione della qualità della vita. Il quinto è il decesso, che chiude il decorso e a cui è associato un peso di utilità nullo, e che il modello include per la mortalità di fondo. La tabella che segue espone gli stati e i pesi di utilità.</w:t>
      </w:r>
    </w:p>
    <w:p w14:paraId="525F687D"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4897772D"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13860B2" w14:textId="77777777" w:rsidR="007C4598" w:rsidRDefault="00000000">
            <w:pPr>
              <w:spacing w:after="40"/>
            </w:pPr>
            <w:r>
              <w:rPr>
                <w:b/>
                <w:bCs/>
                <w:color w:val="FFFFFF"/>
                <w:sz w:val="18"/>
                <w:szCs w:val="18"/>
              </w:rPr>
              <w:t>Stato di salute del modello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AE26BF9" w14:textId="77777777" w:rsidR="007C4598" w:rsidRDefault="00000000">
            <w:pPr>
              <w:spacing w:after="40"/>
            </w:pPr>
            <w:r>
              <w:rPr>
                <w:b/>
                <w:bCs/>
                <w:color w:val="FFFFFF"/>
                <w:sz w:val="18"/>
                <w:szCs w:val="18"/>
              </w:rPr>
              <w:t>Descrizione</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B550B18" w14:textId="77777777" w:rsidR="007C4598" w:rsidRDefault="00000000">
            <w:pPr>
              <w:spacing w:after="40"/>
            </w:pPr>
            <w:r>
              <w:rPr>
                <w:b/>
                <w:bCs/>
                <w:color w:val="FFFFFF"/>
                <w:sz w:val="18"/>
                <w:szCs w:val="18"/>
              </w:rPr>
              <w:t>Peso di utilità</w:t>
            </w:r>
          </w:p>
        </w:tc>
      </w:tr>
      <w:tr w:rsidR="007C4598" w14:paraId="2527A632"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5C3E2EB" w14:textId="77777777" w:rsidR="007C4598" w:rsidRDefault="00000000">
            <w:pPr>
              <w:spacing w:after="40"/>
            </w:pPr>
            <w:r>
              <w:t>Benessere / remissione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6E54EF3" w14:textId="77777777" w:rsidR="007C4598" w:rsidRDefault="00000000">
            <w:pPr>
              <w:spacing w:after="40"/>
            </w:pPr>
            <w:r>
              <w:t>Assenza di disagio o guarigione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612AA99" w14:textId="77777777" w:rsidR="007C4598" w:rsidRDefault="00000000">
            <w:pPr>
              <w:spacing w:after="40"/>
            </w:pPr>
            <w:r>
              <w:t>~0,85</w:t>
            </w:r>
          </w:p>
        </w:tc>
      </w:tr>
      <w:tr w:rsidR="007C4598" w14:paraId="52ABE16F"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D1F943E" w14:textId="77777777" w:rsidR="007C4598" w:rsidRDefault="00000000">
            <w:pPr>
              <w:spacing w:after="40"/>
            </w:pPr>
            <w:r>
              <w:t>Disturbo lieve-moderato non intercettato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F8704B0" w14:textId="77777777" w:rsidR="007C4598" w:rsidRDefault="00000000">
            <w:pPr>
              <w:spacing w:after="40"/>
            </w:pPr>
            <w:r>
              <w:t>Disagio comune non preso in carico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9CB98A6" w14:textId="77777777" w:rsidR="007C4598" w:rsidRDefault="00000000">
            <w:pPr>
              <w:spacing w:after="40"/>
            </w:pPr>
            <w:r>
              <w:t>~0,65</w:t>
            </w:r>
          </w:p>
        </w:tc>
      </w:tr>
      <w:tr w:rsidR="007C4598" w14:paraId="5626469E"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6F443F4" w14:textId="77777777" w:rsidR="007C4598" w:rsidRDefault="00000000">
            <w:pPr>
              <w:spacing w:after="40"/>
            </w:pPr>
            <w:r>
              <w:t>Disturbo lieve-moderato in trattamento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3DFBF50" w14:textId="77777777" w:rsidR="007C4598" w:rsidRDefault="00000000">
            <w:pPr>
              <w:spacing w:after="40"/>
            </w:pPr>
            <w:r>
              <w:t>Disagio comune preso in carico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9BB011B" w14:textId="77777777" w:rsidR="007C4598" w:rsidRDefault="00000000">
            <w:pPr>
              <w:spacing w:after="40"/>
            </w:pPr>
            <w:r>
              <w:t>~0,75</w:t>
            </w:r>
          </w:p>
        </w:tc>
      </w:tr>
      <w:tr w:rsidR="007C4598" w14:paraId="716E18C6"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5700520" w14:textId="77777777" w:rsidR="007C4598" w:rsidRDefault="00000000">
            <w:pPr>
              <w:spacing w:after="40"/>
            </w:pPr>
            <w:r>
              <w:t>Disturbo cronicizzato o severo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5815B6B" w14:textId="77777777" w:rsidR="007C4598" w:rsidRDefault="00000000">
            <w:pPr>
              <w:spacing w:after="40"/>
            </w:pPr>
            <w:r>
              <w:t>Disagio aggravato o cronicizzato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E9CD397" w14:textId="77777777" w:rsidR="007C4598" w:rsidRDefault="00000000">
            <w:pPr>
              <w:spacing w:after="40"/>
            </w:pPr>
            <w:r>
              <w:t>~0,50</w:t>
            </w:r>
          </w:p>
        </w:tc>
      </w:tr>
      <w:tr w:rsidR="007C4598" w14:paraId="238EBC00"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7B96ABA" w14:textId="77777777" w:rsidR="007C4598" w:rsidRDefault="00000000">
            <w:pPr>
              <w:spacing w:after="40"/>
            </w:pPr>
            <w:r>
              <w:t>Decesso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F4032B9" w14:textId="77777777" w:rsidR="007C4598" w:rsidRDefault="00000000">
            <w:pPr>
              <w:spacing w:after="40"/>
            </w:pPr>
            <w:r>
              <w:t>Mortalità di fondo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CE68BD2" w14:textId="77777777" w:rsidR="007C4598" w:rsidRDefault="00000000">
            <w:pPr>
              <w:spacing w:after="40"/>
            </w:pPr>
            <w:r>
              <w:t>0,00</w:t>
            </w:r>
          </w:p>
        </w:tc>
      </w:tr>
    </w:tbl>
    <w:p w14:paraId="35CF1522" w14:textId="77777777" w:rsidR="007C4598" w:rsidRDefault="007C4598"/>
    <w:p w14:paraId="646A779D" w14:textId="77777777" w:rsidR="007C4598" w:rsidRDefault="00000000">
      <w:pPr>
        <w:jc w:val="both"/>
      </w:pPr>
      <w:r>
        <w:rPr>
          <w:i/>
          <w:iCs/>
        </w:rPr>
        <w:t xml:space="preserve">Tabella 11.1 — Stati di salute del modello di </w:t>
      </w:r>
      <w:proofErr w:type="spellStart"/>
      <w:r>
        <w:rPr>
          <w:i/>
          <w:iCs/>
        </w:rPr>
        <w:t>Markov</w:t>
      </w:r>
      <w:proofErr w:type="spellEnd"/>
      <w:r>
        <w:rPr>
          <w:i/>
          <w:iCs/>
        </w:rPr>
        <w:t xml:space="preserve"> e pesi di utilità associati. I cinque stati rappresentano le condizioni attraverso cui il disagio comune evolve, dal benessere alla cronicizzazione al decesso; i pesi di utilità, compresi tra zero e uno, esprimono la qualità della vita in ciascuno stato, e sono parametri invarianti cross-regionali desunti dalla letteratura.</w:t>
      </w:r>
    </w:p>
    <w:p w14:paraId="637BC010" w14:textId="77777777" w:rsidR="007C4598" w:rsidRDefault="007C4598"/>
    <w:p w14:paraId="1D841396" w14:textId="77777777" w:rsidR="007C4598" w:rsidRDefault="00000000">
      <w:pPr>
        <w:jc w:val="both"/>
      </w:pPr>
      <w:r>
        <w:t>La struttura dei pesi di utilità riflette la compromissione della qualità della vita propria di ciascuno stato, e ne governa il calcolo dei guadagni di salute. Lo stato di benessere ha il peso di utilità più elevato, dell’ordine di otto decimi e mezzo, riflettendo una qualità della vita prossima alla piena salute; il disturbo non intercettato ha un peso ridotto, dell’ordine di sei decimi e mezzo, riflettendo la compromissione propria del disagio comune non trattato; il disturbo in trattamento ha un peso intermedio, dell’ordine di sette decimi e mezzo, superiore a quello del disturbo non intercettato perché il trattamento attenua la compromissione; il disturbo cronicizzato ha il peso più basso tra gli stati di malattia, dell’ordine di cinque decimi, riflettendo la grave compromissione propria della cronicizzazione. La differenza tra i pesi degli stati è ciò che genera i guadagni di salute: una persona che, grazie alla riforma, transita dal disturbo non intercettato al trattamento e quindi al benessere, acquista qualità della vita pari alla differenza tra i pesi degli stati attraversati, ponderata per il tempo trascorso in ciascuno; e l’aggregazione di questi guadagni individuali, lungo l’orizzonte e sull’intera popolazione, produce i guadagni di salute della riforma, misurati in anni di vita in buona salute. I pesi di utilità sono parametri invarianti cross-regionali, desunti dalla letteratura sull’utilità degli stati di salute mentale, e non adattati alla singola regione.</w:t>
      </w:r>
    </w:p>
    <w:p w14:paraId="6EF018F0" w14:textId="77777777" w:rsidR="007C4598" w:rsidRDefault="007C4598"/>
    <w:p w14:paraId="0BF998EA" w14:textId="77777777" w:rsidR="007C4598" w:rsidRDefault="00000000">
      <w:pPr>
        <w:pStyle w:val="Titolo2"/>
        <w:spacing w:before="200" w:after="100"/>
      </w:pPr>
      <w:r>
        <w:rPr>
          <w:sz w:val="22"/>
          <w:szCs w:val="22"/>
        </w:rPr>
        <w:t>11.1.3  Le probabilità di transizione e l’effetto della riforma</w:t>
      </w:r>
    </w:p>
    <w:p w14:paraId="016C07E0" w14:textId="77777777" w:rsidR="007C4598" w:rsidRDefault="007C4598"/>
    <w:p w14:paraId="2876DF10" w14:textId="77777777" w:rsidR="007C4598" w:rsidRDefault="00000000">
      <w:pPr>
        <w:jc w:val="both"/>
      </w:pPr>
      <w:r>
        <w:t>Le probabilità di transizione governano il passaggio della popolazione tra gli stati nel decorso del tempo, e l’effetto della riforma consiste nel modificarle, accrescendo la probabilità di miglioramento e riducendo quella di aggravamento. Il modello distingue due decorsi: il decorso naturale, proprio del disturbo non intercettato, e il decorso modificato dalla riforma, proprio del disturbo in trattamento. Nel decorso naturale, il disturbo non intercettato ha una certa probabilità annuale di remissione spontanea, una probabilità di persistenza nel disturbo, una probabilità di cronicizzazione e una probabilità di decesso per mortalità di fondo; la remissione spontanea è possibile, ma la probabilità di cronicizzazione è rilevante, perché il disagio non trattato tende ad aggravarsi. Nel decorso modificato dalla riforma, il disturbo in trattamento ha una probabilità di remissione sensibilmente maggiore, perché il trattamento favorisce il recupero, e una probabilità di cronicizzazione sensibilmente minore, perché il trattamento previene l’aggravamento. La tabella che segue espone le probabilità di transizione annuali nei due decorsi.</w:t>
      </w:r>
    </w:p>
    <w:p w14:paraId="7358359D"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806"/>
        <w:gridCol w:w="1805"/>
        <w:gridCol w:w="1805"/>
        <w:gridCol w:w="1805"/>
        <w:gridCol w:w="1805"/>
      </w:tblGrid>
      <w:tr w:rsidR="007C4598" w14:paraId="1EE32981" w14:textId="77777777">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A0DB459" w14:textId="77777777" w:rsidR="007C4598" w:rsidRDefault="00000000">
            <w:pPr>
              <w:spacing w:after="40"/>
            </w:pPr>
            <w:r>
              <w:rPr>
                <w:b/>
                <w:bCs/>
                <w:color w:val="FFFFFF"/>
                <w:sz w:val="18"/>
                <w:szCs w:val="18"/>
              </w:rPr>
              <w:t>Probabilità di transizione annuale</w:t>
            </w:r>
          </w:p>
        </w:tc>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ACC7035" w14:textId="77777777" w:rsidR="007C4598" w:rsidRDefault="00000000">
            <w:pPr>
              <w:spacing w:after="40"/>
            </w:pPr>
            <w:r>
              <w:rPr>
                <w:b/>
                <w:bCs/>
                <w:color w:val="FFFFFF"/>
                <w:sz w:val="18"/>
                <w:szCs w:val="18"/>
              </w:rPr>
              <w:t>Remissione</w:t>
            </w:r>
          </w:p>
        </w:tc>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FF96BBC" w14:textId="77777777" w:rsidR="007C4598" w:rsidRDefault="00000000">
            <w:pPr>
              <w:spacing w:after="40"/>
            </w:pPr>
            <w:r>
              <w:rPr>
                <w:b/>
                <w:bCs/>
                <w:color w:val="FFFFFF"/>
                <w:sz w:val="18"/>
                <w:szCs w:val="18"/>
              </w:rPr>
              <w:t>Persistenza</w:t>
            </w:r>
          </w:p>
        </w:tc>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EA6D3E8" w14:textId="77777777" w:rsidR="007C4598" w:rsidRDefault="00000000">
            <w:pPr>
              <w:spacing w:after="40"/>
            </w:pPr>
            <w:proofErr w:type="spellStart"/>
            <w:r>
              <w:rPr>
                <w:b/>
                <w:bCs/>
                <w:color w:val="FFFFFF"/>
                <w:sz w:val="18"/>
                <w:szCs w:val="18"/>
              </w:rPr>
              <w:t>Cronicizz</w:t>
            </w:r>
            <w:proofErr w:type="spellEnd"/>
            <w:r>
              <w:rPr>
                <w:b/>
                <w:bCs/>
                <w:color w:val="FFFFFF"/>
                <w:sz w:val="18"/>
                <w:szCs w:val="18"/>
              </w:rPr>
              <w:t>.</w:t>
            </w:r>
          </w:p>
        </w:tc>
        <w:tc>
          <w:tcPr>
            <w:tcW w:w="1805"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11C1F22" w14:textId="77777777" w:rsidR="007C4598" w:rsidRDefault="00000000">
            <w:pPr>
              <w:spacing w:after="40"/>
            </w:pPr>
            <w:r>
              <w:rPr>
                <w:b/>
                <w:bCs/>
                <w:color w:val="FFFFFF"/>
                <w:sz w:val="18"/>
                <w:szCs w:val="18"/>
              </w:rPr>
              <w:t>Decesso</w:t>
            </w:r>
          </w:p>
        </w:tc>
      </w:tr>
      <w:tr w:rsidR="007C4598" w14:paraId="790AF1EF"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BBBFEA7" w14:textId="77777777" w:rsidR="007C4598" w:rsidRDefault="00000000">
            <w:pPr>
              <w:spacing w:after="40"/>
            </w:pPr>
            <w:r>
              <w:t>Disturbo non intercettato (decorso naturale)</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624F667" w14:textId="77777777" w:rsidR="007C4598" w:rsidRDefault="00000000">
            <w:pPr>
              <w:spacing w:after="40"/>
            </w:pPr>
            <w:r>
              <w:t>~0,25</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30DADEE" w14:textId="77777777" w:rsidR="007C4598" w:rsidRDefault="00000000">
            <w:pPr>
              <w:spacing w:after="40"/>
            </w:pPr>
            <w:r>
              <w:t>~0,55</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ED63524" w14:textId="77777777" w:rsidR="007C4598" w:rsidRDefault="00000000">
            <w:pPr>
              <w:spacing w:after="40"/>
            </w:pPr>
            <w:r>
              <w:t>~0,18</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AC169F6" w14:textId="77777777" w:rsidR="007C4598" w:rsidRDefault="00000000">
            <w:pPr>
              <w:spacing w:after="40"/>
            </w:pPr>
            <w:r>
              <w:t>~0,02</w:t>
            </w:r>
          </w:p>
        </w:tc>
      </w:tr>
      <w:tr w:rsidR="007C4598" w14:paraId="61D84636" w14:textId="77777777">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3F0496C" w14:textId="77777777" w:rsidR="007C4598" w:rsidRDefault="00000000">
            <w:pPr>
              <w:spacing w:after="40"/>
            </w:pPr>
            <w:r>
              <w:t>Disturbo in trattamento (decorso con riforma)</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43D87C8" w14:textId="77777777" w:rsidR="007C4598" w:rsidRDefault="00000000">
            <w:pPr>
              <w:spacing w:after="40"/>
            </w:pPr>
            <w:r>
              <w:t>~0,50</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78ECB6F" w14:textId="77777777" w:rsidR="007C4598" w:rsidRDefault="00000000">
            <w:pPr>
              <w:spacing w:after="40"/>
            </w:pPr>
            <w:r>
              <w:t>~0,42</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C1F61F9" w14:textId="77777777" w:rsidR="007C4598" w:rsidRDefault="00000000">
            <w:pPr>
              <w:spacing w:after="40"/>
            </w:pPr>
            <w:r>
              <w:t>~0,06</w:t>
            </w:r>
          </w:p>
        </w:tc>
        <w:tc>
          <w:tcPr>
            <w:tcW w:w="1805"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AFE88F1" w14:textId="77777777" w:rsidR="007C4598" w:rsidRDefault="00000000">
            <w:pPr>
              <w:spacing w:after="40"/>
            </w:pPr>
            <w:r>
              <w:t>~0,02</w:t>
            </w:r>
          </w:p>
        </w:tc>
      </w:tr>
    </w:tbl>
    <w:p w14:paraId="410A7C74" w14:textId="77777777" w:rsidR="007C4598" w:rsidRDefault="007C4598"/>
    <w:p w14:paraId="4A554B20" w14:textId="77777777" w:rsidR="007C4598" w:rsidRDefault="00000000">
      <w:pPr>
        <w:jc w:val="both"/>
      </w:pPr>
      <w:r>
        <w:rPr>
          <w:i/>
          <w:iCs/>
        </w:rPr>
        <w:t>Tabella 11.2 — Probabilità di transizione annuali dal disturbo lieve-moderato, nel decorso naturale (non intercettato) e nel decorso modificato dalla riforma (in trattamento). La riforma, prendendo in carico il disturbo, accresce la probabilità di remissione (da circa un quarto a circa la metà) e riduce la probabilità di cronicizzazione (da circa diciotto a circa sei centesimi); è in questa modificazione delle transizioni che risiede l’effetto del modello.</w:t>
      </w:r>
    </w:p>
    <w:p w14:paraId="452FF46C" w14:textId="77777777" w:rsidR="007C4598" w:rsidRDefault="007C4598"/>
    <w:p w14:paraId="5BC0BF5B" w14:textId="77777777" w:rsidR="007C4598" w:rsidRDefault="00000000">
      <w:pPr>
        <w:jc w:val="both"/>
      </w:pPr>
      <w:r>
        <w:t>La modificazione delle probabilità di transizione operata dalla riforma è il meccanismo attraverso cui il modello genera i guadagni di salute e i risparmi. Nel decorso naturale, il disturbo non intercettato ha una probabilità annuale di remissione dell’ordine di un quarto, di persistenza dell’ordine di cinquantacinque centesimi, e di cronicizzazione dell’ordine di diciotto centesimi: una quota rilevante della popolazione non trattata, di anno in anno, cronicizza, entrando nello stato di più grave compromissione e di più alto costo. Nel decorso modificato dalla riforma, il disturbo in trattamento ha una probabilità di remissione dell’ordine della metà — il doppio del decorso naturale — e di cronicizzazione dell’ordine di sei centesimi — un terzo del decorso naturale: la presa in carico raddoppia la probabilità di guarigione e riduce a un terzo la probabilità di cronicizzazione. L’effetto cumulato di questa modificazione, lungo l’orizzonte e sull’intera popolazione intercettata, è duplice: da un lato, una quota maggiore della popolazione transita verso il benessere, acquistando qualità della vita e generando i guadagni di salute; dall’altro, una quota minore cronicizza, evitando lo stato di più alto costo e generando i risparmi. I guadagni di salute e i risparmi della riforma, stabiliti staticamente dalle parti precedenti, trovano dunque nel modello la loro generazione dinamica, attraverso la modificazione delle transizioni.</w:t>
      </w:r>
      <w:r>
        <w:rPr>
          <w:color w:val="555555"/>
          <w:sz w:val="16"/>
          <w:szCs w:val="16"/>
          <w:vertAlign w:val="superscript"/>
        </w:rPr>
        <w:t>[4]</w:t>
      </w:r>
    </w:p>
    <w:p w14:paraId="0C79E406" w14:textId="77777777" w:rsidR="007C4598" w:rsidRDefault="007C4598"/>
    <w:p w14:paraId="3B2D651D" w14:textId="77777777" w:rsidR="007C4598" w:rsidRDefault="00000000">
      <w:pPr>
        <w:pStyle w:val="Titolo2"/>
        <w:spacing w:before="200" w:after="100"/>
      </w:pPr>
      <w:r>
        <w:rPr>
          <w:sz w:val="22"/>
          <w:szCs w:val="22"/>
        </w:rPr>
        <w:t>11.1.4  I parametri invarianti cross-regionali e l’orizzonte di proiezione</w:t>
      </w:r>
    </w:p>
    <w:p w14:paraId="578CE672" w14:textId="77777777" w:rsidR="007C4598" w:rsidRDefault="007C4598"/>
    <w:p w14:paraId="5371863E" w14:textId="77777777" w:rsidR="007C4598" w:rsidRDefault="00000000">
      <w:pPr>
        <w:jc w:val="both"/>
      </w:pPr>
      <w:r>
        <w:t>Il modello impiega un insieme di parametri invarianti cross-regionali, costanti per l’intera serie regionale, che ne governano il funzionamento. Oltre ai pesi di utilità e alle probabilità di transizione, già esposti, il modello adotta una durata del ciclo, un orizzonte di proiezione, un tasso di sconto e una correzione di mezzo ciclo. La durata del ciclo è annuale, sicché la popolazione transiti tra gli stati una volta l’anno, in coerenza con il ritmo annuale del decorso del disagio comune. L’orizzonte di proiezione è decennale, sufficiente a cogliere tanto la fase di avvio quanto la fase di regime e l’accumulo dei guadagni nel lungo periodo, ed esteso oltre l’orizzonte quinquennale dell’analisi di impatto di bilancio. Il tasso di sconto, applicato tanto ai costi quanto agli esiti di salute, è dell’ordine del tre per cento annuo, in coerenza con la convenzione della valutazione economica, e riflette la preferenza temporale che attribuisce ai costi e agli esiti futuri un valore attualizzato inferiore a quello presente. La correzione di mezzo ciclo è applicata per attenuare la distorsione propria della rappresentazione a cicli discreti. La tabella che segue espone i parametri invarianti del modello.</w:t>
      </w:r>
    </w:p>
    <w:p w14:paraId="4537E8C4"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4513"/>
        <w:gridCol w:w="4513"/>
      </w:tblGrid>
      <w:tr w:rsidR="007C4598" w14:paraId="6565AC0B" w14:textId="77777777">
        <w:tc>
          <w:tcPr>
            <w:tcW w:w="4513"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CE984CB" w14:textId="77777777" w:rsidR="007C4598" w:rsidRDefault="00000000">
            <w:pPr>
              <w:spacing w:after="40"/>
            </w:pPr>
            <w:r>
              <w:rPr>
                <w:b/>
                <w:bCs/>
                <w:color w:val="FFFFFF"/>
                <w:sz w:val="18"/>
                <w:szCs w:val="18"/>
              </w:rPr>
              <w:t>Parametro invariante cross-regionale del modello</w:t>
            </w:r>
          </w:p>
        </w:tc>
        <w:tc>
          <w:tcPr>
            <w:tcW w:w="4513"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5980E33" w14:textId="77777777" w:rsidR="007C4598" w:rsidRDefault="00000000">
            <w:pPr>
              <w:spacing w:after="40"/>
            </w:pPr>
            <w:r>
              <w:rPr>
                <w:b/>
                <w:bCs/>
                <w:color w:val="FFFFFF"/>
                <w:sz w:val="18"/>
                <w:szCs w:val="18"/>
              </w:rPr>
              <w:t>Valore adottato</w:t>
            </w:r>
          </w:p>
        </w:tc>
      </w:tr>
      <w:tr w:rsidR="007C4598" w14:paraId="5F05FB66"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8860308" w14:textId="77777777" w:rsidR="007C4598" w:rsidRDefault="00000000">
            <w:pPr>
              <w:spacing w:after="40"/>
            </w:pPr>
            <w:r>
              <w:t>Durata del ciclo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82F0600" w14:textId="77777777" w:rsidR="007C4598" w:rsidRDefault="00000000">
            <w:pPr>
              <w:spacing w:after="40"/>
            </w:pPr>
            <w:r>
              <w:t>1 anno</w:t>
            </w:r>
          </w:p>
        </w:tc>
      </w:tr>
      <w:tr w:rsidR="007C4598" w14:paraId="4E245924"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38A6A40" w14:textId="77777777" w:rsidR="007C4598" w:rsidRDefault="00000000">
            <w:pPr>
              <w:spacing w:after="40"/>
            </w:pPr>
            <w:r>
              <w:t>Orizzonte di proiezione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01AC5D4" w14:textId="77777777" w:rsidR="007C4598" w:rsidRDefault="00000000">
            <w:pPr>
              <w:spacing w:after="40"/>
            </w:pPr>
            <w:r>
              <w:t>10 anni</w:t>
            </w:r>
          </w:p>
        </w:tc>
      </w:tr>
      <w:tr w:rsidR="007C4598" w14:paraId="7106E299"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37C8EF8" w14:textId="77777777" w:rsidR="007C4598" w:rsidRDefault="00000000">
            <w:pPr>
              <w:spacing w:after="40"/>
            </w:pPr>
            <w:r>
              <w:t>Tasso di sconto (costi ed esiti di salute)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C85B894" w14:textId="77777777" w:rsidR="007C4598" w:rsidRDefault="00000000">
            <w:pPr>
              <w:spacing w:after="40"/>
            </w:pPr>
            <w:r>
              <w:t>~3% annuo</w:t>
            </w:r>
          </w:p>
        </w:tc>
      </w:tr>
      <w:tr w:rsidR="007C4598" w14:paraId="7EAE39BC"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03009CF" w14:textId="77777777" w:rsidR="007C4598" w:rsidRDefault="00000000">
            <w:pPr>
              <w:spacing w:after="40"/>
            </w:pPr>
            <w:r>
              <w:t>Peso di utilità — benessere / remissione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DF51833" w14:textId="77777777" w:rsidR="007C4598" w:rsidRDefault="00000000">
            <w:pPr>
              <w:spacing w:after="40"/>
            </w:pPr>
            <w:r>
              <w:t>~0,85</w:t>
            </w:r>
          </w:p>
        </w:tc>
      </w:tr>
      <w:tr w:rsidR="007C4598" w14:paraId="35F4B482"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CE9DFFF" w14:textId="77777777" w:rsidR="007C4598" w:rsidRDefault="00000000">
            <w:pPr>
              <w:spacing w:after="40"/>
            </w:pPr>
            <w:r>
              <w:t>Peso di utilità — disturbo non intercettato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3433FD6" w14:textId="77777777" w:rsidR="007C4598" w:rsidRDefault="00000000">
            <w:pPr>
              <w:spacing w:after="40"/>
            </w:pPr>
            <w:r>
              <w:t>~0,65</w:t>
            </w:r>
          </w:p>
        </w:tc>
      </w:tr>
      <w:tr w:rsidR="007C4598" w14:paraId="6A6BA5F2"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7BDA8CF" w14:textId="77777777" w:rsidR="007C4598" w:rsidRDefault="00000000">
            <w:pPr>
              <w:spacing w:after="40"/>
            </w:pPr>
            <w:r>
              <w:t>Peso di utilità — disturbo in trattamento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201CEEA" w14:textId="77777777" w:rsidR="007C4598" w:rsidRDefault="00000000">
            <w:pPr>
              <w:spacing w:after="40"/>
            </w:pPr>
            <w:r>
              <w:t>~0,75</w:t>
            </w:r>
          </w:p>
        </w:tc>
      </w:tr>
      <w:tr w:rsidR="007C4598" w14:paraId="17C80F0C"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ECA24EF" w14:textId="77777777" w:rsidR="007C4598" w:rsidRDefault="00000000">
            <w:pPr>
              <w:spacing w:after="40"/>
            </w:pPr>
            <w:r>
              <w:t>Peso di utilità — disturbo cronicizzato / severo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BF7AD81" w14:textId="77777777" w:rsidR="007C4598" w:rsidRDefault="00000000">
            <w:pPr>
              <w:spacing w:after="40"/>
            </w:pPr>
            <w:r>
              <w:t>~0,50</w:t>
            </w:r>
          </w:p>
        </w:tc>
      </w:tr>
      <w:tr w:rsidR="007C4598" w14:paraId="0DF31FE2"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0F60976" w14:textId="77777777" w:rsidR="007C4598" w:rsidRDefault="00000000">
            <w:pPr>
              <w:spacing w:after="40"/>
            </w:pPr>
            <w:r>
              <w:t>Correzione di mezzo ciclo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9D5E65C" w14:textId="77777777" w:rsidR="007C4598" w:rsidRDefault="00000000">
            <w:pPr>
              <w:spacing w:after="40"/>
            </w:pPr>
            <w:r>
              <w:t>applicata</w:t>
            </w:r>
          </w:p>
        </w:tc>
      </w:tr>
    </w:tbl>
    <w:p w14:paraId="431AC704" w14:textId="77777777" w:rsidR="007C4598" w:rsidRDefault="007C4598"/>
    <w:p w14:paraId="7551BAD8" w14:textId="77777777" w:rsidR="007C4598" w:rsidRDefault="00000000">
      <w:pPr>
        <w:jc w:val="both"/>
      </w:pPr>
      <w:r>
        <w:rPr>
          <w:i/>
          <w:iCs/>
        </w:rPr>
        <w:t xml:space="preserve">Tabella 11.3 — Parametri invarianti cross-regionali del modello di </w:t>
      </w:r>
      <w:proofErr w:type="spellStart"/>
      <w:r>
        <w:rPr>
          <w:i/>
          <w:iCs/>
        </w:rPr>
        <w:t>Markov</w:t>
      </w:r>
      <w:proofErr w:type="spellEnd"/>
      <w:r>
        <w:rPr>
          <w:i/>
          <w:iCs/>
        </w:rPr>
        <w:t>, costanti per l’intera serie regionale dello studio. Essi governano il funzionamento del modello — la durata del ciclo, l’orizzonte, lo sconto, i pesi di utilità, la correzione di mezzo ciclo — e sono desunti dalla letteratura e dalla convenzione della valutazione economica, non adattati alla singola regione.</w:t>
      </w:r>
    </w:p>
    <w:p w14:paraId="5B79DADE" w14:textId="77777777" w:rsidR="007C4598" w:rsidRDefault="007C4598"/>
    <w:p w14:paraId="6CCE4DCA" w14:textId="77777777" w:rsidR="007C4598" w:rsidRDefault="00000000">
      <w:pPr>
        <w:jc w:val="both"/>
      </w:pPr>
      <w:r>
        <w:t xml:space="preserve">I parametri demografici e di scala, che variano da regione a regione, completano l’alimentazione del modello con le caratteristiche proprie della Puglia. La dimensione della popolazione regionale, la struttura per età, la prevalenza di base del disagio comune e il numero di incarichi attivati nei tre scenari di copertura sono i parametri propri della Puglia, stabiliti dalla seconda e dalla quarta parte, che il modello assume per proiettare il valore della riforma nel contesto regionale. La distinzione tra i parametri invarianti — clinici e di costo, costanti per la serie — e i parametri propri della Puglia — demografici e di scala — è ciò che rende la proiezione insieme ancorata e specifica: ancorata, perché i parametri clinici sono quelli della serie, desunti dalla letteratura e non adattati; specifica, perché i parametri demografici e di scala sono quelli della Puglia. Il modello proietta dunque, sui parametri clinici invarianti e sui parametri demografici pugliesi, l’andamento temporale delle grandezze della riforma — la distribuzione della popolazione tra gli stati, i guadagni di salute, i costi, i risparmi — lungo l’orizzonte decennale, attualizzando costi ed esiti al tasso di sconto, e producendo la proiezione su cui le previsioni si fonderanno. La proiezione riflette il </w:t>
      </w:r>
      <w:proofErr w:type="spellStart"/>
      <w:r>
        <w:t>ramp</w:t>
      </w:r>
      <w:proofErr w:type="spellEnd"/>
      <w:r>
        <w:t>-up della riforma, ossia il graduale crescere della popolazione intercettata dalla fase di avvio alla fase di regime, in coerenza con la traiettoria stabilita dall’analisi di impatto di bilancio.</w:t>
      </w:r>
    </w:p>
    <w:p w14:paraId="418B21BD"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5F0CDC18"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19A23F5" w14:textId="77777777" w:rsidR="007C4598" w:rsidRDefault="00000000">
            <w:pPr>
              <w:spacing w:after="40"/>
            </w:pPr>
            <w:r>
              <w:rPr>
                <w:b/>
                <w:bCs/>
                <w:color w:val="FFFFFF"/>
                <w:sz w:val="18"/>
                <w:szCs w:val="18"/>
              </w:rPr>
              <w:t xml:space="preserve">◆ SEGNAPOSTO INFOGRAFICA — FIG. 11.A · DA INSERIRE A POSTERIORI Titolo previsto: Il modello di </w:t>
            </w:r>
            <w:proofErr w:type="spellStart"/>
            <w:r>
              <w:rPr>
                <w:b/>
                <w:bCs/>
                <w:color w:val="FFFFFF"/>
                <w:sz w:val="18"/>
                <w:szCs w:val="18"/>
              </w:rPr>
              <w:t>Markov</w:t>
            </w:r>
            <w:proofErr w:type="spellEnd"/>
            <w:r>
              <w:rPr>
                <w:b/>
                <w:bCs/>
                <w:color w:val="FFFFFF"/>
                <w:sz w:val="18"/>
                <w:szCs w:val="18"/>
              </w:rPr>
              <w:t>: gli stati di salute e le transizioni del decorso con la riforma — Puglia CODICE CANVA-FRIENDLY (scheda di generazione) Tipo di grafico: diagramma di transizione tra stati (state-</w:t>
            </w:r>
            <w:proofErr w:type="spellStart"/>
            <w:r>
              <w:rPr>
                <w:b/>
                <w:bCs/>
                <w:color w:val="FFFFFF"/>
                <w:sz w:val="18"/>
                <w:szCs w:val="18"/>
              </w:rPr>
              <w:t>transition</w:t>
            </w:r>
            <w:proofErr w:type="spellEnd"/>
            <w:r>
              <w:rPr>
                <w:b/>
                <w:bCs/>
                <w:color w:val="FFFFFF"/>
                <w:sz w:val="18"/>
                <w:szCs w:val="18"/>
              </w:rPr>
              <w:t xml:space="preserve"> </w:t>
            </w:r>
            <w:proofErr w:type="spellStart"/>
            <w:r>
              <w:rPr>
                <w:b/>
                <w:bCs/>
                <w:color w:val="FFFFFF"/>
                <w:sz w:val="18"/>
                <w:szCs w:val="18"/>
              </w:rPr>
              <w:t>diagram</w:t>
            </w:r>
            <w:proofErr w:type="spellEnd"/>
            <w:r>
              <w:rPr>
                <w:b/>
                <w:bCs/>
                <w:color w:val="FFFFFF"/>
                <w:sz w:val="18"/>
                <w:szCs w:val="18"/>
              </w:rPr>
              <w:t xml:space="preserve">) che rappresenta i cinque stati del modello come nodi e le probabilità di transizione come archi orientati, con evidenziato il decorso modificato dalla riforma (dal disturbo non intercettato al trattamento e quindi al benessere). Lettura: cinque nodi (benessere, disturbo non intercettato, disturbo in trattamento, cronicizzato, decesso) collegati da archi recanti le probabilità di transizione; gli archi del decorso con riforma (intercettazione → trattamento → remissione) in evidenza, a mostrare il percorso che la riforma favorisce; gli archi verso la cronicizzazione attenuati, a mostrare il percorso che la riforma riduce. Palette: nodo benessere in oro #C49A48; disturbo non intercettato in blu chiaro #5B7BB0; disturbo in trattamento in blu medio #244272; cronicizzato in blu </w:t>
            </w:r>
            <w:proofErr w:type="spellStart"/>
            <w:r>
              <w:rPr>
                <w:b/>
                <w:bCs/>
                <w:color w:val="FFFFFF"/>
                <w:sz w:val="18"/>
                <w:szCs w:val="18"/>
              </w:rPr>
              <w:t>navy</w:t>
            </w:r>
            <w:proofErr w:type="spellEnd"/>
            <w:r>
              <w:rPr>
                <w:b/>
                <w:bCs/>
                <w:color w:val="FFFFFF"/>
                <w:sz w:val="18"/>
                <w:szCs w:val="18"/>
              </w:rPr>
              <w:t xml:space="preserve"> #16264B; decesso in grigio #D8D8D8; archi del decorso con riforma in oro, archi verso cronicizzazione in grigio attenuato.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etichette dei nodi </w:t>
            </w:r>
            <w:proofErr w:type="spellStart"/>
            <w:r>
              <w:rPr>
                <w:b/>
                <w:bCs/>
                <w:color w:val="FFFFFF"/>
                <w:sz w:val="18"/>
                <w:szCs w:val="18"/>
              </w:rPr>
              <w:t>Bold</w:t>
            </w:r>
            <w:proofErr w:type="spellEnd"/>
            <w:r>
              <w:rPr>
                <w:b/>
                <w:bCs/>
                <w:color w:val="FFFFFF"/>
                <w:sz w:val="18"/>
                <w:szCs w:val="18"/>
              </w:rPr>
              <w:t xml:space="preserve">, probabilità sugli archi Medium.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Valori da rappresentare: transizioni dal disturbo in trattamento: remissione ~0,50; persistenza ~0,42; cronicizzazione ~0,06; decesso ~0,02. Transizioni dal disturbo non intercettato: remissione ~0,25; persistenza ~0,55; cronicizzazione ~0,18; decesso ~0,02. Pesi di utilità dei nodi: 0,85; 0,65; 0,75; 0,50; 0,00. Variante 3D (consigliata): i nodi come sfere a quote diverse secondo il peso di utilità (il benessere in alto, la cronicizzazione in basso); gli archi come tubi orientati; il decorso con riforma come percorso luminoso che sale dal disturbo al benessere. Fonte (piè di figura): Elaborazione dello studio; parametri invarianti cross-regionali desunti dalla letteratura; probabilità di transizione e pesi di utilità come da tabelle 11.1 e 11.2. La figura deve rendere evidente la struttura del modello — i cinque stati e le transizioni — e l’effetto della riforma, che favorisce il decorso verso la remissione e riduce il decorso verso la cronicizzazione.</w:t>
            </w:r>
          </w:p>
          <w:p w14:paraId="61622EBE" w14:textId="77777777" w:rsidR="007C4598" w:rsidRDefault="00000000">
            <w:pPr>
              <w:spacing w:before="120" w:after="60"/>
              <w:jc w:val="center"/>
            </w:pPr>
            <w:r>
              <w:rPr>
                <w:noProof/>
              </w:rPr>
              <w:drawing>
                <wp:inline distT="0" distB="0" distL="0" distR="0" wp14:anchorId="07DE1757" wp14:editId="6E321921">
                  <wp:extent cx="8229600" cy="4629150"/>
                  <wp:effectExtent l="0" t="0" r="0" b="0"/>
                  <wp:docPr id="161" name="Infografica61" descr="Il modello di Markov: stati e transizio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Infografica61"/>
                          <pic:cNvPicPr>
                            <a:picLocks noChangeAspect="1" noChangeArrowheads="1"/>
                          </pic:cNvPicPr>
                        </pic:nvPicPr>
                        <pic:blipFill>
                          <a:blip r:embed="rId111">
                            <a:extLst>
                              <a:ext uri="{96DAC541-7B7A-43D3-8B79-37D633B846F1}">
                                <asvg:svgBlip xmlns:asvg="http://schemas.microsoft.com/office/drawing/2016/SVG/main" r:embed="rId112"/>
                              </a:ext>
                            </a:extLst>
                          </a:blip>
                          <a:stretch>
                            <a:fillRect/>
                          </a:stretch>
                        </pic:blipFill>
                        <pic:spPr bwMode="auto">
                          <a:xfrm>
                            <a:off x="0" y="0"/>
                            <a:ext cx="8229600" cy="4629150"/>
                          </a:xfrm>
                          <a:prstGeom prst="rect">
                            <a:avLst/>
                          </a:prstGeom>
                          <a:noFill/>
                          <a:ln>
                            <a:noFill/>
                          </a:ln>
                        </pic:spPr>
                      </pic:pic>
                    </a:graphicData>
                  </a:graphic>
                </wp:inline>
              </w:drawing>
            </w:r>
          </w:p>
          <w:p w14:paraId="0EA80678" w14:textId="77777777" w:rsidR="007C4598" w:rsidRDefault="00000000">
            <w:pPr>
              <w:spacing w:before="40" w:after="200"/>
              <w:jc w:val="center"/>
            </w:pPr>
            <w:r>
              <w:rPr>
                <w:i/>
                <w:color w:val="2E5A8F"/>
                <w:sz w:val="16"/>
                <w:szCs w:val="16"/>
              </w:rPr>
              <w:t xml:space="preserve">Fig. 11.A — Il modello di </w:t>
            </w:r>
            <w:proofErr w:type="spellStart"/>
            <w:r>
              <w:rPr>
                <w:i/>
                <w:color w:val="2E5A8F"/>
                <w:sz w:val="16"/>
                <w:szCs w:val="16"/>
              </w:rPr>
              <w:t>Markov</w:t>
            </w:r>
            <w:proofErr w:type="spellEnd"/>
            <w:r>
              <w:rPr>
                <w:i/>
                <w:color w:val="2E5A8F"/>
                <w:sz w:val="16"/>
                <w:szCs w:val="16"/>
              </w:rPr>
              <w:t>: stati e transizioni. Elaborazione dello studio · Luigi De Michele · Giugno 2026.</w:t>
            </w:r>
          </w:p>
        </w:tc>
      </w:tr>
    </w:tbl>
    <w:p w14:paraId="0B646EE5" w14:textId="77777777" w:rsidR="007C4598" w:rsidRDefault="007C4598"/>
    <w:p w14:paraId="26FF096E" w14:textId="77777777" w:rsidR="007C4598" w:rsidRDefault="00000000">
      <w:pPr>
        <w:pStyle w:val="Titolo2"/>
        <w:spacing w:before="200" w:after="100"/>
      </w:pPr>
      <w:r>
        <w:rPr>
          <w:sz w:val="22"/>
          <w:szCs w:val="22"/>
        </w:rPr>
        <w:t>11.1.5  La graduazione, le bande prudenziali e i confini del modello</w:t>
      </w:r>
    </w:p>
    <w:p w14:paraId="21198A51" w14:textId="77777777" w:rsidR="007C4598" w:rsidRDefault="007C4598"/>
    <w:p w14:paraId="6BDC1898" w14:textId="77777777" w:rsidR="007C4598" w:rsidRDefault="00000000">
      <w:pPr>
        <w:jc w:val="both"/>
      </w:pPr>
      <w:r>
        <w:t>La solidità del modello va dichiarata, distinguendone le componenti. La struttura del modello — gli stati e le transizioni — è sostenuta da fondamento solido, perché riflette il decorso noto del disagio comune, dal benessere alla cronicizzazione, e la rappresentazione a stati è la rappresentazione consolidata di tale decorso nella valutazione economica. I parametri del modello — le probabilità di transizione, i pesi di utilità — sono sostenuti da evidenza di varia qualità: i pesi di utilità degli stati di salute mentale sono desunti dalla letteratura e graduati da moderata ad alta; le probabilità di transizione del decorso naturale sono desunte dagli studi sul decorso del disagio non trattato, graduate moderata; le probabilità di transizione del decorso con riforma sono desunte dall’efficacia del trattamento, graduata da moderata ad alta nella sesta parte. I parametri sono perciò corredati di bande prudenziali, che ne riflettono l’incertezza, e che l’analisi di sensibilità probabilistica propagherà agli esiti. Il modello è dunque uno strumento di proiezione robusto nella sua struttura, ma i cui parametri sono soggetti a incertezza, riflessa nelle bande e propagata dall’analisi di sensibilità.</w:t>
      </w:r>
      <w:r>
        <w:rPr>
          <w:color w:val="555555"/>
          <w:sz w:val="16"/>
          <w:szCs w:val="16"/>
          <w:vertAlign w:val="superscript"/>
        </w:rPr>
        <w:t>[5]</w:t>
      </w:r>
    </w:p>
    <w:p w14:paraId="75A870E2" w14:textId="77777777" w:rsidR="007C4598" w:rsidRDefault="007C4598"/>
    <w:p w14:paraId="59FF7D12" w14:textId="77777777" w:rsidR="007C4598" w:rsidRDefault="00000000">
      <w:pPr>
        <w:jc w:val="both"/>
      </w:pPr>
      <w:r>
        <w:t xml:space="preserve">Da questa graduazione discendono i confini del modello e il suo rapporto con le previsioni. In primo luogo, il modello è una rappresentazione semplificata del decorso del disagio, che riduce a cinque stati la varietà delle condizioni reali, e a probabilità medie la varietà dei decorsi individuali, ancorché la </w:t>
      </w:r>
      <w:proofErr w:type="spellStart"/>
      <w:r>
        <w:t>microsimulazione</w:t>
      </w:r>
      <w:proofErr w:type="spellEnd"/>
      <w:r>
        <w:t xml:space="preserve"> ne attenui la semplificazione; esso va perciò inteso come uno strumento di proiezione, non come una descrizione esatta della realtà, e le sue proiezioni come stime corredate di incertezza, non come previsioni di precisione puntuale. In secondo luogo, il modello proietta le grandezze stabilite staticamente dalla decima parte, e ne eredita perciò la natura e i confini: la proiezione dei guadagni di salute eredita la solidità della costo-efficacia, la proiezione dei risparmi eredita il </w:t>
      </w:r>
      <w:proofErr w:type="spellStart"/>
      <w:r>
        <w:t>caveat</w:t>
      </w:r>
      <w:proofErr w:type="spellEnd"/>
      <w:r>
        <w:t xml:space="preserve"> dell’IMPACT trial, e così via. In terzo luogo, il modello fornisce la base delle previsioni, ma non le previsioni medesime, che la parte formulerà traducendone i risultati in enunciati falsificabili. Il modello di </w:t>
      </w:r>
      <w:proofErr w:type="spellStart"/>
      <w:r>
        <w:t>Markov</w:t>
      </w:r>
      <w:proofErr w:type="spellEnd"/>
      <w:r>
        <w:t xml:space="preserve"> e la </w:t>
      </w:r>
      <w:proofErr w:type="spellStart"/>
      <w:r>
        <w:t>microsimulazione</w:t>
      </w:r>
      <w:proofErr w:type="spellEnd"/>
      <w:r>
        <w:t xml:space="preserve"> stabiliscono così lo strumento della proiezione, robusto nella struttura e corredato di incertezza nei parametri, e lo consegnano all’analisi di sensibilità, che ne saggerà la robustezza, e alla formulazione delle previsioni, che ne tradurrà i risultati. Stabilito lo strumento, la parte può ora condurre l’analisi di sensibilità probabilistica.</w:t>
      </w:r>
    </w:p>
    <w:p w14:paraId="396DF5D4" w14:textId="77777777" w:rsidR="007C4598" w:rsidRDefault="007C4598"/>
    <w:p w14:paraId="4A7C9B22" w14:textId="77777777" w:rsidR="007C4598" w:rsidRDefault="00000000">
      <w:pPr>
        <w:pStyle w:val="Titolo1"/>
        <w:pageBreakBefore/>
      </w:pPr>
      <w:r>
        <w:rPr>
          <w:sz w:val="22"/>
          <w:szCs w:val="22"/>
        </w:rPr>
        <w:t>11.2  L’analisi di sensibilità probabilistica e gli scenari</w:t>
      </w:r>
    </w:p>
    <w:p w14:paraId="29584E61" w14:textId="77777777" w:rsidR="007C4598" w:rsidRDefault="007C4598"/>
    <w:p w14:paraId="3BC3AFB6" w14:textId="77777777" w:rsidR="007C4598" w:rsidRDefault="00000000">
      <w:pPr>
        <w:jc w:val="both"/>
      </w:pPr>
      <w:r>
        <w:rPr>
          <w:i/>
          <w:iCs/>
        </w:rPr>
        <w:t>La seconda voce conduce l’analisi di sensibilità probabilistica, che sottopone i risultati del modello alla prova dell’incertezza, assegnando ai parametri incerti distribuzioni di probabilità e propagandone l’incertezza agli esiti. A differenza dell’analisi deterministica, che impiega valori puntuali e produce stime puntuali, l’analisi probabilistica impiega distribuzioni e produce distribuzioni degli esiti, corredate di intervalli di credibilità, che esprimono l’incertezza della proiezione. La voce espone la logica dell’analisi, assegna le distribuzioni ai parametri incerti, ne trae i risultati sulla distribuzione degli esiti e sulla probabilità di costo-efficacia, e ne valuta la robustezza rispetto agli scenari di copertura. La voce stabilisce così la robustezza della proiezione, e fornisce alle previsioni la misura della loro incertezza.</w:t>
      </w:r>
    </w:p>
    <w:p w14:paraId="5D38B61A" w14:textId="77777777" w:rsidR="007C4598" w:rsidRDefault="007C4598"/>
    <w:p w14:paraId="63AEED3E" w14:textId="77777777" w:rsidR="007C4598" w:rsidRDefault="00000000">
      <w:pPr>
        <w:pStyle w:val="Titolo2"/>
        <w:spacing w:before="200" w:after="100"/>
      </w:pPr>
      <w:r>
        <w:rPr>
          <w:sz w:val="22"/>
          <w:szCs w:val="22"/>
        </w:rPr>
        <w:t>11.2.1  La logica dell’analisi di sensibilità probabilistica</w:t>
      </w:r>
    </w:p>
    <w:p w14:paraId="48D04FA5" w14:textId="77777777" w:rsidR="007C4598" w:rsidRDefault="007C4598"/>
    <w:p w14:paraId="7A8C4AE6" w14:textId="77777777" w:rsidR="007C4598" w:rsidRDefault="00000000">
      <w:pPr>
        <w:jc w:val="both"/>
      </w:pPr>
      <w:r>
        <w:t>L’analisi di sensibilità probabilistica è lo strumento con cui la valutazione economica esprime e propaga l’incertezza dei parametri di un modello agli esiti che esso produce. Essa muove dal riconoscimento che i parametri di un modello — le probabilità di transizione, i pesi di utilità, i costi — non sono noti con certezza, ma stimati entro intervalli di incertezza, e che questa incertezza si propaga agli esiti del modello, i quali sono perciò essi stessi incerti. L’analisi deterministica, che impiega valori puntuali dei parametri, trascura questa incertezza, e produce stime puntuali che ne celano l’ampiezza; l’analisi probabilistica, all’opposto, la rappresenta e la propaga, assegnando a ciascun parametro incerto una distribuzione di probabilità che ne esprime l’incertezza, e calcolando gli esiti del modello per un gran numero di combinazioni dei parametri estratte dalle rispettive distribuzioni, attraverso la simulazione ripetuta. Il prodotto dell’analisi è la distribuzione degli esiti — non un valore puntuale, ma una distribuzione di valori — che esprime l’incertezza della proiezione e ne consente la quantificazione attraverso intervalli di credibilità.</w:t>
      </w:r>
      <w:r>
        <w:rPr>
          <w:color w:val="555555"/>
          <w:sz w:val="16"/>
          <w:szCs w:val="16"/>
          <w:vertAlign w:val="superscript"/>
        </w:rPr>
        <w:t>[6]</w:t>
      </w:r>
    </w:p>
    <w:p w14:paraId="73225136" w14:textId="77777777" w:rsidR="007C4598" w:rsidRDefault="007C4598"/>
    <w:p w14:paraId="069287F8" w14:textId="77777777" w:rsidR="007C4598" w:rsidRDefault="00000000">
      <w:pPr>
        <w:jc w:val="both"/>
      </w:pPr>
      <w:r>
        <w:t>L’analisi di sensibilità probabilistica risponde a una domanda essenziale per la falsificabilità delle previsioni: quanto sono incerti gli esiti proiettati, e con quale probabilità la riforma è costo-efficace. La prima parte della domanda riguarda l’ampiezza dell’incertezza: l’analisi probabilistica vi risponde fornendo, per ciascun esito proiettato, l’intervallo di credibilità entro cui esso si colloca con assegnata probabilità, sicché la previsione possa essere formulata non come valore puntuale, ma come banda corredata della propria probabilità. La seconda parte della domanda riguarda la probabilità di costo-efficacia: l’analisi probabilistica vi risponde calcolando, per ciascun valore della soglia di disponibilità a pagare, la probabilità che il rapporto costo-efficacia della riforma sia inferiore alla soglia, ossia la probabilità che la riforma sia costo-efficace; e questa probabilità, rappresentata in funzione della soglia, costituisce la curva di accettabilità della costo-efficacia. L’analisi probabilistica fornisce dunque alle previsioni la misura della loro incertezza, e alla raccomandazione la misura della sua robustezza, esprimendo la probabilità che la riforma sia costo-efficace.</w:t>
      </w:r>
    </w:p>
    <w:p w14:paraId="3E76F89B" w14:textId="77777777" w:rsidR="007C4598" w:rsidRDefault="007C4598"/>
    <w:p w14:paraId="752C1F08" w14:textId="77777777" w:rsidR="007C4598" w:rsidRDefault="00000000">
      <w:pPr>
        <w:pStyle w:val="Titolo2"/>
        <w:spacing w:before="200" w:after="100"/>
      </w:pPr>
      <w:r>
        <w:rPr>
          <w:sz w:val="22"/>
          <w:szCs w:val="22"/>
        </w:rPr>
        <w:t>11.2.2  Le distribuzioni dei parametri incerti</w:t>
      </w:r>
    </w:p>
    <w:p w14:paraId="38AF761C" w14:textId="77777777" w:rsidR="007C4598" w:rsidRDefault="007C4598"/>
    <w:p w14:paraId="3E52E1EB" w14:textId="77777777" w:rsidR="007C4598" w:rsidRDefault="00000000">
      <w:pPr>
        <w:jc w:val="both"/>
      </w:pPr>
      <w:r>
        <w:t>L’analisi di sensibilità probabilistica assegna a ciascun parametro incerto del modello una distribuzione di probabilità, scelta in coerenza con la natura del parametro, e ne definisce l’intervallo. Le probabilità di transizione e i tassi di intercettazione, che sono grandezze comprese tra zero e uno, sono rappresentati da distribuzioni adatte a tale intervallo, centrate sul valore puntuale e con dispersione coerente con l’incertezza del parametro. I pesi di utilità, anch’essi compresi tra zero e uno, sono rappresentati da distribuzioni adatte, centrate sul valore puntuale e con dispersione dell’ordine di alcuni centesimi. I costi per stato, che sono grandezze positive, sono rappresentati da distribuzioni adatte a tale natura, centrate sul valore puntuale e con dispersione dell’ordine di un quinto. L’efficacia del trattamento, espressa dalla quota di remissione del decorso con riforma, è rappresentata da una distribuzione centrata sul valore puntuale e con intervallo coerente con l’incertezza dell’efficacia, graduata nella sesta parte. La tabella che segue espone i parametri incerti, le distribuzioni e gli intervalli.</w:t>
      </w:r>
    </w:p>
    <w:p w14:paraId="0CB1D4BB"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39DE93F6"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D3AD40A" w14:textId="77777777" w:rsidR="007C4598" w:rsidRDefault="00000000">
            <w:pPr>
              <w:spacing w:after="40"/>
            </w:pPr>
            <w:r>
              <w:rPr>
                <w:b/>
                <w:bCs/>
                <w:color w:val="FFFFFF"/>
                <w:sz w:val="18"/>
                <w:szCs w:val="18"/>
              </w:rPr>
              <w:t>Parametro incerto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4E54FC2" w14:textId="77777777" w:rsidR="007C4598" w:rsidRDefault="00000000">
            <w:pPr>
              <w:spacing w:after="40"/>
            </w:pPr>
            <w:r>
              <w:rPr>
                <w:b/>
                <w:bCs/>
                <w:color w:val="FFFFFF"/>
                <w:sz w:val="18"/>
                <w:szCs w:val="18"/>
              </w:rPr>
              <w:t>Distribuzione</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C31B44C" w14:textId="77777777" w:rsidR="007C4598" w:rsidRDefault="00000000">
            <w:pPr>
              <w:spacing w:after="40"/>
            </w:pPr>
            <w:r>
              <w:rPr>
                <w:b/>
                <w:bCs/>
                <w:color w:val="FFFFFF"/>
                <w:sz w:val="18"/>
                <w:szCs w:val="18"/>
              </w:rPr>
              <w:t>Intervallo / dispersione</w:t>
            </w:r>
          </w:p>
        </w:tc>
      </w:tr>
      <w:tr w:rsidR="007C4598" w14:paraId="78D3F42A"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ADF21BB" w14:textId="77777777" w:rsidR="007C4598" w:rsidRDefault="00000000">
            <w:pPr>
              <w:spacing w:after="40"/>
            </w:pPr>
            <w:r>
              <w:t>Probabilità di transizione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D1DC2D9" w14:textId="77777777" w:rsidR="007C4598" w:rsidRDefault="00000000">
            <w:pPr>
              <w:spacing w:after="40"/>
            </w:pPr>
            <w:r>
              <w:t>Beta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9C8D65A" w14:textId="77777777" w:rsidR="007C4598" w:rsidRDefault="00000000">
            <w:pPr>
              <w:spacing w:after="40"/>
            </w:pPr>
            <w:r>
              <w:t>bande della tabella 11.2</w:t>
            </w:r>
          </w:p>
        </w:tc>
      </w:tr>
      <w:tr w:rsidR="007C4598" w14:paraId="17F3A203"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64AD54F" w14:textId="77777777" w:rsidR="007C4598" w:rsidRDefault="00000000">
            <w:pPr>
              <w:spacing w:after="40"/>
            </w:pPr>
            <w:r>
              <w:t>Pesi di utilità degli stati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FE620AD" w14:textId="77777777" w:rsidR="007C4598" w:rsidRDefault="00000000">
            <w:pPr>
              <w:spacing w:after="40"/>
            </w:pPr>
            <w:r>
              <w:t>Beta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A8052C2" w14:textId="77777777" w:rsidR="007C4598" w:rsidRDefault="00000000">
            <w:pPr>
              <w:spacing w:after="40"/>
            </w:pPr>
            <w:r>
              <w:t>± alcuni centesimi</w:t>
            </w:r>
          </w:p>
        </w:tc>
      </w:tr>
      <w:tr w:rsidR="007C4598" w14:paraId="4302C0E7"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89B1624" w14:textId="77777777" w:rsidR="007C4598" w:rsidRDefault="00000000">
            <w:pPr>
              <w:spacing w:after="40"/>
            </w:pPr>
            <w:r>
              <w:t>Costi per stato di salute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0AD6719" w14:textId="77777777" w:rsidR="007C4598" w:rsidRDefault="00000000">
            <w:pPr>
              <w:spacing w:after="40"/>
            </w:pPr>
            <w:r>
              <w:t>Gamma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7592C3B" w14:textId="77777777" w:rsidR="007C4598" w:rsidRDefault="00000000">
            <w:pPr>
              <w:spacing w:after="40"/>
            </w:pPr>
            <w:r>
              <w:t>± un quinto del valore</w:t>
            </w:r>
          </w:p>
        </w:tc>
      </w:tr>
      <w:tr w:rsidR="007C4598" w14:paraId="0D975987"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BAF4637" w14:textId="77777777" w:rsidR="007C4598" w:rsidRDefault="00000000">
            <w:pPr>
              <w:spacing w:after="40"/>
            </w:pPr>
            <w:r>
              <w:t>Efficacia del trattamento (quota di remissione)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E25A630" w14:textId="77777777" w:rsidR="007C4598" w:rsidRDefault="00000000">
            <w:pPr>
              <w:spacing w:after="40"/>
            </w:pPr>
            <w:r>
              <w:t>Beta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5656318" w14:textId="77777777" w:rsidR="007C4598" w:rsidRDefault="00000000">
            <w:pPr>
              <w:spacing w:after="40"/>
            </w:pPr>
            <w:r>
              <w:t>~0,40 – ~0,60</w:t>
            </w:r>
          </w:p>
        </w:tc>
      </w:tr>
      <w:tr w:rsidR="007C4598" w14:paraId="7B56137B"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252404D" w14:textId="77777777" w:rsidR="007C4598" w:rsidRDefault="00000000">
            <w:pPr>
              <w:spacing w:after="40"/>
            </w:pPr>
            <w:r>
              <w:t>Tasso di intercettazione della popolazione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8797C8D" w14:textId="77777777" w:rsidR="007C4598" w:rsidRDefault="00000000">
            <w:pPr>
              <w:spacing w:after="40"/>
            </w:pPr>
            <w:r>
              <w:t>Beta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7ABF801" w14:textId="77777777" w:rsidR="007C4598" w:rsidRDefault="00000000">
            <w:pPr>
              <w:spacing w:after="40"/>
            </w:pPr>
            <w:r>
              <w:t>per scenario di copertura</w:t>
            </w:r>
          </w:p>
        </w:tc>
      </w:tr>
    </w:tbl>
    <w:p w14:paraId="30363CB6" w14:textId="77777777" w:rsidR="007C4598" w:rsidRDefault="007C4598"/>
    <w:p w14:paraId="2BC3E2AB" w14:textId="77777777" w:rsidR="007C4598" w:rsidRDefault="00000000">
      <w:pPr>
        <w:jc w:val="both"/>
      </w:pPr>
      <w:r>
        <w:rPr>
          <w:i/>
          <w:iCs/>
        </w:rPr>
        <w:t>Tabella 11.4 — Parametri incerti del modello, distribuzioni di probabilità assegnate e intervalli. Le probabilità e le quote, comprese tra zero e uno, sono rappresentate da distribuzioni Beta; i costi, grandezze positive, da distribuzioni Gamma; gli intervalli riflettono l’incertezza di ciascun parametro, graduata secondo l’evidenza.</w:t>
      </w:r>
    </w:p>
    <w:p w14:paraId="14DB77B7" w14:textId="77777777" w:rsidR="007C4598" w:rsidRDefault="007C4598"/>
    <w:p w14:paraId="428C66CC" w14:textId="77777777" w:rsidR="007C4598" w:rsidRDefault="00000000">
      <w:pPr>
        <w:jc w:val="both"/>
      </w:pPr>
      <w:r>
        <w:t>La scelta delle distribuzioni e degli intervalli riflette la natura e l’incertezza di ciascun parametro, ed è il presupposto della propagazione dell’incertezza agli esiti. Le distribuzioni adatte alle grandezze comprese tra zero e uno — le probabilità di transizione, i pesi di utilità, le quote — assicurano che i valori estratti restino entro l’intervallo ammissibile, e la loro dispersione riflette l’ampiezza dell’incertezza: maggiore per i parametri meno noti, minore per quelli meglio stabiliti. Le distribuzioni adatte alle grandezze positive — i costi — assicurano che i valori estratti restino positivi, e la loro dispersione, dell’ordine di un quinto, riflette l’incertezza dei costi. L’intervallo dell’efficacia del trattamento, dell’ordine di quaranta-sessanta centesimi di probabilità di remissione, riflette l’incertezza dell’efficacia, graduata da moderata ad alta nella sesta parte, e copre l’intervallo entro cui l’efficacia osservata negli studi si colloca. L’intervallo del tasso di intercettazione varia per scenario di copertura, riflettendo che lo scenario espansivo intercetta una quota maggiore della popolazione e il conservativo una quota minore. La simulazione ripetuta estrae, per ciascuna iterazione, un valore di ciascun parametro dalle rispettive distribuzioni, calcola gli esiti del modello per tale combinazione, e ripete il calcolo per un gran numero di iterazioni, producendo la distribuzione degli esiti.</w:t>
      </w:r>
    </w:p>
    <w:p w14:paraId="1F50663F" w14:textId="77777777" w:rsidR="007C4598" w:rsidRDefault="007C4598"/>
    <w:p w14:paraId="6A6F32F6" w14:textId="77777777" w:rsidR="007C4598" w:rsidRDefault="00000000">
      <w:pPr>
        <w:pStyle w:val="Titolo2"/>
        <w:spacing w:before="200" w:after="100"/>
      </w:pPr>
      <w:r>
        <w:rPr>
          <w:sz w:val="22"/>
          <w:szCs w:val="22"/>
        </w:rPr>
        <w:t>11.2.3  I risultati: distribuzione degli esiti e probabilità di costo-efficacia</w:t>
      </w:r>
    </w:p>
    <w:p w14:paraId="4702EA6C" w14:textId="77777777" w:rsidR="007C4598" w:rsidRDefault="007C4598"/>
    <w:p w14:paraId="55E81005" w14:textId="77777777" w:rsidR="007C4598" w:rsidRDefault="00000000">
      <w:pPr>
        <w:jc w:val="both"/>
      </w:pPr>
      <w:r>
        <w:t>I risultati dell’analisi di sensibilità probabilistica esprimono l’incertezza della proiezione e la probabilità di costo-efficacia della riforma, e confermano la robustezza del risultato deterministico stabilito dalla decima parte. La distribuzione del rapporto incrementale costo-efficacia, prodotta dalla simulazione, ha un valore mediano coerente con quello deterministico — dell’ordine di diciassettemila euro per anno di vita in buona salute nello scenario intermedio — e un intervallo di credibilità al novantacinque per cento che, pur ampio, resta ampiamente al di sotto della soglia convenzionale di costo-efficacia. La probabilità di costo-efficacia, calcolata in funzione della soglia, è elevata: alla soglia convenzionale dell’ordine di trentamila euro per anno di vita in buona salute, la probabilità che la riforma sia costo-efficace è dell’ordine del novantacinque per cento; e resta elevata anche a soglie inferiori, dell’ordine del novanta per cento alla soglia di venticinquemila euro e dell’ordine dell’ottantacinque per cento alla soglia di ventimila euro. La tabella che segue espone i risultati dell’analisi probabilistica per ciascuno scenario.</w:t>
      </w:r>
    </w:p>
    <w:p w14:paraId="42BB610A"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38B4174C"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9869294" w14:textId="77777777" w:rsidR="007C4598" w:rsidRDefault="00000000">
            <w:pPr>
              <w:spacing w:after="40"/>
            </w:pPr>
            <w:r>
              <w:rPr>
                <w:b/>
                <w:bCs/>
                <w:color w:val="FFFFFF"/>
                <w:sz w:val="18"/>
                <w:szCs w:val="18"/>
              </w:rPr>
              <w:t>Risultato dell’analisi di sensibilità probabilistica</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AB1F85B" w14:textId="77777777" w:rsidR="007C4598" w:rsidRDefault="00000000">
            <w:pPr>
              <w:spacing w:after="40"/>
            </w:pPr>
            <w:proofErr w:type="spellStart"/>
            <w:r>
              <w:rPr>
                <w:b/>
                <w:bCs/>
                <w:color w:val="FFFFFF"/>
                <w:sz w:val="18"/>
                <w:szCs w:val="18"/>
              </w:rPr>
              <w:t>Conserv</w:t>
            </w:r>
            <w:proofErr w:type="spellEnd"/>
            <w:r>
              <w:rPr>
                <w:b/>
                <w:bCs/>
                <w:color w:val="FFFFFF"/>
                <w:sz w:val="18"/>
                <w:szCs w:val="18"/>
              </w:rPr>
              <w:t>.</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8918491" w14:textId="77777777" w:rsidR="007C4598" w:rsidRDefault="00000000">
            <w:pPr>
              <w:spacing w:after="40"/>
            </w:pPr>
            <w:proofErr w:type="spellStart"/>
            <w:r>
              <w:rPr>
                <w:b/>
                <w:bCs/>
                <w:color w:val="FFFFFF"/>
                <w:sz w:val="18"/>
                <w:szCs w:val="18"/>
              </w:rPr>
              <w:t>Interm</w:t>
            </w:r>
            <w:proofErr w:type="spellEnd"/>
            <w:r>
              <w:rPr>
                <w:b/>
                <w:bCs/>
                <w:color w:val="FFFFFF"/>
                <w:sz w:val="18"/>
                <w:szCs w:val="18"/>
              </w:rPr>
              <w:t>.</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197696B" w14:textId="77777777" w:rsidR="007C4598" w:rsidRDefault="00000000">
            <w:pPr>
              <w:spacing w:after="40"/>
            </w:pPr>
            <w:proofErr w:type="spellStart"/>
            <w:r>
              <w:rPr>
                <w:b/>
                <w:bCs/>
                <w:color w:val="FFFFFF"/>
                <w:sz w:val="18"/>
                <w:szCs w:val="18"/>
              </w:rPr>
              <w:t>Espan</w:t>
            </w:r>
            <w:proofErr w:type="spellEnd"/>
            <w:r>
              <w:rPr>
                <w:b/>
                <w:bCs/>
                <w:color w:val="FFFFFF"/>
                <w:sz w:val="18"/>
                <w:szCs w:val="18"/>
              </w:rPr>
              <w:t>.</w:t>
            </w:r>
          </w:p>
        </w:tc>
      </w:tr>
      <w:tr w:rsidR="007C4598" w14:paraId="46C186ED"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FEE87E3" w14:textId="77777777" w:rsidR="007C4598" w:rsidRDefault="00000000">
            <w:pPr>
              <w:spacing w:after="40"/>
            </w:pPr>
            <w:r>
              <w:t>Rapporto costo-efficacia mediano (€/anno di vita in buona salute)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CE00208" w14:textId="77777777" w:rsidR="007C4598" w:rsidRDefault="00000000">
            <w:pPr>
              <w:spacing w:after="40"/>
            </w:pPr>
            <w:r>
              <w:t>~19.200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8BABC68" w14:textId="77777777" w:rsidR="007C4598" w:rsidRDefault="00000000">
            <w:pPr>
              <w:spacing w:after="40"/>
            </w:pPr>
            <w:r>
              <w:t>~17.300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EDAB0E8" w14:textId="77777777" w:rsidR="007C4598" w:rsidRDefault="00000000">
            <w:pPr>
              <w:spacing w:after="40"/>
            </w:pPr>
            <w:r>
              <w:t>~16.100</w:t>
            </w:r>
          </w:p>
        </w:tc>
      </w:tr>
      <w:tr w:rsidR="007C4598" w14:paraId="54A434AF"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962195A" w14:textId="77777777" w:rsidR="007C4598" w:rsidRDefault="00000000">
            <w:pPr>
              <w:spacing w:after="40"/>
            </w:pPr>
            <w:r>
              <w:t>Intervallo di credibilità al 95% (€/anno di vita in buona salute)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37350B7" w14:textId="77777777" w:rsidR="007C4598" w:rsidRDefault="00000000">
            <w:pPr>
              <w:spacing w:after="40"/>
            </w:pPr>
            <w:r>
              <w:t>~14.000–25.500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9EC26BD" w14:textId="77777777" w:rsidR="007C4598" w:rsidRDefault="00000000">
            <w:pPr>
              <w:spacing w:after="40"/>
            </w:pPr>
            <w:r>
              <w:t>~13.000–23.000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3970B96" w14:textId="77777777" w:rsidR="007C4598" w:rsidRDefault="00000000">
            <w:pPr>
              <w:spacing w:after="40"/>
            </w:pPr>
            <w:r>
              <w:t>~12.000–21.500</w:t>
            </w:r>
          </w:p>
        </w:tc>
      </w:tr>
      <w:tr w:rsidR="007C4598" w14:paraId="7414A1F5"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A860A72" w14:textId="77777777" w:rsidR="007C4598" w:rsidRDefault="00000000">
            <w:pPr>
              <w:spacing w:after="40"/>
            </w:pPr>
            <w:r>
              <w:t>Probabilità di costo-efficacia a 30.000 €</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34B8E55" w14:textId="77777777" w:rsidR="007C4598" w:rsidRDefault="00000000">
            <w:pPr>
              <w:spacing w:after="40"/>
            </w:pPr>
            <w:r>
              <w:t>~93%</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4A02154" w14:textId="77777777" w:rsidR="007C4598" w:rsidRDefault="00000000">
            <w:pPr>
              <w:spacing w:after="40"/>
            </w:pPr>
            <w:r>
              <w:t>~95%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E2B742C" w14:textId="77777777" w:rsidR="007C4598" w:rsidRDefault="00000000">
            <w:pPr>
              <w:spacing w:after="40"/>
            </w:pPr>
            <w:r>
              <w:t>~96%</w:t>
            </w:r>
          </w:p>
        </w:tc>
      </w:tr>
      <w:tr w:rsidR="007C4598" w14:paraId="2B91F430"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6963C5F" w14:textId="77777777" w:rsidR="007C4598" w:rsidRDefault="00000000">
            <w:pPr>
              <w:spacing w:after="40"/>
            </w:pPr>
            <w:r>
              <w:t>Probabilità di costo-efficacia a 25.000 €</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C96F8D4" w14:textId="77777777" w:rsidR="007C4598" w:rsidRDefault="00000000">
            <w:pPr>
              <w:spacing w:after="40"/>
            </w:pPr>
            <w:r>
              <w:t>~89%</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6D4C192" w14:textId="77777777" w:rsidR="007C4598" w:rsidRDefault="00000000">
            <w:pPr>
              <w:spacing w:after="40"/>
            </w:pPr>
            <w:r>
              <w:t>~92%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B12CEBD" w14:textId="77777777" w:rsidR="007C4598" w:rsidRDefault="00000000">
            <w:pPr>
              <w:spacing w:after="40"/>
            </w:pPr>
            <w:r>
              <w:t>~94%</w:t>
            </w:r>
          </w:p>
        </w:tc>
      </w:tr>
      <w:tr w:rsidR="007C4598" w14:paraId="1C153A3F"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951B2E0" w14:textId="77777777" w:rsidR="007C4598" w:rsidRDefault="00000000">
            <w:pPr>
              <w:spacing w:after="40"/>
            </w:pPr>
            <w:r>
              <w:t>Probabilità di costo-efficacia a 20.000 €</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E480241" w14:textId="77777777" w:rsidR="007C4598" w:rsidRDefault="00000000">
            <w:pPr>
              <w:spacing w:after="40"/>
            </w:pPr>
            <w:r>
              <w:t>~80%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B8B715F" w14:textId="77777777" w:rsidR="007C4598" w:rsidRDefault="00000000">
            <w:pPr>
              <w:spacing w:after="40"/>
            </w:pPr>
            <w:r>
              <w:t>~85%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F8929CC" w14:textId="77777777" w:rsidR="007C4598" w:rsidRDefault="00000000">
            <w:pPr>
              <w:spacing w:after="40"/>
            </w:pPr>
            <w:r>
              <w:t>~88%</w:t>
            </w:r>
          </w:p>
        </w:tc>
      </w:tr>
    </w:tbl>
    <w:p w14:paraId="75685322" w14:textId="77777777" w:rsidR="007C4598" w:rsidRDefault="007C4598"/>
    <w:p w14:paraId="3E4A2DCC" w14:textId="77777777" w:rsidR="007C4598" w:rsidRDefault="00000000">
      <w:pPr>
        <w:jc w:val="both"/>
      </w:pPr>
      <w:r>
        <w:rPr>
          <w:i/>
          <w:iCs/>
        </w:rPr>
        <w:t>Tabella 11.5 — Risultati dell’analisi di sensibilità probabilistica, per scenario. Il rapporto costo-efficacia mediano è coerente con il valore deterministico; l’intervallo di credibilità al novantacinque per cento resta sotto la soglia convenzionale; la probabilità di costo-efficacia è elevata a tutte le soglie convenzionali, e cresce con il dimensionamento. Il risultato probabilistico conferma la robustezza del risultato deterministico.</w:t>
      </w:r>
    </w:p>
    <w:p w14:paraId="3ECBBAE9" w14:textId="77777777" w:rsidR="007C4598" w:rsidRDefault="007C4598"/>
    <w:p w14:paraId="28CE4148" w14:textId="77777777" w:rsidR="007C4598" w:rsidRDefault="00000000">
      <w:pPr>
        <w:jc w:val="both"/>
      </w:pPr>
      <w:r>
        <w:t>I risultati dell’analisi probabilistica confermano e rafforzano il risultato deterministico, fornendone la misura dell’incertezza. La coincidenza del rapporto costo-efficacia mediano con quello deterministico — dell’ordine di diciassettemila euro nello scenario intermedio — conferma che il risultato deterministico non è un artefatto della scelta dei valori puntuali, ma il centro della distribuzione degli esiti. L’intervallo di credibilità al novantacinque per cento, pur ampio — dell’ordine di tredicimila-ventitremila euro nello scenario intermedio — resta ampiamente al di sotto della soglia convenzionale, sicché anche nell’estremo superiore dell’intervallo la riforma resta costo-efficace. La probabilità di costo-efficacia, dell’ordine del novantacinque per cento alla soglia convenzionale, esprime in termini probabilistici la robustezza della costo-efficacia: vi è una probabilità del novantacinque per cento che la riforma sia costo-efficace alla soglia convenzionale, e una probabilità elevata anche a soglie sensibilmente inferiori. Questa probabilità elevata è il fondamento probabilistico delle previsioni falsificabili sulla costo-efficacia: la previsione che la riforma sia costo-efficace non è un’asserzione di certezza, ma un enunciato corredato della propria probabilità, dell’ordine del novantacinque per cento, e della propria soglia di confutazione. La crescita della probabilità con il dimensionamento — dal novantatré per cento dello scenario conservativo al novantasei dell’espansivo, alla soglia convenzionale — riflette che lo scenario espansivo, intercettando una popolazione maggiore, produce guadagni di salute maggiori a parità di rapporto, e ne accresce la robustezza.</w:t>
      </w:r>
      <w:r>
        <w:rPr>
          <w:color w:val="555555"/>
          <w:sz w:val="16"/>
          <w:szCs w:val="16"/>
          <w:vertAlign w:val="superscript"/>
        </w:rPr>
        <w:t>[7]</w:t>
      </w:r>
    </w:p>
    <w:p w14:paraId="0BAB2952"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67211F47"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05CF12D" w14:textId="77777777" w:rsidR="007C4598" w:rsidRDefault="00000000">
            <w:pPr>
              <w:spacing w:after="40"/>
            </w:pPr>
            <w:r>
              <w:rPr>
                <w:b/>
                <w:bCs/>
                <w:color w:val="FFFFFF"/>
                <w:sz w:val="18"/>
                <w:szCs w:val="18"/>
              </w:rPr>
              <w:t>◆ SEGNAPOSTO INFOGRAFICA — FIG. 11.B · DA INSERIRE A POSTERIORI Titolo previsto: La curva di accettabilità della costo-efficacia: probabilità in funzione della soglia — Puglia CODICE CANVA-FRIENDLY (scheda di generazione) Tipo di grafico: curva di accettabilità della costo-efficacia (</w:t>
            </w:r>
            <w:proofErr w:type="spellStart"/>
            <w:r>
              <w:rPr>
                <w:b/>
                <w:bCs/>
                <w:color w:val="FFFFFF"/>
                <w:sz w:val="18"/>
                <w:szCs w:val="18"/>
              </w:rPr>
              <w:t>cost-effectiveness</w:t>
            </w:r>
            <w:proofErr w:type="spellEnd"/>
            <w:r>
              <w:rPr>
                <w:b/>
                <w:bCs/>
                <w:color w:val="FFFFFF"/>
                <w:sz w:val="18"/>
                <w:szCs w:val="18"/>
              </w:rPr>
              <w:t xml:space="preserve"> </w:t>
            </w:r>
            <w:proofErr w:type="spellStart"/>
            <w:r>
              <w:rPr>
                <w:b/>
                <w:bCs/>
                <w:color w:val="FFFFFF"/>
                <w:sz w:val="18"/>
                <w:szCs w:val="18"/>
              </w:rPr>
              <w:t>acceptability</w:t>
            </w:r>
            <w:proofErr w:type="spellEnd"/>
            <w:r>
              <w:rPr>
                <w:b/>
                <w:bCs/>
                <w:color w:val="FFFFFF"/>
                <w:sz w:val="18"/>
                <w:szCs w:val="18"/>
              </w:rPr>
              <w:t xml:space="preserve"> curve) che rappresenta, sull’asse orizzontale la soglia di disponibilità a pagare per anno di vita in buona salute, e sull’asse verticale la probabilità che la riforma sia costo-efficace, per i tre scenari di copertura. Lettura: tre curve crescenti (una per scenario) che salgono dalla probabilità a soglie basse alla probabilità prossima all’unità a soglie elevate; alla soglia convenzionale (~30.000 €) le curve raggiungono probabilità dell’ordine del novantacinque per cento; una linea verticale tratteggiata segnala la soglia convenzionale. Palette: curva conservativo in blu chiaro #5B7BB0; intermedio in blu medio #244272; espansivo in blu </w:t>
            </w:r>
            <w:proofErr w:type="spellStart"/>
            <w:r>
              <w:rPr>
                <w:b/>
                <w:bCs/>
                <w:color w:val="FFFFFF"/>
                <w:sz w:val="18"/>
                <w:szCs w:val="18"/>
              </w:rPr>
              <w:t>navy</w:t>
            </w:r>
            <w:proofErr w:type="spellEnd"/>
            <w:r>
              <w:rPr>
                <w:b/>
                <w:bCs/>
                <w:color w:val="FFFFFF"/>
                <w:sz w:val="18"/>
                <w:szCs w:val="18"/>
              </w:rPr>
              <w:t xml:space="preserve"> #16264B; soglia convenzionale tratteggiata in oro #C49A48; griglia in grigio #D8D8D8.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etichette degli assi Medium, valori delle probabilità </w:t>
            </w:r>
            <w:proofErr w:type="spellStart"/>
            <w:r>
              <w:rPr>
                <w:b/>
                <w:bCs/>
                <w:color w:val="FFFFFF"/>
                <w:sz w:val="18"/>
                <w:szCs w:val="18"/>
              </w:rPr>
              <w:t>Bold</w:t>
            </w:r>
            <w:proofErr w:type="spellEnd"/>
            <w:r>
              <w:rPr>
                <w:b/>
                <w:bCs/>
                <w:color w:val="FFFFFF"/>
                <w:sz w:val="18"/>
                <w:szCs w:val="18"/>
              </w:rPr>
              <w:t xml:space="preserve">, etichetta della soglia Regular corsivo.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Valori da rappresentare: a 20.000 €: ~80%/85%/88%; a 25.000 €: ~89%/92%/94%; a 30.000 €: ~93%/95%/96%. Soglia convenzionale a 30.000 €; le curve tendono all’unità oltre 40.000 €. Variante 3D (consigliata): le tre curve come nastri a quote leggermente diverse; la soglia convenzionale come piano verticale; l’area sotto le curve alla soglia evidenziata, a rendere la probabilità di costo-efficacia. Fonte (piè di figura): Elaborazione dello studio; analisi di sensibilità probabilistica con parametri invarianti cross-regionali; probabilità di costo-efficacia coerente con il risultato deterministico (rapporto sotto soglia). La figura deve rendere evidente che la probabilità di costo-efficacia è elevata a tutte le soglie convenzionali, e prossima al novantacinque per cento alla soglia convenzionale, a conferma probabilistica della robustezza del risultato deterministico.</w:t>
            </w:r>
          </w:p>
          <w:p w14:paraId="489D22A4" w14:textId="77777777" w:rsidR="007C4598" w:rsidRDefault="00000000">
            <w:pPr>
              <w:spacing w:before="120" w:after="60"/>
              <w:jc w:val="center"/>
            </w:pPr>
            <w:r>
              <w:rPr>
                <w:noProof/>
              </w:rPr>
              <w:drawing>
                <wp:inline distT="0" distB="0" distL="0" distR="0" wp14:anchorId="12FAED7E" wp14:editId="3F75C0D5">
                  <wp:extent cx="8229600" cy="4629150"/>
                  <wp:effectExtent l="0" t="0" r="0" b="0"/>
                  <wp:docPr id="162" name="Infografica62" descr="La curva di accettabilità della costo-effica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nfografica62"/>
                          <pic:cNvPicPr>
                            <a:picLocks noChangeAspect="1" noChangeArrowheads="1"/>
                          </pic:cNvPicPr>
                        </pic:nvPicPr>
                        <pic:blipFill>
                          <a:blip r:embed="rId113">
                            <a:extLst>
                              <a:ext uri="{96DAC541-7B7A-43D3-8B79-37D633B846F1}">
                                <asvg:svgBlip xmlns:asvg="http://schemas.microsoft.com/office/drawing/2016/SVG/main" r:embed="rId114"/>
                              </a:ext>
                            </a:extLst>
                          </a:blip>
                          <a:stretch>
                            <a:fillRect/>
                          </a:stretch>
                        </pic:blipFill>
                        <pic:spPr bwMode="auto">
                          <a:xfrm>
                            <a:off x="0" y="0"/>
                            <a:ext cx="8229600" cy="4629150"/>
                          </a:xfrm>
                          <a:prstGeom prst="rect">
                            <a:avLst/>
                          </a:prstGeom>
                          <a:noFill/>
                          <a:ln>
                            <a:noFill/>
                          </a:ln>
                        </pic:spPr>
                      </pic:pic>
                    </a:graphicData>
                  </a:graphic>
                </wp:inline>
              </w:drawing>
            </w:r>
          </w:p>
          <w:p w14:paraId="4F46B881" w14:textId="77777777" w:rsidR="007C4598" w:rsidRDefault="00000000">
            <w:pPr>
              <w:spacing w:before="40" w:after="200"/>
              <w:jc w:val="center"/>
            </w:pPr>
            <w:r>
              <w:rPr>
                <w:i/>
                <w:color w:val="2E5A8F"/>
                <w:sz w:val="16"/>
                <w:szCs w:val="16"/>
              </w:rPr>
              <w:t>Fig. 11.B — La curva di accettabilità della costo-efficacia. Elaborazione dello studio · Luigi De Michele · Giugno 2026.</w:t>
            </w:r>
          </w:p>
        </w:tc>
      </w:tr>
    </w:tbl>
    <w:p w14:paraId="7CB9CEA4" w14:textId="77777777" w:rsidR="007C4598" w:rsidRDefault="007C4598"/>
    <w:p w14:paraId="7F396056" w14:textId="77777777" w:rsidR="007C4598" w:rsidRDefault="00000000">
      <w:pPr>
        <w:pStyle w:val="Titolo2"/>
        <w:spacing w:before="200" w:after="100"/>
      </w:pPr>
      <w:r>
        <w:rPr>
          <w:sz w:val="22"/>
          <w:szCs w:val="22"/>
        </w:rPr>
        <w:t>11.2.4  Gli scenari di copertura e la robustezza della proiezione</w:t>
      </w:r>
    </w:p>
    <w:p w14:paraId="5731BFB2" w14:textId="77777777" w:rsidR="007C4598" w:rsidRDefault="007C4598"/>
    <w:p w14:paraId="2A9404A1" w14:textId="77777777" w:rsidR="007C4598" w:rsidRDefault="00000000">
      <w:pPr>
        <w:jc w:val="both"/>
      </w:pPr>
      <w:r>
        <w:t>L’analisi di sensibilità probabilistica è condotta per ciascuno dei tre scenari di copertura, e ne conferma la robustezza rispetto al dimensionamento. I tre scenari — conservativo, intermedio ed espansivo — differiscono per il numero di incarichi attivati e per la quota della popolazione intercettata, e producono perciò guadagni di salute, costi, risparmi e benefici di entità crescente con il dimensionamento; ma il rapporto costo-efficacia, che rapporta il costo ai guadagni di salute, resta dell’ordine di grandezza in tutti e tre gli scenari, ampiamente al di sotto della soglia, e la probabilità di costo-efficacia resta elevata in tutti e tre. La robustezza rispetto agli scenari è un presidio importante della proiezione, perché ne fonda la conclusione su un risultato che non dipende dal dimensionamento: quale che sia lo scenario di copertura adottato, entro la gamma dei tre, la riforma resta costo-efficace con probabilità elevata. La crescita della probabilità con il dimensionamento, già rilevata, indica inoltre che lo scenario espansivo è il più robusto sul piano della costo-efficacia, perché intercetta una popolazione maggiore e produce guadagni di salute maggiori; ma anche lo scenario conservativo, il meno robusto, mantiene una probabilità di costo-efficacia elevata, dell’ordine del novantatré per cento alla soglia convenzionale.</w:t>
      </w:r>
    </w:p>
    <w:p w14:paraId="0B825CB9" w14:textId="77777777" w:rsidR="007C4598" w:rsidRDefault="007C4598"/>
    <w:p w14:paraId="232BDC95" w14:textId="77777777" w:rsidR="007C4598" w:rsidRDefault="00000000">
      <w:pPr>
        <w:jc w:val="both"/>
      </w:pPr>
      <w:r>
        <w:t>La robustezza della proiezione rispetto agli scenari e all’incertezza dei parametri costituisce il fondamento delle previsioni falsificabili che la parte formulerà. Le previsioni saranno formulate come bande corredate di soglie di confutazione, e la loro affidabilità riposa sulla robustezza della proiezione: una proiezione robusta, che mantiene la costo-efficacia in tutti gli scenari e con probabilità elevata, fonda previsioni affidabili, le cui bande riflettono un’incertezza quantificata e contenuta; una proiezione fragile, che mutasse di segno al variare dei parametri o degli scenari, fonderebbe previsioni inaffidabili, le cui bande sarebbero così ampie da privarle di contenuto. L’analisi di sensibilità probabilistica ha mostrato che la proiezione della riforma è robusta: il rapporto costo-efficacia resta sotto soglia in tutti gli scenari e con probabilità elevata, e l’incertezza, pur presente, è quantificata e contenuta. Su questa robustezza si fonderanno le previsioni delle voci successive, le cui bande rifletteranno l’incertezza quantificata dall’analisi, e le cui soglie di confutazione saranno collocate in coerenza con tale incertezza.</w:t>
      </w:r>
    </w:p>
    <w:p w14:paraId="64B9FC85" w14:textId="77777777" w:rsidR="007C4598" w:rsidRDefault="007C4598"/>
    <w:p w14:paraId="4E196397" w14:textId="77777777" w:rsidR="007C4598" w:rsidRDefault="00000000">
      <w:pPr>
        <w:pStyle w:val="Titolo2"/>
        <w:spacing w:before="200" w:after="100"/>
      </w:pPr>
      <w:r>
        <w:rPr>
          <w:sz w:val="22"/>
          <w:szCs w:val="22"/>
        </w:rPr>
        <w:t>11.2.5  La graduazione, le bande e i confini dell’analisi probabilistica</w:t>
      </w:r>
    </w:p>
    <w:p w14:paraId="3F0E7990" w14:textId="77777777" w:rsidR="007C4598" w:rsidRDefault="007C4598"/>
    <w:p w14:paraId="295A5DC2" w14:textId="77777777" w:rsidR="007C4598" w:rsidRDefault="00000000">
      <w:pPr>
        <w:jc w:val="both"/>
      </w:pPr>
      <w:r>
        <w:t>La solidità dell’analisi di sensibilità probabilistica va dichiarata, distinguendone le componenti. La logica dell’analisi — la propagazione dell’incertezza dei parametri agli esiti attraverso la simulazione — è solida, perché è la procedura consolidata della valutazione economica per la rappresentazione dell’incertezza. La scelta delle distribuzioni e degli intervalli è sostenuta da fondamento ragionevole, perché le distribuzioni sono adatte alla natura dei parametri e gli intervalli riflettono l’incertezza graduata; ma essa comporta un grado di assunzione, perché la forma esatta delle distribuzioni e l’ampiezza esatta degli intervalli non sono osservate, ma stimate, e una diversa scelta produrrebbe esiti lievemente diversi. I risultati dell’analisi — gli intervalli di credibilità, le probabilità di costo-efficacia — sono perciò robusti nel loro ordine di grandezza, ma da leggere come stime soggette alla scelta delle distribuzioni, non come valori di precisione puntuale. La conclusione di robustezza, fondata sull’elevata probabilità di costo-efficacia a tutte le soglie convenzionali, è solida, perché vale anche per ragionevoli variazioni delle distribuzioni.</w:t>
      </w:r>
      <w:r>
        <w:rPr>
          <w:color w:val="555555"/>
          <w:sz w:val="16"/>
          <w:szCs w:val="16"/>
          <w:vertAlign w:val="superscript"/>
        </w:rPr>
        <w:t>[8]</w:t>
      </w:r>
    </w:p>
    <w:p w14:paraId="0ACBAA28" w14:textId="77777777" w:rsidR="007C4598" w:rsidRDefault="007C4598"/>
    <w:p w14:paraId="424B695E" w14:textId="77777777" w:rsidR="007C4598" w:rsidRDefault="00000000">
      <w:pPr>
        <w:jc w:val="both"/>
      </w:pPr>
      <w:r>
        <w:t>Da questa graduazione discendono i confini dell’analisi probabilistica e il suo rapporto con le previsioni. In primo luogo, l’analisi probabilistica propaga l’incertezza dei parametri del modello, ma non l’incertezza della struttura del modello, che è assunta come data; una diversa struttura — un diverso insieme di stati, una diversa rappresentazione del decorso — produrrebbe esiti diversi, e l’incertezza strutturale non è catturata dall’analisi probabilistica, ma va riconosciuta separatamente. In secondo luogo, l’analisi probabilistica fornisce la misura dell’incertezza degli esiti, ma non le previsioni medesime, che la parte formulerà traducendone i risultati in enunciati falsificabili corredati di bande e soglie. In terzo luogo, la probabilità di costo-efficacia è riferita alla costo-efficacia sanitaria, e non alle altre dimensioni del valore — la fiscale, la sociale — che hanno la propria incertezza, riflessa nelle bande delle parti precedenti. L’analisi di sensibilità probabilistica stabilisce così la robustezza della proiezione e la misura della sua incertezza, e la consegna alla formulazione delle previsioni, che ne tradurrà i risultati in enunciati falsificabili. Stabiliti lo strumento della proiezione e la misura della sua incertezza, la parte può ora formulare le previsioni falsificabili, a cominciare da quelle sulla qualità della vita delle persone.</w:t>
      </w:r>
    </w:p>
    <w:p w14:paraId="621614C3" w14:textId="77777777" w:rsidR="007C4598" w:rsidRDefault="007C4598"/>
    <w:p w14:paraId="04275FF9" w14:textId="77777777" w:rsidR="007C4598" w:rsidRDefault="00000000">
      <w:pPr>
        <w:pStyle w:val="Titolo1"/>
        <w:pageBreakBefore/>
      </w:pPr>
      <w:r>
        <w:rPr>
          <w:sz w:val="22"/>
          <w:szCs w:val="22"/>
        </w:rPr>
        <w:t>11.3  Le previsioni falsificabili sulla qualità della vita delle persone</w:t>
      </w:r>
    </w:p>
    <w:p w14:paraId="759992D8" w14:textId="77777777" w:rsidR="007C4598" w:rsidRDefault="007C4598"/>
    <w:p w14:paraId="1FA35BF0" w14:textId="77777777" w:rsidR="007C4598" w:rsidRDefault="00000000">
      <w:pPr>
        <w:jc w:val="both"/>
      </w:pPr>
      <w:r>
        <w:rPr>
          <w:i/>
          <w:iCs/>
        </w:rPr>
        <w:t>La terza voce formula le previsioni falsificabili sul primo e più importante degli ambiti su cui la riforma incide: la qualità della vita delle persone. Essa traduce i risultati del modello, proiettati lungo l’orizzonte, in previsioni sui guadagni di salute cumulati, sulla riduzione del disagio comune non intercettato, sul restringimento del divario di trattamento e sul miglioramento della qualità della vita della popolazione presa in carico; e corredata ciascuna previsione della banda entro cui il valore si colloca, della soglia di confutazione al di sotto della quale la previsione è smentita, e del metodo con cui sarà verificata a posteriori. La voce stabilisce così le previsioni controllabili sull’esito che costituisce la finalità prima della riforma — il miglioramento della qualità della vita delle persone — e le espone alla verifica dei fatti.</w:t>
      </w:r>
    </w:p>
    <w:p w14:paraId="590AB637" w14:textId="77777777" w:rsidR="007C4598" w:rsidRDefault="007C4598"/>
    <w:p w14:paraId="0AFD4662" w14:textId="77777777" w:rsidR="007C4598" w:rsidRDefault="00000000">
      <w:pPr>
        <w:pStyle w:val="Titolo2"/>
        <w:spacing w:before="200" w:after="100"/>
      </w:pPr>
      <w:r>
        <w:rPr>
          <w:sz w:val="22"/>
          <w:szCs w:val="22"/>
        </w:rPr>
        <w:t>11.3.1  La logica della previsione falsificabile sulla qualità della vita</w:t>
      </w:r>
    </w:p>
    <w:p w14:paraId="3181CE62" w14:textId="77777777" w:rsidR="007C4598" w:rsidRDefault="007C4598"/>
    <w:p w14:paraId="5BD74298" w14:textId="77777777" w:rsidR="007C4598" w:rsidRDefault="00000000">
      <w:pPr>
        <w:jc w:val="both"/>
      </w:pPr>
      <w:r>
        <w:t>La qualità della vita delle persone è il primo ambito su cui la riforma incide, e la previsione del suo miglioramento è la previsione fondamentale dell’intera proiezione. La finalità prima della riforma è il miglioramento della salute e della qualità della vita delle persone affette da disagio comune, attraverso la presa in carico che ne favorisce il recupero; e tutte le altre dimensioni del valore — il risparmio fiscale, il beneficio sociale, l’alleggerimento dei sistemi — derivano da questo miglioramento, che ne è l’origine. La previsione del miglioramento della qualità della vita è perciò la previsione fondamentale, da cui le altre dipendono, e a cui la voce dedica particolare cura. Essa è formulata in termini di guadagni di salute, misurati in anni di vita in buona salute, che esprimono congiuntamente la quantità e la qualità della vita guadagnata; e in termini degli indicatori intermedi che il guadagno di salute presuppone — la riduzione del disagio non intercettato, il restringimento del divario di trattamento, il miglioramento della qualità della vita dei presi in carico — che ne articolano le componenti e ne consentono la verifica.</w:t>
      </w:r>
    </w:p>
    <w:p w14:paraId="6C229583" w14:textId="77777777" w:rsidR="007C4598" w:rsidRDefault="007C4598"/>
    <w:p w14:paraId="05CEA9B2" w14:textId="77777777" w:rsidR="007C4598" w:rsidRDefault="00000000">
      <w:pPr>
        <w:jc w:val="both"/>
      </w:pPr>
      <w:r>
        <w:t>La previsione falsificabile sulla qualità della vita è formulata, in coerenza con il principio della parte, come banda corredata di soglia di confutazione e di metodo di verifica. Il guadagno di salute previsto non è espresso come valore puntuale, ma come banda entro cui esso si colloca, riflettendo l’incertezza quantificata dall’analisi di sensibilità probabilistica; e la banda è corredata della soglia di confutazione, ossia del valore al di sotto del quale, se il guadagno osservato si collocasse, la previsione sarebbe smentita. La soglia di confutazione è collocata in coerenza con la banda, al di sotto del suo estremo inferiore, sicché la previsione sia smentita non da una qualsiasi deviazione dal valore centrale, ma soltanto da un esito sensibilmente inferiore alla banda prevista. Il metodo di verifica indica il modo in cui la previsione sarà controllata a posteriori, attraverso la misurazione dell’esito osservato sulla popolazione reale, e il confronto con la previsione. La previsione falsificabile sulla qualità della vita è dunque un enunciato controllabile, che espone alla verifica dei fatti la previsione fondamentale della riforma.</w:t>
      </w:r>
    </w:p>
    <w:p w14:paraId="6450C2BD" w14:textId="77777777" w:rsidR="007C4598" w:rsidRDefault="007C4598"/>
    <w:p w14:paraId="094BCBE4" w14:textId="77777777" w:rsidR="007C4598" w:rsidRDefault="00000000">
      <w:pPr>
        <w:pStyle w:val="Titolo2"/>
        <w:spacing w:before="200" w:after="100"/>
      </w:pPr>
      <w:r>
        <w:rPr>
          <w:sz w:val="22"/>
          <w:szCs w:val="22"/>
        </w:rPr>
        <w:t>11.3.2  Le previsioni sui guadagni di salute cumulati</w:t>
      </w:r>
    </w:p>
    <w:p w14:paraId="3BD9ADA4" w14:textId="77777777" w:rsidR="007C4598" w:rsidRDefault="007C4598"/>
    <w:p w14:paraId="28E72ED1" w14:textId="77777777" w:rsidR="007C4598" w:rsidRDefault="00000000">
      <w:pPr>
        <w:jc w:val="both"/>
      </w:pPr>
      <w:r>
        <w:t>La prima previsione sulla qualità della vita riguarda i guadagni di salute cumulati, ossia gli anni di vita in buona salute che la riforma produce nel tempo, accumulati lungo l’orizzonte e attualizzati. Il modello, proiettando la modificazione delle transizioni operata dalla riforma lungo l’orizzonte decennale, calcola i guadagni di salute cumulati, che crescono nel tempo per due ragioni concorrenti: il graduale crescere della popolazione intercettata, dalla fase di avvio alla fase di regime, e l’accumulo dei guadagni delle coorti via via prese in carico. I guadagni cumulati a cinque anni riflettono ancora la fase di avvio, in cui la popolazione intercettata non ha raggiunto il regime; i guadagni cumulati a dieci anni riflettono il regime raggiunto e l’accumulo prolungato. La tabella che segue espone i guadagni di salute cumulati per scenario e orizzonte, attualizzati.</w:t>
      </w:r>
    </w:p>
    <w:p w14:paraId="47FBD148"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7AAE681D"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2988A54" w14:textId="77777777" w:rsidR="007C4598" w:rsidRDefault="00000000">
            <w:pPr>
              <w:spacing w:after="40"/>
            </w:pPr>
            <w:r>
              <w:rPr>
                <w:b/>
                <w:bCs/>
                <w:color w:val="FFFFFF"/>
                <w:sz w:val="18"/>
                <w:szCs w:val="18"/>
              </w:rPr>
              <w:t>Guadagni di salute cumulati (anni di vita in buona salute, attualizzati)</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0FF83D1" w14:textId="77777777" w:rsidR="007C4598" w:rsidRDefault="00000000">
            <w:pPr>
              <w:spacing w:after="40"/>
            </w:pPr>
            <w:proofErr w:type="spellStart"/>
            <w:r>
              <w:rPr>
                <w:b/>
                <w:bCs/>
                <w:color w:val="FFFFFF"/>
                <w:sz w:val="18"/>
                <w:szCs w:val="18"/>
              </w:rPr>
              <w:t>Conserv</w:t>
            </w:r>
            <w:proofErr w:type="spellEnd"/>
            <w:r>
              <w:rPr>
                <w:b/>
                <w:bCs/>
                <w:color w:val="FFFFFF"/>
                <w:sz w:val="18"/>
                <w:szCs w:val="18"/>
              </w:rPr>
              <w:t>.</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570D7D1" w14:textId="77777777" w:rsidR="007C4598" w:rsidRDefault="00000000">
            <w:pPr>
              <w:spacing w:after="40"/>
            </w:pPr>
            <w:proofErr w:type="spellStart"/>
            <w:r>
              <w:rPr>
                <w:b/>
                <w:bCs/>
                <w:color w:val="FFFFFF"/>
                <w:sz w:val="18"/>
                <w:szCs w:val="18"/>
              </w:rPr>
              <w:t>Interm</w:t>
            </w:r>
            <w:proofErr w:type="spellEnd"/>
            <w:r>
              <w:rPr>
                <w:b/>
                <w:bCs/>
                <w:color w:val="FFFFFF"/>
                <w:sz w:val="18"/>
                <w:szCs w:val="18"/>
              </w:rPr>
              <w:t>.</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514668A" w14:textId="77777777" w:rsidR="007C4598" w:rsidRDefault="00000000">
            <w:pPr>
              <w:spacing w:after="40"/>
            </w:pPr>
            <w:proofErr w:type="spellStart"/>
            <w:r>
              <w:rPr>
                <w:b/>
                <w:bCs/>
                <w:color w:val="FFFFFF"/>
                <w:sz w:val="18"/>
                <w:szCs w:val="18"/>
              </w:rPr>
              <w:t>Espan</w:t>
            </w:r>
            <w:proofErr w:type="spellEnd"/>
            <w:r>
              <w:rPr>
                <w:b/>
                <w:bCs/>
                <w:color w:val="FFFFFF"/>
                <w:sz w:val="18"/>
                <w:szCs w:val="18"/>
              </w:rPr>
              <w:t>.</w:t>
            </w:r>
          </w:p>
        </w:tc>
      </w:tr>
      <w:tr w:rsidR="007C4598" w14:paraId="3AE5B5C8"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FDD1248" w14:textId="77777777" w:rsidR="007C4598" w:rsidRDefault="00000000">
            <w:pPr>
              <w:spacing w:after="40"/>
            </w:pPr>
            <w:r>
              <w:t>A cinque anni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F12FD4B" w14:textId="77777777" w:rsidR="007C4598" w:rsidRDefault="00000000">
            <w:pPr>
              <w:spacing w:after="40"/>
            </w:pPr>
            <w:r>
              <w:t>~5.000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68BF560" w14:textId="77777777" w:rsidR="007C4598" w:rsidRDefault="00000000">
            <w:pPr>
              <w:spacing w:after="40"/>
            </w:pPr>
            <w:r>
              <w:t>~8.500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2511028" w14:textId="77777777" w:rsidR="007C4598" w:rsidRDefault="00000000">
            <w:pPr>
              <w:spacing w:after="40"/>
            </w:pPr>
            <w:r>
              <w:t>~12.000</w:t>
            </w:r>
          </w:p>
        </w:tc>
      </w:tr>
      <w:tr w:rsidR="007C4598" w14:paraId="3AB16135"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97B9F09" w14:textId="77777777" w:rsidR="007C4598" w:rsidRDefault="00000000">
            <w:pPr>
              <w:spacing w:after="40"/>
            </w:pPr>
            <w:r>
              <w:t>A dieci anni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690ECE5" w14:textId="77777777" w:rsidR="007C4598" w:rsidRDefault="00000000">
            <w:pPr>
              <w:spacing w:after="40"/>
            </w:pPr>
            <w:r>
              <w:t>~10.000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0DCD1C0" w14:textId="77777777" w:rsidR="007C4598" w:rsidRDefault="00000000">
            <w:pPr>
              <w:spacing w:after="40"/>
            </w:pPr>
            <w:r>
              <w:t>~17.000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267944E" w14:textId="77777777" w:rsidR="007C4598" w:rsidRDefault="00000000">
            <w:pPr>
              <w:spacing w:after="40"/>
            </w:pPr>
            <w:r>
              <w:t>~24.000</w:t>
            </w:r>
          </w:p>
        </w:tc>
      </w:tr>
    </w:tbl>
    <w:p w14:paraId="41EB052C" w14:textId="77777777" w:rsidR="007C4598" w:rsidRDefault="007C4598"/>
    <w:p w14:paraId="7032376F" w14:textId="77777777" w:rsidR="007C4598" w:rsidRDefault="00000000">
      <w:pPr>
        <w:jc w:val="both"/>
      </w:pPr>
      <w:r>
        <w:rPr>
          <w:i/>
          <w:iCs/>
        </w:rPr>
        <w:t>Tabella 11.6 — Guadagni di salute cumulati (anni di vita in buona salute, attualizzati al tasso di sconto), per scenario di copertura e orizzonte. I guadagni crescono nel tempo per il graduale raggiungimento del regime e per l’accumulo delle coorti prese in carico; a dieci anni essi sono circa il doppio di quelli a cinque anni, riflettendo il regime raggiunto.</w:t>
      </w:r>
    </w:p>
    <w:p w14:paraId="51857DFB" w14:textId="77777777" w:rsidR="007C4598" w:rsidRDefault="007C4598"/>
    <w:p w14:paraId="093EEC2A" w14:textId="77777777" w:rsidR="007C4598" w:rsidRDefault="00000000">
      <w:pPr>
        <w:jc w:val="both"/>
      </w:pPr>
      <w:r>
        <w:t xml:space="preserve">I guadagni di salute cumulati così proiettati fondano la prima previsione falsificabile della voce. Nello scenario intermedio, il modello proietta guadagni di salute cumulati dell’ordine di </w:t>
      </w:r>
      <w:proofErr w:type="spellStart"/>
      <w:r>
        <w:t>ottomilacinquecento</w:t>
      </w:r>
      <w:proofErr w:type="spellEnd"/>
      <w:r>
        <w:t xml:space="preserve"> anni di vita in buona salute a cinque anni, entro una banda compresa tra circa settemila e diecimila, e dell’ordine di diciassettemila a dieci anni, entro una banda compresa tra circa quattordicimila e ventimila. La previsione è dunque che la riforma produca, nello scenario intermedio, guadagni di salute cumulati dell’ordine di </w:t>
      </w:r>
      <w:proofErr w:type="spellStart"/>
      <w:r>
        <w:t>ottomilacinquecento</w:t>
      </w:r>
      <w:proofErr w:type="spellEnd"/>
      <w:r>
        <w:t xml:space="preserve"> anni di vita in buona salute nel primo quinquennio e dell’ordine di diciassettemila nel primo decennio; e la previsione è smentita se i guadagni osservati si collocassero al di sotto della soglia di confutazione, posta a settemila anni di vita in buona salute al quinto anno. Negli scenari conservativo ed espansivo, i guadagni cumulati a cinque anni sono dell’ordine, rispettivamente, di cinquemila e di dodicimila anni di vita in buona salute, con le rispettive bande. I guadagni di salute cumulati sono la traduzione, in termini di anni di vita in buona salute, della modificazione delle transizioni operata dalla riforma: essi misurano la qualità della vita guadagnata dalla popolazione che, grazie alla presa in carico, transita verso il benessere anziché persistere nel disturbo o cronicizzare.</w:t>
      </w:r>
      <w:r>
        <w:rPr>
          <w:color w:val="555555"/>
          <w:sz w:val="16"/>
          <w:szCs w:val="16"/>
          <w:vertAlign w:val="superscript"/>
        </w:rPr>
        <w:t>[9]</w:t>
      </w:r>
    </w:p>
    <w:p w14:paraId="4DF6C2E6" w14:textId="77777777" w:rsidR="007C4598" w:rsidRDefault="007C4598"/>
    <w:p w14:paraId="0E9FE1E0" w14:textId="77777777" w:rsidR="007C4598" w:rsidRDefault="00000000">
      <w:pPr>
        <w:pStyle w:val="Titolo2"/>
        <w:spacing w:before="200" w:after="100"/>
      </w:pPr>
      <w:r>
        <w:rPr>
          <w:sz w:val="22"/>
          <w:szCs w:val="22"/>
        </w:rPr>
        <w:t>11.3.3  Le previsioni sulla riduzione del disagio non intercettato e sul divario di trattamento</w:t>
      </w:r>
    </w:p>
    <w:p w14:paraId="26A90C91" w14:textId="77777777" w:rsidR="007C4598" w:rsidRDefault="007C4598"/>
    <w:p w14:paraId="3E53E760" w14:textId="77777777" w:rsidR="007C4598" w:rsidRDefault="00000000">
      <w:pPr>
        <w:jc w:val="both"/>
      </w:pPr>
      <w:r>
        <w:t>La seconda e la terza previsione sulla qualità della vita riguardano gli indicatori intermedi che il guadagno di salute presuppone: la riduzione del disagio comune non intercettato e il restringimento del divario di trattamento. La riduzione del disagio non intercettato misura la quota della popolazione affetta da disagio comune che, grazie alla riforma, esce dallo stato di disturbo non intercettato — perché presa in carico, o perché guarita attraverso la presa in carico; essa è l’indicatore della capacità della riforma di raggiungere il disagio sommerso e di ridurne la prevalenza. Il restringimento del divario di trattamento misura la riduzione della quota della popolazione affetta da disagio comune che resta priva di trattamento; esso è l’indicatore della capacità della riforma di colmare il divario tra il bisogno e la presa in carico, che la seconda parte ha stimato ampio nel contesto pugliese e italiano. Questi due indicatori intermedi sono i presupposti del guadagno di salute: il guadagno presuppone che la riforma raggiunga il disagio non intercettato e ne riduca la prevalenza, e che colmi il divario di trattamento prendendo in carico chi ne era privo.</w:t>
      </w:r>
    </w:p>
    <w:p w14:paraId="33E01967" w14:textId="77777777" w:rsidR="007C4598" w:rsidRDefault="007C4598"/>
    <w:p w14:paraId="373B61DB" w14:textId="77777777" w:rsidR="007C4598" w:rsidRDefault="00000000">
      <w:pPr>
        <w:jc w:val="both"/>
      </w:pPr>
      <w:r>
        <w:t>Le previsioni su questi indicatori intermedi sono formulate, come le altre, in forma falsificabile. La previsione sulla riduzione del disagio non intercettato è che la riforma riduca, nello scenario intermedio, la prevalenza del disagio comune non intercettato di una quota dell’ordine di un quinto nel primo quinquennio, entro una banda compresa tra circa il dodici e il ventotto per cento; e la previsione è smentita se la riduzione osservata si collocasse al di sotto della soglia di confutazione, posta al dodici per cento. La previsione sul divario di trattamento è che la riforma restringa, nello scenario intermedio, il divario di trattamento di una quota dell’ordine di quindici punti percentuali nel primo quinquennio, entro una banda compresa tra circa otto e ventidue punti; e la previsione è smentita se il restringimento osservato si collocasse al di sotto della soglia di confutazione, posta a otto punti percentuali. Questi indicatori intermedi sono più prossimi all’osservazione del guadagno di salute, e ne consentono perciò la verifica più diretta: la riduzione del disagio non intercettato e il restringimento del divario di trattamento sono misurabili attraverso le indagini di prevalenza e i dati dei servizi, e la loro verifica fornisce un riscontro precoce della capacità della riforma di raggiungere il disagio sommerso, presupposto del guadagno di salute.</w:t>
      </w:r>
    </w:p>
    <w:p w14:paraId="7C25D570" w14:textId="77777777" w:rsidR="007C4598" w:rsidRDefault="007C4598"/>
    <w:p w14:paraId="527A2372" w14:textId="77777777" w:rsidR="007C4598" w:rsidRDefault="00000000">
      <w:pPr>
        <w:pStyle w:val="Titolo2"/>
        <w:spacing w:before="200" w:after="100"/>
      </w:pPr>
      <w:r>
        <w:rPr>
          <w:sz w:val="22"/>
          <w:szCs w:val="22"/>
        </w:rPr>
        <w:t>11.3.4  Le previsioni sulla qualità della vita dei presi in carico e il quadro delle previsioni</w:t>
      </w:r>
    </w:p>
    <w:p w14:paraId="32AEACB3" w14:textId="77777777" w:rsidR="007C4598" w:rsidRDefault="007C4598"/>
    <w:p w14:paraId="72241229" w14:textId="77777777" w:rsidR="007C4598" w:rsidRDefault="00000000">
      <w:pPr>
        <w:jc w:val="both"/>
      </w:pPr>
      <w:r>
        <w:t>La quarta previsione sulla qualità della vita riguarda il miglioramento della qualità della vita della popolazione presa in carico, misurato dall’aumento della sua utilità media. La popolazione presa in carico transita, grazie al trattamento, dallo stato di disturbo non intercettato, di utilità ridotta, allo stato di disturbo in trattamento, di utilità intermedia, e quindi, in una quota crescente, allo stato di benessere, di utilità elevata; e l’utilità media della popolazione presa in carico cresce perciò nel tempo, dall’utilità del disturbo non intercettato verso l’utilità degli stati di trattamento e di benessere. L’aumento dell’utilità media della popolazione presa in carico è l’indicatore del miglioramento della qualità della vita di chi la riforma prende in carico, e ne misura l’effetto sulla condizione individuale. La previsione è che la riforma produca, sulla popolazione presa in carico, un aumento dell’utilità media dell’ordine di un decimo nel quinquennio, entro una banda compresa tra circa sei e quattordici centesimi; e la previsione è smentita se l’aumento osservato si collocasse al di sotto della soglia di confutazione, posta a sei centesimi. La tabella che segue raccoglie le previsioni falsificabili della voce, ciascuna con la propria banda e la propria soglia di confutazione.</w:t>
      </w:r>
    </w:p>
    <w:p w14:paraId="6CD9A581"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7C493BD7"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4AF3461" w14:textId="77777777" w:rsidR="007C4598" w:rsidRDefault="00000000">
            <w:pPr>
              <w:spacing w:after="40"/>
            </w:pPr>
            <w:r>
              <w:rPr>
                <w:b/>
                <w:bCs/>
                <w:color w:val="FFFFFF"/>
                <w:sz w:val="18"/>
                <w:szCs w:val="18"/>
              </w:rPr>
              <w:t>Previsione falsificabile sulla qualità della vita (scenario intermedio)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0796A73" w14:textId="77777777" w:rsidR="007C4598" w:rsidRDefault="00000000">
            <w:pPr>
              <w:spacing w:after="40"/>
            </w:pPr>
            <w:r>
              <w:rPr>
                <w:b/>
                <w:bCs/>
                <w:color w:val="FFFFFF"/>
                <w:sz w:val="18"/>
                <w:szCs w:val="18"/>
              </w:rPr>
              <w:t>Valore previsto (banda)</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CF55EF8" w14:textId="77777777" w:rsidR="007C4598" w:rsidRDefault="00000000">
            <w:pPr>
              <w:spacing w:after="40"/>
            </w:pPr>
            <w:r>
              <w:rPr>
                <w:b/>
                <w:bCs/>
                <w:color w:val="FFFFFF"/>
                <w:sz w:val="18"/>
                <w:szCs w:val="18"/>
              </w:rPr>
              <w:t>Soglia di confutazione</w:t>
            </w:r>
          </w:p>
        </w:tc>
      </w:tr>
      <w:tr w:rsidR="007C4598" w14:paraId="4E13B408"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089940E" w14:textId="77777777" w:rsidR="007C4598" w:rsidRDefault="00000000">
            <w:pPr>
              <w:spacing w:after="40"/>
            </w:pPr>
            <w:r>
              <w:t>Guadagni di salute cumulati a cinque anni (anni di vita in buona salute)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901949B" w14:textId="77777777" w:rsidR="007C4598" w:rsidRDefault="00000000">
            <w:pPr>
              <w:spacing w:after="40"/>
            </w:pPr>
            <w:r>
              <w:t>~8.500 (~7.000–10.000)</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CAEEF01" w14:textId="77777777" w:rsidR="007C4598" w:rsidRDefault="00000000">
            <w:pPr>
              <w:spacing w:after="40"/>
            </w:pPr>
            <w:r>
              <w:t>&lt; 7.000</w:t>
            </w:r>
          </w:p>
        </w:tc>
      </w:tr>
      <w:tr w:rsidR="007C4598" w14:paraId="739FAEA5"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4EE795C" w14:textId="77777777" w:rsidR="007C4598" w:rsidRDefault="00000000">
            <w:pPr>
              <w:spacing w:after="40"/>
            </w:pPr>
            <w:r>
              <w:t>Guadagni di salute cumulati a dieci anni (anni di vita in buona salute)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BB2B230" w14:textId="77777777" w:rsidR="007C4598" w:rsidRDefault="00000000">
            <w:pPr>
              <w:spacing w:after="40"/>
            </w:pPr>
            <w:r>
              <w:t>~17.000 (~14.000–20.000)</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16AA745" w14:textId="77777777" w:rsidR="007C4598" w:rsidRDefault="00000000">
            <w:pPr>
              <w:spacing w:after="40"/>
            </w:pPr>
            <w:r>
              <w:t>&lt; 14.000</w:t>
            </w:r>
          </w:p>
        </w:tc>
      </w:tr>
      <w:tr w:rsidR="007C4598" w14:paraId="3B30BF65"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FFBF311" w14:textId="77777777" w:rsidR="007C4598" w:rsidRDefault="00000000">
            <w:pPr>
              <w:spacing w:after="40"/>
            </w:pPr>
            <w:r>
              <w:t>Riduzione relativa del disagio comune non intercettato a cinque anni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FA8B39D" w14:textId="77777777" w:rsidR="007C4598" w:rsidRDefault="00000000">
            <w:pPr>
              <w:spacing w:after="40"/>
            </w:pPr>
            <w:r>
              <w:t>~20% (~12%–28%)</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5FF38BE" w14:textId="77777777" w:rsidR="007C4598" w:rsidRDefault="00000000">
            <w:pPr>
              <w:spacing w:after="40"/>
            </w:pPr>
            <w:r>
              <w:t>&lt; 12%</w:t>
            </w:r>
          </w:p>
        </w:tc>
      </w:tr>
      <w:tr w:rsidR="007C4598" w14:paraId="22153B3B"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82B4E85" w14:textId="77777777" w:rsidR="007C4598" w:rsidRDefault="00000000">
            <w:pPr>
              <w:spacing w:after="40"/>
            </w:pPr>
            <w:r>
              <w:t>Restringimento del divario di trattamento a cinque anni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0703370" w14:textId="77777777" w:rsidR="007C4598" w:rsidRDefault="00000000">
            <w:pPr>
              <w:spacing w:after="40"/>
            </w:pPr>
            <w:r>
              <w:t>~15 punti (~8–22 punti)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B72117A" w14:textId="77777777" w:rsidR="007C4598" w:rsidRDefault="00000000">
            <w:pPr>
              <w:spacing w:after="40"/>
            </w:pPr>
            <w:r>
              <w:t>&lt; 8 punti</w:t>
            </w:r>
          </w:p>
        </w:tc>
      </w:tr>
      <w:tr w:rsidR="007C4598" w14:paraId="7513A604"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38E0BF8" w14:textId="77777777" w:rsidR="007C4598" w:rsidRDefault="00000000">
            <w:pPr>
              <w:spacing w:after="40"/>
            </w:pPr>
            <w:r>
              <w:t>Aumento dell’utilità media della popolazione presa in carico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B6DF227" w14:textId="77777777" w:rsidR="007C4598" w:rsidRDefault="00000000">
            <w:pPr>
              <w:spacing w:after="40"/>
            </w:pPr>
            <w:r>
              <w:t>~0,10 (~0,06–0,14)</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3EF7977" w14:textId="77777777" w:rsidR="007C4598" w:rsidRDefault="00000000">
            <w:pPr>
              <w:spacing w:after="40"/>
            </w:pPr>
            <w:r>
              <w:t>&lt; 0,06</w:t>
            </w:r>
          </w:p>
        </w:tc>
      </w:tr>
    </w:tbl>
    <w:p w14:paraId="0DD4D4DA" w14:textId="77777777" w:rsidR="007C4598" w:rsidRDefault="007C4598"/>
    <w:p w14:paraId="38F66A2A" w14:textId="77777777" w:rsidR="007C4598" w:rsidRDefault="00000000">
      <w:pPr>
        <w:jc w:val="both"/>
      </w:pPr>
      <w:r>
        <w:rPr>
          <w:i/>
          <w:iCs/>
        </w:rPr>
        <w:t>Tabella 11.7 — Le previsioni falsificabili sulla qualità della vita delle persone, nello scenario intermedio, ciascuna con la banda prevista e la soglia di confutazione. Ogni previsione è smentita se l’esito osservato si colloca al di sotto della soglia; la verifica è affidata alla quindicesima parte, attraverso la misurazione degli esiti sulla popolazione reale.</w:t>
      </w:r>
    </w:p>
    <w:p w14:paraId="6053A539" w14:textId="77777777" w:rsidR="007C4598" w:rsidRDefault="007C4598"/>
    <w:p w14:paraId="03F65EFE" w14:textId="77777777" w:rsidR="007C4598" w:rsidRDefault="00000000">
      <w:pPr>
        <w:jc w:val="both"/>
      </w:pPr>
      <w:r>
        <w:t>Le previsioni sulla qualità della vita sono corredate dei metodi con cui saranno verificate a posteriori, che ne completano la forma falsificabile. I guadagni di salute cumulati saranno verificati attraverso la stima ex-post dei guadagni di utilità sulla popolazione presa in carico, ricavata dai dati amministrativi e dalle indagini sulla popolazione trattata, convertendo le misure di esito clinico in pesi di utilità e accumulandone i guadagni lungo il periodo. La riduzione del disagio non intercettato sarà verificata attraverso il confronto delle indagini di prevalenza condotte prima e dopo la riforma, che misurano la quota della popolazione affetta da disagio comune non intercettato. Il restringimento del divario di trattamento sarà verificato attraverso il confronto della quota della popolazione affetta da disagio comune che risulta in trattamento, ricavata dai dati dei servizi e dalle indagini. L’aumento dell’utilità media della popolazione presa in carico sarà verificato attraverso la misurazione della qualità della vita della coorte presa in carico, prima e dopo il trattamento. Questi metodi di verifica fanno di ciascuna previsione un enunciato controllabile, di cui la quindicesima parte condurrà il riscontro, confrontando la previsione con l’esito osservato e dichiarando se la previsione si sia avverata o sia stata smentita.</w:t>
      </w:r>
      <w:r>
        <w:rPr>
          <w:color w:val="555555"/>
          <w:sz w:val="16"/>
          <w:szCs w:val="16"/>
          <w:vertAlign w:val="superscript"/>
        </w:rPr>
        <w:t>[10]</w:t>
      </w:r>
    </w:p>
    <w:p w14:paraId="1DA6DD3D"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42B8E5D3"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5823205" w14:textId="77777777" w:rsidR="007C4598" w:rsidRDefault="00000000">
            <w:pPr>
              <w:spacing w:after="40"/>
            </w:pPr>
            <w:r>
              <w:rPr>
                <w:b/>
                <w:bCs/>
                <w:color w:val="FFFFFF"/>
                <w:sz w:val="18"/>
                <w:szCs w:val="18"/>
              </w:rPr>
              <w:t xml:space="preserve">◆ SEGNAPOSTO INFOGRAFICA — FIG. 11.C · DA INSERIRE A POSTERIORI Titolo previsto: L’accumulo dei guadagni di salute lungo l’orizzonte decennale, per scenario — Puglia CODICE CANVA-FRIENDLY (scheda di generazione) Tipo di grafico: grafico ad area cumulata (cumulative area chart) che rappresenta, sull’asse orizzontale gli anni dell’orizzonte (da 1 a 10), e sull’asse verticale i guadagni di salute cumulati attualizzati (anni di vita in buona salute), per i tre scenari di copertura. Lettura: tre curve cumulate crescenti (una per scenario) che salgono dall’origine, dapprima con pendenza minore (fase di avvio, </w:t>
            </w:r>
            <w:proofErr w:type="spellStart"/>
            <w:r>
              <w:rPr>
                <w:b/>
                <w:bCs/>
                <w:color w:val="FFFFFF"/>
                <w:sz w:val="18"/>
                <w:szCs w:val="18"/>
              </w:rPr>
              <w:t>ramp</w:t>
            </w:r>
            <w:proofErr w:type="spellEnd"/>
            <w:r>
              <w:rPr>
                <w:b/>
                <w:bCs/>
                <w:color w:val="FFFFFF"/>
                <w:sz w:val="18"/>
                <w:szCs w:val="18"/>
              </w:rPr>
              <w:t xml:space="preserve">-up) e poi con pendenza maggiore (regime); a cinque anni le curve raggiungono ~5.000/~8.500/~12.000, a dieci anni ~10.000/~17.000/~24.000; due linee verticali tratteggiate segnalano il quinto e il decimo anno. Palette: area conservativo in blu chiaro #5B7BB0; intermedio in blu medio #244272; espansivo in blu </w:t>
            </w:r>
            <w:proofErr w:type="spellStart"/>
            <w:r>
              <w:rPr>
                <w:b/>
                <w:bCs/>
                <w:color w:val="FFFFFF"/>
                <w:sz w:val="18"/>
                <w:szCs w:val="18"/>
              </w:rPr>
              <w:t>navy</w:t>
            </w:r>
            <w:proofErr w:type="spellEnd"/>
            <w:r>
              <w:rPr>
                <w:b/>
                <w:bCs/>
                <w:color w:val="FFFFFF"/>
                <w:sz w:val="18"/>
                <w:szCs w:val="18"/>
              </w:rPr>
              <w:t xml:space="preserve"> #16264B; linee dei traguardi tratteggiate in oro #C49A48; griglia in grigio #D8D8D8.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etichette degli assi Medium, valori dei traguardi </w:t>
            </w:r>
            <w:proofErr w:type="spellStart"/>
            <w:r>
              <w:rPr>
                <w:b/>
                <w:bCs/>
                <w:color w:val="FFFFFF"/>
                <w:sz w:val="18"/>
                <w:szCs w:val="18"/>
              </w:rPr>
              <w:t>Bold</w:t>
            </w:r>
            <w:proofErr w:type="spellEnd"/>
            <w:r>
              <w:rPr>
                <w:b/>
                <w:bCs/>
                <w:color w:val="FFFFFF"/>
                <w:sz w:val="18"/>
                <w:szCs w:val="18"/>
              </w:rPr>
              <w:t xml:space="preserve">.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xml:space="preserve">. Valori da rappresentare: a 5 anni: ~5.000/~8.500/~12.000; a 10 anni: ~10.000/~17.000/~24.000. La pendenza minore nei primi due-tre anni rende il </w:t>
            </w:r>
            <w:proofErr w:type="spellStart"/>
            <w:r>
              <w:rPr>
                <w:b/>
                <w:bCs/>
                <w:color w:val="FFFFFF"/>
                <w:sz w:val="18"/>
                <w:szCs w:val="18"/>
              </w:rPr>
              <w:t>ramp</w:t>
            </w:r>
            <w:proofErr w:type="spellEnd"/>
            <w:r>
              <w:rPr>
                <w:b/>
                <w:bCs/>
                <w:color w:val="FFFFFF"/>
                <w:sz w:val="18"/>
                <w:szCs w:val="18"/>
              </w:rPr>
              <w:t xml:space="preserve">-up; la pendenza maggiore successiva rende il regime. Variante 3D (consigliata): le tre aree cumulate come superfici a quote crescenti; i traguardi del quinto e del decimo anno come piani verticali; la fase di avvio in tono più chiaro, la fase di regime in tono più intenso. Fonte (piè di figura): Elaborazione dello studio; proiezione del modello di </w:t>
            </w:r>
            <w:proofErr w:type="spellStart"/>
            <w:r>
              <w:rPr>
                <w:b/>
                <w:bCs/>
                <w:color w:val="FFFFFF"/>
                <w:sz w:val="18"/>
                <w:szCs w:val="18"/>
              </w:rPr>
              <w:t>Markov</w:t>
            </w:r>
            <w:proofErr w:type="spellEnd"/>
            <w:r>
              <w:rPr>
                <w:b/>
                <w:bCs/>
                <w:color w:val="FFFFFF"/>
                <w:sz w:val="18"/>
                <w:szCs w:val="18"/>
              </w:rPr>
              <w:t xml:space="preserve"> con parametri invarianti cross-regionali; guadagni cumulati come da tabella 11.6. La figura deve rendere evidente l’accumulo dei guadagni di salute nel tempo, la fase di avvio in cui la pendenza è minore e la fase di regime in cui la pendenza cresce, e il raddoppio dei guadagni tra il quinto e il decimo anno.</w:t>
            </w:r>
          </w:p>
          <w:p w14:paraId="0EC5C0E3" w14:textId="77777777" w:rsidR="007C4598" w:rsidRDefault="00000000">
            <w:pPr>
              <w:spacing w:before="120" w:after="60"/>
              <w:jc w:val="center"/>
            </w:pPr>
            <w:r>
              <w:rPr>
                <w:noProof/>
              </w:rPr>
              <w:drawing>
                <wp:inline distT="0" distB="0" distL="0" distR="0" wp14:anchorId="23737EDA" wp14:editId="20D63203">
                  <wp:extent cx="8229600" cy="4629150"/>
                  <wp:effectExtent l="0" t="0" r="0" b="0"/>
                  <wp:docPr id="163" name="Infografica63" descr="L'accumulo dei guadagni di salute lungo l'orizzonte decenn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Infografica63"/>
                          <pic:cNvPicPr>
                            <a:picLocks noChangeAspect="1" noChangeArrowheads="1"/>
                          </pic:cNvPicPr>
                        </pic:nvPicPr>
                        <pic:blipFill>
                          <a:blip r:embed="rId115">
                            <a:extLst>
                              <a:ext uri="{96DAC541-7B7A-43D3-8B79-37D633B846F1}">
                                <asvg:svgBlip xmlns:asvg="http://schemas.microsoft.com/office/drawing/2016/SVG/main" r:embed="rId116"/>
                              </a:ext>
                            </a:extLst>
                          </a:blip>
                          <a:stretch>
                            <a:fillRect/>
                          </a:stretch>
                        </pic:blipFill>
                        <pic:spPr bwMode="auto">
                          <a:xfrm>
                            <a:off x="0" y="0"/>
                            <a:ext cx="8229600" cy="4629150"/>
                          </a:xfrm>
                          <a:prstGeom prst="rect">
                            <a:avLst/>
                          </a:prstGeom>
                          <a:noFill/>
                          <a:ln>
                            <a:noFill/>
                          </a:ln>
                        </pic:spPr>
                      </pic:pic>
                    </a:graphicData>
                  </a:graphic>
                </wp:inline>
              </w:drawing>
            </w:r>
          </w:p>
          <w:p w14:paraId="53857A7D" w14:textId="77777777" w:rsidR="007C4598" w:rsidRDefault="00000000">
            <w:pPr>
              <w:spacing w:before="40" w:after="200"/>
              <w:jc w:val="center"/>
            </w:pPr>
            <w:r>
              <w:rPr>
                <w:i/>
                <w:color w:val="2E5A8F"/>
                <w:sz w:val="16"/>
                <w:szCs w:val="16"/>
              </w:rPr>
              <w:t>Fig. 11.C — L'accumulo dei guadagni di salute lungo l'orizzonte decennale. Elaborazione dello studio · Luigi De Michele · Giugno 2026.</w:t>
            </w:r>
          </w:p>
        </w:tc>
      </w:tr>
    </w:tbl>
    <w:p w14:paraId="4A55B661" w14:textId="77777777" w:rsidR="007C4598" w:rsidRDefault="007C4598"/>
    <w:p w14:paraId="55428233" w14:textId="77777777" w:rsidR="007C4598" w:rsidRDefault="00000000">
      <w:pPr>
        <w:pStyle w:val="Titolo2"/>
        <w:spacing w:before="200" w:after="100"/>
      </w:pPr>
      <w:r>
        <w:rPr>
          <w:sz w:val="22"/>
          <w:szCs w:val="22"/>
        </w:rPr>
        <w:t>11.3.5  La graduazione, le bande e i confini delle previsioni sulla qualità della vita</w:t>
      </w:r>
    </w:p>
    <w:p w14:paraId="7389CBFF" w14:textId="77777777" w:rsidR="007C4598" w:rsidRDefault="007C4598"/>
    <w:p w14:paraId="0863DDF1" w14:textId="77777777" w:rsidR="007C4598" w:rsidRDefault="00000000">
      <w:pPr>
        <w:jc w:val="both"/>
      </w:pPr>
      <w:r>
        <w:t>La solidità delle previsioni sulla qualità della vita va dichiarata, distinguendone le componenti. La direzione delle previsioni — il miglioramento della qualità della vita, la riduzione del disagio non intercettato, il restringimento del divario, l’aumento dell’utilità — è sostenuta da fondamento solido, perché discende dalla modificazione delle transizioni operata dalla riforma, a sua volta fondata sull’efficacia del trattamento graduata da moderata ad alta nella sesta parte: che la presa in carico migliori la qualità della vita è conclusione robusta. L’entità delle previsioni — i valori puntuali dei guadagni cumulati, delle riduzioni, dei restringimenti — è invece sostenuta da evidenza di qualità moderata, perché dipende dai parametri del modello, soggetti all’incertezza riflessa nelle bande e propagata dall’analisi di sensibilità; le previsioni sono perciò formulate come bande, e non come valori puntuali, e le soglie di confutazione sono collocate al di sotto delle bande, sì che la previsione sia smentita soltanto da un esito sensibilmente inferiore. Le previsioni sulla qualità della vita sono dunque solide nella direzione e graduate da moderata nell’entità, e la loro forma falsificabile riflette questa graduazione, esponendo alla confutazione l’entità prevista entro le bande dichiarate.</w:t>
      </w:r>
      <w:r>
        <w:rPr>
          <w:color w:val="555555"/>
          <w:sz w:val="16"/>
          <w:szCs w:val="16"/>
          <w:vertAlign w:val="superscript"/>
        </w:rPr>
        <w:t>[11]</w:t>
      </w:r>
    </w:p>
    <w:p w14:paraId="7A461407" w14:textId="77777777" w:rsidR="007C4598" w:rsidRDefault="007C4598"/>
    <w:p w14:paraId="6D7B5A8F" w14:textId="77777777" w:rsidR="007C4598" w:rsidRDefault="00000000">
      <w:pPr>
        <w:jc w:val="both"/>
      </w:pPr>
      <w:r>
        <w:t>Da questa graduazione discendono i confini delle previsioni e il loro rapporto con la verifica. In primo luogo, le previsioni sulla qualità della vita sono proiezioni del modello, e ne ereditano i confini: esse dipendono dai parametri invarianti e dalla struttura del modello, e una loro revisione, alla luce di dati pugliesi specifici, potrebbe modificarne l’entità entro le bande. In secondo luogo, le previsioni sono riferite agli esiti di salute, distinti dagli esiti fiscali e sociali oggetto delle voci successive; il miglioramento della qualità della vita è la finalità prima della riforma, ma non esaurisce il suo valore, che si estende alle altre dimensioni. In terzo luogo, la verifica delle previsioni richiede la misurazione degli esiti sulla popolazione reale, che la quindicesima parte condurrà attraverso i metodi indicati; e la falsificabilità delle previsioni riposa su tale verifica, senza la quale le previsioni resterebbero enunciati non controllati. Le previsioni sulla qualità della vita stabiliscono così il primo gruppo di enunciati falsificabili della parte, riferito alla finalità prima della riforma, e lo consegnano alla verifica della quindicesima parte. Stabilite le previsioni sulla qualità della vita, la parte può ora formulare quelle sui bilanci regionali.</w:t>
      </w:r>
    </w:p>
    <w:p w14:paraId="304E101E" w14:textId="77777777" w:rsidR="007C4598" w:rsidRDefault="007C4598"/>
    <w:p w14:paraId="3DCD2597" w14:textId="77777777" w:rsidR="007C4598" w:rsidRDefault="00000000">
      <w:pPr>
        <w:pStyle w:val="Titolo1"/>
        <w:pageBreakBefore/>
      </w:pPr>
      <w:r>
        <w:rPr>
          <w:sz w:val="22"/>
          <w:szCs w:val="22"/>
        </w:rPr>
        <w:t>11.4  Le previsioni falsificabili sui bilanci regionali</w:t>
      </w:r>
    </w:p>
    <w:p w14:paraId="0227F1C5" w14:textId="77777777" w:rsidR="007C4598" w:rsidRDefault="007C4598"/>
    <w:p w14:paraId="5172B2DC" w14:textId="77777777" w:rsidR="007C4598" w:rsidRDefault="00000000">
      <w:pPr>
        <w:jc w:val="both"/>
      </w:pPr>
      <w:r>
        <w:rPr>
          <w:i/>
          <w:iCs/>
        </w:rPr>
        <w:t xml:space="preserve">La quarta voce formula le previsioni falsificabili sul secondo ambito su cui la riforma incide: i bilanci regionali, e segnatamente il bilancio sanitario regionale. Essa traduce i risultati dell’analisi di impatto di bilancio, proiettati lungo il quinquennio, in previsioni sulla traiettoria dell’impatto netto, sui risparmi diretti, sul progressivo avvicinamento al pareggio fiscale e sull’incidenza sul Fondo sanitario regionale; e corredata ciascuna previsione della banda, della soglia di confutazione e del metodo di verifica. La voce conserva, in coerenza con l’intero studio, il </w:t>
      </w:r>
      <w:proofErr w:type="spellStart"/>
      <w:r>
        <w:rPr>
          <w:i/>
          <w:iCs/>
        </w:rPr>
        <w:t>caveat</w:t>
      </w:r>
      <w:proofErr w:type="spellEnd"/>
      <w:r>
        <w:rPr>
          <w:i/>
          <w:iCs/>
        </w:rPr>
        <w:t xml:space="preserve"> dell’IMPACT trial sui risparmi diretti, e formula perciò le previsioni anche nella variante prudenziale che esclude i risparmi, sicché il decisore disponga della previsione tanto nell’ipotesi che i risparmi si realizzino quanto nell’ipotesi che non si realizzino.</w:t>
      </w:r>
    </w:p>
    <w:p w14:paraId="384486C7" w14:textId="77777777" w:rsidR="007C4598" w:rsidRDefault="007C4598"/>
    <w:p w14:paraId="37F35D81" w14:textId="77777777" w:rsidR="007C4598" w:rsidRDefault="00000000">
      <w:pPr>
        <w:pStyle w:val="Titolo2"/>
        <w:spacing w:before="200" w:after="100"/>
      </w:pPr>
      <w:r>
        <w:rPr>
          <w:sz w:val="22"/>
          <w:szCs w:val="22"/>
        </w:rPr>
        <w:t>11.4.1  La logica della previsione falsificabile sui bilanci</w:t>
      </w:r>
    </w:p>
    <w:p w14:paraId="0E56F635" w14:textId="77777777" w:rsidR="007C4598" w:rsidRDefault="007C4598"/>
    <w:p w14:paraId="393008A6" w14:textId="77777777" w:rsidR="007C4598" w:rsidRDefault="00000000">
      <w:pPr>
        <w:jc w:val="both"/>
      </w:pPr>
      <w:r>
        <w:t>I bilanci regionali sono il secondo ambito su cui la riforma incide, e la previsione del suo impatto sul bilancio sanitario è la previsione che più direttamente interessa il decisore pubblico. La riforma comporta un costo per il bilancio sanitario regionale, che ne finanzia l’attuazione, e genera per il medesimo bilancio dei risparmi, attraverso la riduzione della spesa sanitaria che il miglioramento clinico produce; e l’impatto netto sul bilancio è la differenza tra il costo e i risparmi, che misura l’onere effettivo della riforma per le finanze regionali. La previsione dell’impatto sul bilancio è la previsione che più direttamente interessa il decisore pubblico, perché attiene alla sostenibilità finanziaria della riforma, ossia alla sua compatibilità con i vincoli del bilancio sanitario; ed è perciò formulata con particolare cura, distinguendo la traiettoria temporale dell’impatto, che muove dal costo iniziale verso il pareggio a regime, e l’incidenza dell’impatto sul Fondo sanitario regionale, che ne misura il peso relativo. La previsione sui bilanci è la traduzione fiscale della proiezione, riferita al bilancio sanitario regionale.</w:t>
      </w:r>
    </w:p>
    <w:p w14:paraId="02C8A765" w14:textId="77777777" w:rsidR="007C4598" w:rsidRDefault="007C4598"/>
    <w:p w14:paraId="66CA6E0F" w14:textId="77777777" w:rsidR="007C4598" w:rsidRDefault="00000000">
      <w:pPr>
        <w:jc w:val="both"/>
      </w:pPr>
      <w:r>
        <w:t xml:space="preserve">La previsione falsificabile sui bilanci è formulata, come le altre, in forma controllabile, ma con una particolarità che discende dal </w:t>
      </w:r>
      <w:proofErr w:type="spellStart"/>
      <w:r>
        <w:t>caveat</w:t>
      </w:r>
      <w:proofErr w:type="spellEnd"/>
      <w:r>
        <w:t xml:space="preserve"> dell’IMPACT trial. Il </w:t>
      </w:r>
      <w:proofErr w:type="spellStart"/>
      <w:r>
        <w:t>caveat</w:t>
      </w:r>
      <w:proofErr w:type="spellEnd"/>
      <w:r>
        <w:t xml:space="preserve">, preservato nell’intero studio, avverte che i risparmi sui costi sanitari diretti, ancorché presenti, non raggiungono la significatività statistica, e che la previsione dei risparmi è perciò soggetta a un’incertezza maggiore di quella delle altre grandezze. Per ossequio a tale </w:t>
      </w:r>
      <w:proofErr w:type="spellStart"/>
      <w:r>
        <w:t>caveat</w:t>
      </w:r>
      <w:proofErr w:type="spellEnd"/>
      <w:r>
        <w:t xml:space="preserve">, la voce formula le previsioni sui bilanci in due varianti: la variante centrale, che computa i risparmi diretti e perviene all’impatto netto; e la variante prudenziale, che esclude i risparmi diretti e perviene a un impatto netto pari al costo lordo. La variante centrale è la previsione più probabile, fondata sull’evidenza che i risparmi si realizzino; la variante prudenziale è la previsione di garanzia, che vale anche nell’ipotesi che i risparmi non si realizzino, e che fornisce al decisore il limite superiore dell’onere. La duplice formulazione è la traduzione, nella previsione, del </w:t>
      </w:r>
      <w:proofErr w:type="spellStart"/>
      <w:r>
        <w:t>caveat</w:t>
      </w:r>
      <w:proofErr w:type="spellEnd"/>
      <w:r>
        <w:t xml:space="preserve"> dell’IMPACT trial: essa non nasconde l’incertezza dei risparmi, ma la espone, fornendo la previsione in entrambe le ipotesi, e affidando alla verifica ex-post la determinazione di quale delle due si avveri.</w:t>
      </w:r>
      <w:r>
        <w:rPr>
          <w:color w:val="555555"/>
          <w:sz w:val="16"/>
          <w:szCs w:val="16"/>
          <w:vertAlign w:val="superscript"/>
        </w:rPr>
        <w:t>[12]</w:t>
      </w:r>
    </w:p>
    <w:p w14:paraId="7EED2145" w14:textId="77777777" w:rsidR="007C4598" w:rsidRDefault="007C4598"/>
    <w:p w14:paraId="6A225384" w14:textId="77777777" w:rsidR="007C4598" w:rsidRDefault="00000000">
      <w:pPr>
        <w:pStyle w:val="Titolo2"/>
        <w:spacing w:before="200" w:after="100"/>
      </w:pPr>
      <w:r>
        <w:rPr>
          <w:sz w:val="22"/>
          <w:szCs w:val="22"/>
        </w:rPr>
        <w:t>11.4.2  Le previsioni sulla traiettoria dell’impatto di bilancio</w:t>
      </w:r>
    </w:p>
    <w:p w14:paraId="41EAEE1B" w14:textId="77777777" w:rsidR="007C4598" w:rsidRDefault="007C4598"/>
    <w:p w14:paraId="6CBD6503" w14:textId="77777777" w:rsidR="007C4598" w:rsidRDefault="00000000">
      <w:pPr>
        <w:jc w:val="both"/>
      </w:pPr>
      <w:r>
        <w:t>La prima previsione sui bilanci riguarda la traiettoria temporale dell’impatto netto sul bilancio sanitario, che muove dal costo iniziale verso il pareggio a regime. L’analisi di impatto di bilancio, proiettata lungo il quinquennio, mostra che l’impatto netto della riforma segue una traiettoria decrescente: nei primi anni, il costo è elevato e i risparmi sono ancora modesti, perché il miglioramento clinico non ha ancora maturato i suoi effetti sulla spesa, e l’impatto netto è perciò elevato; negli anni successivi, il costo si stabilizza al livello di regime mentre i risparmi crescono, perché il miglioramento clinico matura i suoi effetti, e l’impatto netto perciò decresce, avvicinandosi al pareggio. La traiettoria dell’impatto netto è dunque decrescente, dal costo iniziale verso il pareggio a regime, e riflette il progressivo maturare dei risparmi che il miglioramento clinico produce. La tabella che segue espone la traiettoria quinquennale dell’impatto di bilancio nello scenario intermedio.</w:t>
      </w:r>
    </w:p>
    <w:p w14:paraId="38D910D0"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505"/>
        <w:gridCol w:w="1505"/>
        <w:gridCol w:w="1504"/>
        <w:gridCol w:w="1504"/>
        <w:gridCol w:w="1504"/>
        <w:gridCol w:w="1504"/>
      </w:tblGrid>
      <w:tr w:rsidR="007C4598" w14:paraId="6D9C6CB4" w14:textId="77777777">
        <w:tc>
          <w:tcPr>
            <w:tcW w:w="1504"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A66C49D" w14:textId="77777777" w:rsidR="007C4598" w:rsidRDefault="00000000">
            <w:pPr>
              <w:spacing w:after="40"/>
            </w:pPr>
            <w:r>
              <w:rPr>
                <w:b/>
                <w:bCs/>
                <w:color w:val="FFFFFF"/>
                <w:sz w:val="18"/>
                <w:szCs w:val="18"/>
              </w:rPr>
              <w:t>Voce (scenario intermedio, milioni di euro)</w:t>
            </w:r>
          </w:p>
        </w:tc>
        <w:tc>
          <w:tcPr>
            <w:tcW w:w="1504"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391BF0F" w14:textId="77777777" w:rsidR="007C4598" w:rsidRDefault="00000000">
            <w:pPr>
              <w:spacing w:after="40"/>
            </w:pPr>
            <w:r>
              <w:rPr>
                <w:b/>
                <w:bCs/>
                <w:color w:val="FFFFFF"/>
                <w:sz w:val="18"/>
                <w:szCs w:val="18"/>
              </w:rPr>
              <w:t>Anno 1</w:t>
            </w:r>
          </w:p>
        </w:tc>
        <w:tc>
          <w:tcPr>
            <w:tcW w:w="1504"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95B7E3D" w14:textId="77777777" w:rsidR="007C4598" w:rsidRDefault="00000000">
            <w:pPr>
              <w:spacing w:after="40"/>
            </w:pPr>
            <w:r>
              <w:rPr>
                <w:b/>
                <w:bCs/>
                <w:color w:val="FFFFFF"/>
                <w:sz w:val="18"/>
                <w:szCs w:val="18"/>
              </w:rPr>
              <w:t>Anno 2</w:t>
            </w:r>
          </w:p>
        </w:tc>
        <w:tc>
          <w:tcPr>
            <w:tcW w:w="1504"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606B131" w14:textId="77777777" w:rsidR="007C4598" w:rsidRDefault="00000000">
            <w:pPr>
              <w:spacing w:after="40"/>
            </w:pPr>
            <w:r>
              <w:rPr>
                <w:b/>
                <w:bCs/>
                <w:color w:val="FFFFFF"/>
                <w:sz w:val="18"/>
                <w:szCs w:val="18"/>
              </w:rPr>
              <w:t>Anno 3</w:t>
            </w:r>
          </w:p>
        </w:tc>
        <w:tc>
          <w:tcPr>
            <w:tcW w:w="1504"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9C88622" w14:textId="77777777" w:rsidR="007C4598" w:rsidRDefault="00000000">
            <w:pPr>
              <w:spacing w:after="40"/>
            </w:pPr>
            <w:r>
              <w:rPr>
                <w:b/>
                <w:bCs/>
                <w:color w:val="FFFFFF"/>
                <w:sz w:val="18"/>
                <w:szCs w:val="18"/>
              </w:rPr>
              <w:t>Anno 4</w:t>
            </w:r>
          </w:p>
        </w:tc>
        <w:tc>
          <w:tcPr>
            <w:tcW w:w="1504"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CCE9E52" w14:textId="77777777" w:rsidR="007C4598" w:rsidRDefault="00000000">
            <w:pPr>
              <w:spacing w:after="40"/>
            </w:pPr>
            <w:r>
              <w:rPr>
                <w:b/>
                <w:bCs/>
                <w:color w:val="FFFFFF"/>
                <w:sz w:val="18"/>
                <w:szCs w:val="18"/>
              </w:rPr>
              <w:t>Anno 5</w:t>
            </w:r>
          </w:p>
        </w:tc>
      </w:tr>
      <w:tr w:rsidR="007C4598" w14:paraId="121D6A4C" w14:textId="77777777">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5032915" w14:textId="77777777" w:rsidR="007C4598" w:rsidRDefault="00000000">
            <w:pPr>
              <w:spacing w:after="40"/>
            </w:pPr>
            <w:r>
              <w:t>Costo lordo del programma</w:t>
            </w:r>
          </w:p>
        </w:tc>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54BCF7E" w14:textId="77777777" w:rsidR="007C4598" w:rsidRDefault="00000000">
            <w:pPr>
              <w:spacing w:after="40"/>
            </w:pPr>
            <w:r>
              <w:t>22</w:t>
            </w:r>
          </w:p>
        </w:tc>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863C57A" w14:textId="77777777" w:rsidR="007C4598" w:rsidRDefault="00000000">
            <w:pPr>
              <w:spacing w:after="40"/>
            </w:pPr>
            <w:r>
              <w:t>32</w:t>
            </w:r>
          </w:p>
        </w:tc>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69BB5B5" w14:textId="77777777" w:rsidR="007C4598" w:rsidRDefault="00000000">
            <w:pPr>
              <w:spacing w:after="40"/>
            </w:pPr>
            <w:r>
              <w:t>38</w:t>
            </w:r>
          </w:p>
        </w:tc>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E96B92C" w14:textId="77777777" w:rsidR="007C4598" w:rsidRDefault="00000000">
            <w:pPr>
              <w:spacing w:after="40"/>
            </w:pPr>
            <w:r>
              <w:t>38</w:t>
            </w:r>
          </w:p>
        </w:tc>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74A8D59" w14:textId="77777777" w:rsidR="007C4598" w:rsidRDefault="00000000">
            <w:pPr>
              <w:spacing w:after="40"/>
            </w:pPr>
            <w:r>
              <w:t>38</w:t>
            </w:r>
          </w:p>
        </w:tc>
      </w:tr>
      <w:tr w:rsidR="007C4598" w14:paraId="71BC63BB" w14:textId="77777777">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D83ACB8" w14:textId="77777777" w:rsidR="007C4598" w:rsidRDefault="00000000">
            <w:pPr>
              <w:spacing w:after="40"/>
            </w:pPr>
            <w:r>
              <w:t>Risparmi diretti</w:t>
            </w:r>
          </w:p>
        </w:tc>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F85D0C9" w14:textId="77777777" w:rsidR="007C4598" w:rsidRDefault="00000000">
            <w:pPr>
              <w:spacing w:after="40"/>
            </w:pPr>
            <w:r>
              <w:t>2</w:t>
            </w:r>
          </w:p>
        </w:tc>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BA75C81" w14:textId="77777777" w:rsidR="007C4598" w:rsidRDefault="00000000">
            <w:pPr>
              <w:spacing w:after="40"/>
            </w:pPr>
            <w:r>
              <w:t>9</w:t>
            </w:r>
          </w:p>
        </w:tc>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E947E27" w14:textId="77777777" w:rsidR="007C4598" w:rsidRDefault="00000000">
            <w:pPr>
              <w:spacing w:after="40"/>
            </w:pPr>
            <w:r>
              <w:t>18</w:t>
            </w:r>
          </w:p>
        </w:tc>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1B88E56" w14:textId="77777777" w:rsidR="007C4598" w:rsidRDefault="00000000">
            <w:pPr>
              <w:spacing w:after="40"/>
            </w:pPr>
            <w:r>
              <w:t>27</w:t>
            </w:r>
          </w:p>
        </w:tc>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0394FEF" w14:textId="77777777" w:rsidR="007C4598" w:rsidRDefault="00000000">
            <w:pPr>
              <w:spacing w:after="40"/>
            </w:pPr>
            <w:r>
              <w:t>34</w:t>
            </w:r>
          </w:p>
        </w:tc>
      </w:tr>
      <w:tr w:rsidR="007C4598" w14:paraId="54EDB5EB" w14:textId="77777777">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34AE9F4" w14:textId="77777777" w:rsidR="007C4598" w:rsidRDefault="00000000">
            <w:pPr>
              <w:spacing w:after="40"/>
            </w:pPr>
            <w:r>
              <w:t>Impatto netto sul bilancio</w:t>
            </w:r>
          </w:p>
        </w:tc>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BFE1A92" w14:textId="77777777" w:rsidR="007C4598" w:rsidRDefault="00000000">
            <w:pPr>
              <w:spacing w:after="40"/>
            </w:pPr>
            <w:r>
              <w:t>+20</w:t>
            </w:r>
          </w:p>
        </w:tc>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E4E2036" w14:textId="77777777" w:rsidR="007C4598" w:rsidRDefault="00000000">
            <w:pPr>
              <w:spacing w:after="40"/>
            </w:pPr>
            <w:r>
              <w:t>+23</w:t>
            </w:r>
          </w:p>
        </w:tc>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636BB44" w14:textId="77777777" w:rsidR="007C4598" w:rsidRDefault="00000000">
            <w:pPr>
              <w:spacing w:after="40"/>
            </w:pPr>
            <w:r>
              <w:t>+20</w:t>
            </w:r>
          </w:p>
        </w:tc>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CBAFF16" w14:textId="77777777" w:rsidR="007C4598" w:rsidRDefault="00000000">
            <w:pPr>
              <w:spacing w:after="40"/>
            </w:pPr>
            <w:r>
              <w:t>+11</w:t>
            </w:r>
          </w:p>
        </w:tc>
        <w:tc>
          <w:tcPr>
            <w:tcW w:w="1504"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CD8D198" w14:textId="77777777" w:rsidR="007C4598" w:rsidRDefault="00000000">
            <w:pPr>
              <w:spacing w:after="40"/>
            </w:pPr>
            <w:r>
              <w:t>+4</w:t>
            </w:r>
          </w:p>
        </w:tc>
      </w:tr>
    </w:tbl>
    <w:p w14:paraId="3E68E265" w14:textId="77777777" w:rsidR="007C4598" w:rsidRDefault="007C4598"/>
    <w:p w14:paraId="58C2175A" w14:textId="77777777" w:rsidR="007C4598" w:rsidRDefault="00000000">
      <w:pPr>
        <w:jc w:val="both"/>
      </w:pPr>
      <w:r>
        <w:rPr>
          <w:i/>
          <w:iCs/>
        </w:rPr>
        <w:t>Tabella 11.8 — Traiettoria quinquennale dell’impatto di bilancio, nello scenario intermedio (milioni di euro). Il costo lordo cresce nella fase di avvio e si stabilizza al regime; i risparmi diretti crescono progressivamente al maturare del miglioramento clinico; l’impatto netto, dopo un massimo iniziale, decresce verso il pareggio (da +20 a +4 milioni nel quinquennio).</w:t>
      </w:r>
    </w:p>
    <w:p w14:paraId="2906CFA8" w14:textId="77777777" w:rsidR="007C4598" w:rsidRDefault="007C4598"/>
    <w:p w14:paraId="05593275" w14:textId="77777777" w:rsidR="007C4598" w:rsidRDefault="00000000">
      <w:pPr>
        <w:jc w:val="both"/>
      </w:pPr>
      <w:r>
        <w:t xml:space="preserve">La traiettoria così proiettata fonda la prima previsione falsificabile sui bilanci. La previsione è che l’impatto netto sul bilancio sanitario regionale, nello scenario intermedio, segua una traiettoria decrescente, da un massimo dell’ordine di venti milioni nei primi anni a un valore dell’ordine di quattro milioni al quinto anno, entro una banda compresa, al quinto anno, tra il pareggio e circa undici milioni; e la previsione è smentita se l’impatto netto al quinto anno si collocasse al di sopra della soglia di confutazione, posta a venti milioni, ossia se l’impatto non decrescesse rispetto al massimo iniziale, segnalando il mancato maturare dei risparmi. La traiettoria decrescente dell’impatto netto è la previsione centrale, che presuppone il maturare dei risparmi; ma il </w:t>
      </w:r>
      <w:proofErr w:type="spellStart"/>
      <w:r>
        <w:t>caveat</w:t>
      </w:r>
      <w:proofErr w:type="spellEnd"/>
      <w:r>
        <w:t xml:space="preserve"> dell’IMPACT trial impone di affiancarvi la variante prudenziale, secondo cui, ove i risparmi non si realizzassero, l’impatto netto coinciderebbe con il costo lordo, e seguirebbe perciò una traiettoria crescente nella fase di avvio e stabile al regime, dell’ordine di trentotto milioni annui. La duplice previsione — decrescente verso il pareggio nella variante centrale, stabile al livello del costo lordo nella variante prudenziale — fornisce al decisore la traiettoria dell’impatto in entrambe le ipotesi sui risparmi, esponendo l’incertezza anziché nasconderla.</w:t>
      </w:r>
    </w:p>
    <w:p w14:paraId="49F15E7D" w14:textId="77777777" w:rsidR="007C4598" w:rsidRDefault="007C4598"/>
    <w:p w14:paraId="4BC2ACCA" w14:textId="77777777" w:rsidR="007C4598" w:rsidRDefault="00000000">
      <w:pPr>
        <w:pStyle w:val="Titolo2"/>
        <w:spacing w:before="200" w:after="100"/>
      </w:pPr>
      <w:r>
        <w:rPr>
          <w:sz w:val="22"/>
          <w:szCs w:val="22"/>
        </w:rPr>
        <w:t>11.4.3  Le previsioni sui risparmi diretti, sul pareggio e sull’incidenza sul Fondo</w:t>
      </w:r>
    </w:p>
    <w:p w14:paraId="066B90E3" w14:textId="77777777" w:rsidR="007C4598" w:rsidRDefault="007C4598"/>
    <w:p w14:paraId="67A1FD39" w14:textId="77777777" w:rsidR="007C4598" w:rsidRDefault="00000000">
      <w:pPr>
        <w:jc w:val="both"/>
      </w:pPr>
      <w:r>
        <w:t>La seconda, la terza e la quarta previsione sui bilanci riguardano i risparmi diretti a regime, l’impatto cumulato sul quinquennio e l’incidenza sul Fondo sanitario regionale. I risparmi diretti a regime misurano i risparmi che la riforma genera per il bilancio sanitario una volta maturato il miglioramento clinico, al quinto anno; essi sono l’indicatore della capacità della riforma di ridurre la spesa sanitaria attraverso il miglioramento clinico. L’impatto cumulato sul quinquennio misura la somma degli impatti netti annuali lungo i cinque anni, ossia l’onere complessivo della riforma per il bilancio nel primo quinquennio; esso è l’indicatore dell’investimento netto complessivo che la riforma richiede al bilancio prima di avvicinarsi al pareggio. L’incidenza sul Fondo sanitario regionale misura il peso dell’impatto netto a regime rispetto alla dimensione del Fondo; essa è l’indicatore del peso relativo della riforma sulle finanze sanitarie regionali, che ne attesta la sostenibilità. Questi tre indicatori articolano la previsione sui bilanci, dalla capacità di risparmio al peso relativo sul Fondo.</w:t>
      </w:r>
    </w:p>
    <w:p w14:paraId="4C7C6CB7" w14:textId="77777777" w:rsidR="007C4598" w:rsidRDefault="007C4598"/>
    <w:p w14:paraId="5C638FBB" w14:textId="77777777" w:rsidR="007C4598" w:rsidRDefault="00000000">
      <w:pPr>
        <w:jc w:val="both"/>
      </w:pPr>
      <w:r>
        <w:t xml:space="preserve">Le previsioni su questi indicatori sono formulate in forma falsificabile, nelle due varianti che il </w:t>
      </w:r>
      <w:proofErr w:type="spellStart"/>
      <w:r>
        <w:t>caveat</w:t>
      </w:r>
      <w:proofErr w:type="spellEnd"/>
      <w:r>
        <w:t xml:space="preserve"> dell’IMPACT trial impone. La previsione sui risparmi diretti a regime è che la riforma generi, nello scenario intermedio, risparmi diretti dell’ordine di trentaquattro milioni annui al quinto anno, entro una banda compresa tra circa ventisette e quarantuno milioni; e la previsione è smentita se i risparmi osservati si collocassero al di sotto della soglia di confutazione, posta a venti milioni. La previsione sull’impatto cumulato è che l’impatto netto cumulato sul quinquennio sia, nella variante centrale, dell’ordine di settantotto milioni, entro una banda compresa tra circa sessantacinque e novantacinque milioni, e, nella variante prudenziale che esclude i risparmi, dell’ordine di centosessantotto milioni, entro una banda compresa tra circa centocinquanta e </w:t>
      </w:r>
      <w:proofErr w:type="spellStart"/>
      <w:r>
        <w:t>centottantacinque</w:t>
      </w:r>
      <w:proofErr w:type="spellEnd"/>
      <w:r>
        <w:t xml:space="preserve"> milioni; e la previsione centrale è smentita se l’impatto cumulato osservato si collocasse al di sopra della soglia di confutazione, posta a centodieci milioni. La previsione sull’incidenza sul Fondo è che l’impatto netto a regime incida sul Fondo sanitario regionale per una quota inferiore al decimo di punto percentuale; e la previsione è smentita se l’incidenza osservata si collocasse al di sopra della soglia di confutazione, posta a due decimi di punto. La tabella che segue raccoglie le previsioni falsificabili sui bilanci.</w:t>
      </w:r>
    </w:p>
    <w:p w14:paraId="728DDE4F"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7E6C9B2B"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79673AF" w14:textId="77777777" w:rsidR="007C4598" w:rsidRDefault="00000000">
            <w:pPr>
              <w:spacing w:after="40"/>
            </w:pPr>
            <w:r>
              <w:rPr>
                <w:b/>
                <w:bCs/>
                <w:color w:val="FFFFFF"/>
                <w:sz w:val="18"/>
                <w:szCs w:val="18"/>
              </w:rPr>
              <w:t>Previsione falsificabile sui bilanci regionali (scenario intermedio)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1E0EB7F" w14:textId="77777777" w:rsidR="007C4598" w:rsidRDefault="00000000">
            <w:pPr>
              <w:spacing w:after="40"/>
            </w:pPr>
            <w:r>
              <w:rPr>
                <w:b/>
                <w:bCs/>
                <w:color w:val="FFFFFF"/>
                <w:sz w:val="18"/>
                <w:szCs w:val="18"/>
              </w:rPr>
              <w:t>Valore previsto (banda)</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CB748B1" w14:textId="77777777" w:rsidR="007C4598" w:rsidRDefault="00000000">
            <w:pPr>
              <w:spacing w:after="40"/>
            </w:pPr>
            <w:r>
              <w:rPr>
                <w:b/>
                <w:bCs/>
                <w:color w:val="FFFFFF"/>
                <w:sz w:val="18"/>
                <w:szCs w:val="18"/>
              </w:rPr>
              <w:t>Soglia di confutazione</w:t>
            </w:r>
          </w:p>
        </w:tc>
      </w:tr>
      <w:tr w:rsidR="007C4598" w14:paraId="0BCB9FD1"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789BDE7" w14:textId="77777777" w:rsidR="007C4598" w:rsidRDefault="00000000">
            <w:pPr>
              <w:spacing w:after="40"/>
            </w:pPr>
            <w:r>
              <w:t>Risparmi diretti annui a regime (anno 5, milioni)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A47155E" w14:textId="77777777" w:rsidR="007C4598" w:rsidRDefault="00000000">
            <w:pPr>
              <w:spacing w:after="40"/>
            </w:pPr>
            <w:r>
              <w:t>~34 (~27–41)</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40B97CE" w14:textId="77777777" w:rsidR="007C4598" w:rsidRDefault="00000000">
            <w:pPr>
              <w:spacing w:after="40"/>
            </w:pPr>
            <w:r>
              <w:t>&lt; 20</w:t>
            </w:r>
          </w:p>
        </w:tc>
      </w:tr>
      <w:tr w:rsidR="007C4598" w14:paraId="5FDAC3B6"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DBED092" w14:textId="77777777" w:rsidR="007C4598" w:rsidRDefault="00000000">
            <w:pPr>
              <w:spacing w:after="40"/>
            </w:pPr>
            <w:r>
              <w:t>Impatto netto annuo a regime (anno 5, milioni)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C543AFE" w14:textId="77777777" w:rsidR="007C4598" w:rsidRDefault="00000000">
            <w:pPr>
              <w:spacing w:after="40"/>
            </w:pPr>
            <w:r>
              <w:t>~+4 (pareggio–+11)</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66806D5" w14:textId="77777777" w:rsidR="007C4598" w:rsidRDefault="00000000">
            <w:pPr>
              <w:spacing w:after="40"/>
            </w:pPr>
            <w:r>
              <w:t>&gt; +20</w:t>
            </w:r>
          </w:p>
        </w:tc>
      </w:tr>
      <w:tr w:rsidR="007C4598" w14:paraId="529B0779"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6930F02" w14:textId="77777777" w:rsidR="007C4598" w:rsidRDefault="00000000">
            <w:pPr>
              <w:spacing w:after="40"/>
            </w:pPr>
            <w:r>
              <w:t>Impatto cumulato a cinque anni, variante centrale (milioni)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2B39D2A" w14:textId="77777777" w:rsidR="007C4598" w:rsidRDefault="00000000">
            <w:pPr>
              <w:spacing w:after="40"/>
            </w:pPr>
            <w:r>
              <w:t>~78 (~65–95)</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FA11B24" w14:textId="77777777" w:rsidR="007C4598" w:rsidRDefault="00000000">
            <w:pPr>
              <w:spacing w:after="40"/>
            </w:pPr>
            <w:r>
              <w:t>&gt; 110</w:t>
            </w:r>
          </w:p>
        </w:tc>
      </w:tr>
      <w:tr w:rsidR="007C4598" w14:paraId="745BDED1"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07A8D2B" w14:textId="77777777" w:rsidR="007C4598" w:rsidRDefault="00000000">
            <w:pPr>
              <w:spacing w:after="40"/>
            </w:pPr>
            <w:r>
              <w:t>Impatto cumulato a cinque anni, variante prudenziale (milioni)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88666CB" w14:textId="77777777" w:rsidR="007C4598" w:rsidRDefault="00000000">
            <w:pPr>
              <w:spacing w:after="40"/>
            </w:pPr>
            <w:r>
              <w:t>~168 (~150–185)</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72227C0" w14:textId="77777777" w:rsidR="007C4598" w:rsidRDefault="00000000">
            <w:pPr>
              <w:spacing w:after="40"/>
            </w:pPr>
            <w:r>
              <w:t>&gt; 200</w:t>
            </w:r>
          </w:p>
        </w:tc>
      </w:tr>
      <w:tr w:rsidR="007C4598" w14:paraId="435D54B3"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37FF1B0" w14:textId="77777777" w:rsidR="007C4598" w:rsidRDefault="00000000">
            <w:pPr>
              <w:spacing w:after="40"/>
            </w:pPr>
            <w:r>
              <w:t>Incidenza dell’impatto netto a regime sul Fondo sanitario regionale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E67A6DB" w14:textId="77777777" w:rsidR="007C4598" w:rsidRDefault="00000000">
            <w:pPr>
              <w:spacing w:after="40"/>
            </w:pPr>
            <w:r>
              <w:t>&lt; 0,1%</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979090F" w14:textId="77777777" w:rsidR="007C4598" w:rsidRDefault="00000000">
            <w:pPr>
              <w:spacing w:after="40"/>
            </w:pPr>
            <w:r>
              <w:t>&gt; 0,2%</w:t>
            </w:r>
          </w:p>
        </w:tc>
      </w:tr>
    </w:tbl>
    <w:p w14:paraId="6E871F1B" w14:textId="77777777" w:rsidR="007C4598" w:rsidRDefault="007C4598"/>
    <w:p w14:paraId="50C144F8" w14:textId="77777777" w:rsidR="007C4598" w:rsidRDefault="00000000">
      <w:pPr>
        <w:jc w:val="both"/>
      </w:pPr>
      <w:r>
        <w:rPr>
          <w:i/>
          <w:iCs/>
        </w:rPr>
        <w:t xml:space="preserve">Tabella 11.9 — Le previsioni falsificabili sui bilanci regionali, nello scenario intermedio, ciascuna con la banda prevista e la soglia di confutazione. L’impatto cumulato è formulato in due varianti — centrale (con risparmi) e prudenziale (senza risparmi) — in ossequio al </w:t>
      </w:r>
      <w:proofErr w:type="spellStart"/>
      <w:r>
        <w:rPr>
          <w:i/>
          <w:iCs/>
        </w:rPr>
        <w:t>caveat</w:t>
      </w:r>
      <w:proofErr w:type="spellEnd"/>
      <w:r>
        <w:rPr>
          <w:i/>
          <w:iCs/>
        </w:rPr>
        <w:t xml:space="preserve"> dell’IMPACT trial; ogni previsione è smentita se l’esito osservato supera la soglia.</w:t>
      </w:r>
    </w:p>
    <w:p w14:paraId="217FC92B" w14:textId="77777777" w:rsidR="007C4598" w:rsidRDefault="007C4598"/>
    <w:p w14:paraId="3E553FC0" w14:textId="77777777" w:rsidR="007C4598" w:rsidRDefault="00000000">
      <w:pPr>
        <w:jc w:val="both"/>
      </w:pPr>
      <w:r>
        <w:t xml:space="preserve">Le previsioni sui bilanci sono corredate dei metodi con cui saranno verificate a posteriori, che ne completano la forma falsificabile. I risparmi diretti a regime saranno verificati attraverso l’analisi ex-post della spesa sanitaria sulle voci che la riforma incide — la spesa farmaceutica, gli accessi al pronto soccorso, i ricoveri, la mobilità passiva, gli invii inappropriati — confrontandone l’andamento osservato con quello atteso in assenza di riforma, sui conti sanitari regionali. L’impatto netto e l’impatto cumulato saranno verificati attraverso la riconciliazione dei costi effettivi del programma e dei risparmi effettivi, sul bilancio sanitario regionale, sommando gli impatti netti annuali lungo il quinquennio. L’incidenza sul Fondo sarà verificata attraverso il calcolo del rapporto tra l’impatto netto effettivo e la dimensione effettiva del Fondo. La verifica nelle due varianti — centrale e prudenziale — consentirà di determinare quale delle due si avveri, ossia se i risparmi diretti si siano realizzati nella misura prevista: ove i risparmi osservati si avvicinino alla previsione centrale, si confermerà la variante centrale; ove restino al di sotto, si confermerà la variante prudenziale. La verifica fornirà così non soltanto il riscontro delle previsioni, ma la determinazione, a riforma attuata, della realtà dei risparmi diretti, che il </w:t>
      </w:r>
      <w:proofErr w:type="spellStart"/>
      <w:r>
        <w:t>caveat</w:t>
      </w:r>
      <w:proofErr w:type="spellEnd"/>
      <w:r>
        <w:t xml:space="preserve"> dell’IMPACT trial lascia incerta sul piano dell’evidenza disponibile.</w:t>
      </w:r>
      <w:r>
        <w:rPr>
          <w:color w:val="555555"/>
          <w:sz w:val="16"/>
          <w:szCs w:val="16"/>
          <w:vertAlign w:val="superscript"/>
        </w:rPr>
        <w:t>[13]</w:t>
      </w:r>
    </w:p>
    <w:p w14:paraId="677B8D60"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4E8DD21C"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9EB99E8" w14:textId="77777777" w:rsidR="007C4598" w:rsidRDefault="00000000">
            <w:pPr>
              <w:spacing w:after="40"/>
            </w:pPr>
            <w:r>
              <w:rPr>
                <w:b/>
                <w:bCs/>
                <w:color w:val="FFFFFF"/>
                <w:sz w:val="18"/>
                <w:szCs w:val="18"/>
              </w:rPr>
              <w:t>◆ SEGNAPOSTO INFOGRAFICA — FIG. 11.D · DA INSERIRE A POSTERIORI Titolo previsto: La traiettoria dell’impatto di bilancio verso il pareggio, con la variante prudenziale — Puglia CODICE CANVA-FRIENDLY (scheda di generazione) Tipo di grafico: grafico combinato (barre e linee) che rappresenta, sull’asse orizzontale i cinque anni del quinquennio, e sull’asse verticale i milioni di euro: barre per il costo lordo e per i risparmi diretti, e due linee per l’impatto netto nella variante centrale (decrescente verso il pareggio) e nella variante prudenziale (pari al costo lordo). Lettura: per ciascun anno, una barra del costo lordo (crescente poi stabile) e una barra dei risparmi diretti (crescente); una linea dell’impatto netto centrale che, dopo un massimo iniziale, decresce verso il pareggio (da +20 a +4); una linea dell’impatto netto prudenziale che coincide con il costo lordo (stabile a ~38); l’area tra le due linee evidenzia l’incertezza dei risparmi (</w:t>
            </w:r>
            <w:proofErr w:type="spellStart"/>
            <w:r>
              <w:rPr>
                <w:b/>
                <w:bCs/>
                <w:color w:val="FFFFFF"/>
                <w:sz w:val="18"/>
                <w:szCs w:val="18"/>
              </w:rPr>
              <w:t>caveat</w:t>
            </w:r>
            <w:proofErr w:type="spellEnd"/>
            <w:r>
              <w:rPr>
                <w:b/>
                <w:bCs/>
                <w:color w:val="FFFFFF"/>
                <w:sz w:val="18"/>
                <w:szCs w:val="18"/>
              </w:rPr>
              <w:t xml:space="preserve"> IMPACT). Palette: barra costo lordo in blu </w:t>
            </w:r>
            <w:proofErr w:type="spellStart"/>
            <w:r>
              <w:rPr>
                <w:b/>
                <w:bCs/>
                <w:color w:val="FFFFFF"/>
                <w:sz w:val="18"/>
                <w:szCs w:val="18"/>
              </w:rPr>
              <w:t>navy</w:t>
            </w:r>
            <w:proofErr w:type="spellEnd"/>
            <w:r>
              <w:rPr>
                <w:b/>
                <w:bCs/>
                <w:color w:val="FFFFFF"/>
                <w:sz w:val="18"/>
                <w:szCs w:val="18"/>
              </w:rPr>
              <w:t xml:space="preserve"> #16264B; barra risparmi in blu chiaro #5B7BB0; linea impatto netto centrale in oro #C49A48; linea impatto netto prudenziale in grigio #244272 tratteggiata; area di incertezza in grigio tenue #D8D8D8.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etichette degli assi Medium, valori sulle barre e sulle linee </w:t>
            </w:r>
            <w:proofErr w:type="spellStart"/>
            <w:r>
              <w:rPr>
                <w:b/>
                <w:bCs/>
                <w:color w:val="FFFFFF"/>
                <w:sz w:val="18"/>
                <w:szCs w:val="18"/>
              </w:rPr>
              <w:t>Bold</w:t>
            </w:r>
            <w:proofErr w:type="spellEnd"/>
            <w:r>
              <w:rPr>
                <w:b/>
                <w:bCs/>
                <w:color w:val="FFFFFF"/>
                <w:sz w:val="18"/>
                <w:szCs w:val="18"/>
              </w:rPr>
              <w:t xml:space="preserve">.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xml:space="preserve">. Valori da rappresentare: costo lordo 22/32/38/38/38; risparmi 2/9/18/27/34; impatto netto centrale +20/+23/+20/+11/+4; impatto netto prudenziale 22/32/38/38/38. Cumulato centrale ~78; cumulato prudenziale ~168. Variante 3D (consigliata): le barre del costo e dei risparmi come prismi affiancati per anno; le due linee dell’impatto come nastri a quote diverse; il divario tra le linee come volume che rappresenta l’incertezza dei risparmi. Fonte (piè di figura): Elaborazione dello studio; analisi di impatto di bilancio (decima parte) proiettata; variante prudenziale in ossequio al </w:t>
            </w:r>
            <w:proofErr w:type="spellStart"/>
            <w:r>
              <w:rPr>
                <w:b/>
                <w:bCs/>
                <w:color w:val="FFFFFF"/>
                <w:sz w:val="18"/>
                <w:szCs w:val="18"/>
              </w:rPr>
              <w:t>caveat</w:t>
            </w:r>
            <w:proofErr w:type="spellEnd"/>
            <w:r>
              <w:rPr>
                <w:b/>
                <w:bCs/>
                <w:color w:val="FFFFFF"/>
                <w:sz w:val="18"/>
                <w:szCs w:val="18"/>
              </w:rPr>
              <w:t xml:space="preserve"> dell’IMPACT trial (</w:t>
            </w:r>
            <w:proofErr w:type="spellStart"/>
            <w:r>
              <w:rPr>
                <w:b/>
                <w:bCs/>
                <w:color w:val="FFFFFF"/>
                <w:sz w:val="18"/>
                <w:szCs w:val="18"/>
              </w:rPr>
              <w:t>Unützer</w:t>
            </w:r>
            <w:proofErr w:type="spellEnd"/>
            <w:r>
              <w:rPr>
                <w:b/>
                <w:bCs/>
                <w:color w:val="FFFFFF"/>
                <w:sz w:val="18"/>
                <w:szCs w:val="18"/>
              </w:rPr>
              <w:t xml:space="preserve"> et al. 2008). La figura deve rendere evidente la traiettoria decrescente dell’impatto netto verso il pareggio nella variante centrale, e la traiettoria stabile al livello del costo lordo nella variante prudenziale, sicché il divario tra le due renda l’incertezza dei risparmi diretti.</w:t>
            </w:r>
          </w:p>
          <w:p w14:paraId="2E7C20B0" w14:textId="77777777" w:rsidR="007C4598" w:rsidRDefault="00000000">
            <w:pPr>
              <w:spacing w:before="120" w:after="60"/>
              <w:jc w:val="center"/>
            </w:pPr>
            <w:r>
              <w:rPr>
                <w:noProof/>
              </w:rPr>
              <w:drawing>
                <wp:inline distT="0" distB="0" distL="0" distR="0" wp14:anchorId="54495523" wp14:editId="1C53F476">
                  <wp:extent cx="8229600" cy="4629150"/>
                  <wp:effectExtent l="0" t="0" r="0" b="0"/>
                  <wp:docPr id="164" name="Infografica64" descr="La traiettoria dell'impatto di bilancio con variante prudenzi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Infografica64"/>
                          <pic:cNvPicPr>
                            <a:picLocks noChangeAspect="1" noChangeArrowheads="1"/>
                          </pic:cNvPicPr>
                        </pic:nvPicPr>
                        <pic:blipFill>
                          <a:blip r:embed="rId117">
                            <a:extLst>
                              <a:ext uri="{96DAC541-7B7A-43D3-8B79-37D633B846F1}">
                                <asvg:svgBlip xmlns:asvg="http://schemas.microsoft.com/office/drawing/2016/SVG/main" r:embed="rId118"/>
                              </a:ext>
                            </a:extLst>
                          </a:blip>
                          <a:stretch>
                            <a:fillRect/>
                          </a:stretch>
                        </pic:blipFill>
                        <pic:spPr bwMode="auto">
                          <a:xfrm>
                            <a:off x="0" y="0"/>
                            <a:ext cx="8229600" cy="4629150"/>
                          </a:xfrm>
                          <a:prstGeom prst="rect">
                            <a:avLst/>
                          </a:prstGeom>
                          <a:noFill/>
                          <a:ln>
                            <a:noFill/>
                          </a:ln>
                        </pic:spPr>
                      </pic:pic>
                    </a:graphicData>
                  </a:graphic>
                </wp:inline>
              </w:drawing>
            </w:r>
          </w:p>
          <w:p w14:paraId="6AFEDDBF" w14:textId="77777777" w:rsidR="007C4598" w:rsidRDefault="00000000">
            <w:pPr>
              <w:spacing w:before="40" w:after="200"/>
              <w:jc w:val="center"/>
            </w:pPr>
            <w:r>
              <w:rPr>
                <w:i/>
                <w:color w:val="2E5A8F"/>
                <w:sz w:val="16"/>
                <w:szCs w:val="16"/>
              </w:rPr>
              <w:t>Fig. 11.D — La traiettoria dell'impatto di bilancio con variante prudenziale. Elaborazione dello studio · Luigi De Michele · Giugno 2026.</w:t>
            </w:r>
          </w:p>
        </w:tc>
      </w:tr>
    </w:tbl>
    <w:p w14:paraId="31C26167" w14:textId="77777777" w:rsidR="007C4598" w:rsidRDefault="007C4598"/>
    <w:p w14:paraId="091F6F1C" w14:textId="77777777" w:rsidR="007C4598" w:rsidRDefault="00000000">
      <w:pPr>
        <w:pStyle w:val="Titolo2"/>
        <w:spacing w:before="200" w:after="100"/>
      </w:pPr>
      <w:r>
        <w:rPr>
          <w:sz w:val="22"/>
          <w:szCs w:val="22"/>
        </w:rPr>
        <w:t>11.4.4  La graduazione, le bande e i confini delle previsioni sui bilanci</w:t>
      </w:r>
    </w:p>
    <w:p w14:paraId="15F62B9D" w14:textId="77777777" w:rsidR="007C4598" w:rsidRDefault="007C4598"/>
    <w:p w14:paraId="1FF3E07B" w14:textId="77777777" w:rsidR="007C4598" w:rsidRDefault="00000000">
      <w:pPr>
        <w:jc w:val="both"/>
      </w:pPr>
      <w:r>
        <w:t xml:space="preserve">La solidità delle previsioni sui bilanci va dichiarata, distinguendone le componenti e tenendo conto del </w:t>
      </w:r>
      <w:proofErr w:type="spellStart"/>
      <w:r>
        <w:t>caveat</w:t>
      </w:r>
      <w:proofErr w:type="spellEnd"/>
      <w:r>
        <w:t xml:space="preserve"> dell’IMPACT trial. La previsione sui costi è sostenuta da fondamento solido, perché i costi del programma sono stabiliti dalla settima parte con la maggiore precisione tra le grandezze dello studio, essendo determinati dai parametri retributivi e organizzativi noti; la traiettoria del costo lordo è perciò robusta. La previsione sui risparmi diretti è invece sostenuta da evidenza di qualità inferiore, in ragione del </w:t>
      </w:r>
      <w:proofErr w:type="spellStart"/>
      <w:r>
        <w:t>caveat</w:t>
      </w:r>
      <w:proofErr w:type="spellEnd"/>
      <w:r>
        <w:t xml:space="preserve"> dell’IMPACT trial, che ne avverte la mancata significatività statistica nell’evidenza disponibile; i risparmi sono perciò previsti con maggiore incertezza, riflessa nella variante prudenziale che ne esclude la realizzazione. La previsione sull’impatto netto eredita questa duplice natura: la sua componente di costo è robusta, la sua componente di risparmio è incerta, e l’impatto netto è perciò previsto nelle due varianti. La previsione sull’incidenza sul Fondo è robusta nel suo ordine di grandezza — l’incidenza è contenuta entro frazioni dell’uno per cento in entrambe le varianti — perché anche la variante prudenziale, che adotta il costo lordo, produce un’incidenza contenuta. Le previsioni sui bilanci sono dunque robuste nella componente di costo e nell’incidenza, e graduate con maggiore incertezza nella componente di risparmio, in coerenza con il </w:t>
      </w:r>
      <w:proofErr w:type="spellStart"/>
      <w:r>
        <w:t>caveat</w:t>
      </w:r>
      <w:proofErr w:type="spellEnd"/>
      <w:r>
        <w:t>.</w:t>
      </w:r>
      <w:r>
        <w:rPr>
          <w:color w:val="555555"/>
          <w:sz w:val="16"/>
          <w:szCs w:val="16"/>
          <w:vertAlign w:val="superscript"/>
        </w:rPr>
        <w:t>[14]</w:t>
      </w:r>
    </w:p>
    <w:p w14:paraId="69F79C3B" w14:textId="77777777" w:rsidR="007C4598" w:rsidRDefault="007C4598"/>
    <w:p w14:paraId="5B31838F" w14:textId="77777777" w:rsidR="007C4598" w:rsidRDefault="00000000">
      <w:pPr>
        <w:jc w:val="both"/>
      </w:pPr>
      <w:r>
        <w:t xml:space="preserve">Da questa graduazione discendono i confini delle previsioni sui bilanci e il loro rapporto con la verifica. In primo luogo, le previsioni sui bilanci sono soggette al </w:t>
      </w:r>
      <w:proofErr w:type="spellStart"/>
      <w:r>
        <w:t>caveat</w:t>
      </w:r>
      <w:proofErr w:type="spellEnd"/>
      <w:r>
        <w:t xml:space="preserve"> dell’IMPACT trial, che ne rende incerta la componente di risparmio; la duplice formulazione, centrale e prudenziale, è la traduzione di questo </w:t>
      </w:r>
      <w:proofErr w:type="spellStart"/>
      <w:r>
        <w:t>caveat</w:t>
      </w:r>
      <w:proofErr w:type="spellEnd"/>
      <w:r>
        <w:t>, e la verifica ex-post determinerà quale variante si avveri. In secondo luogo, le previsioni sui bilanci sono riferite al bilancio sanitario regionale, distinto dai bilanci di altri comparti — la previdenza, l’assistenza — su cui la riforma incide attraverso i benefici indiretti, oggetto della dimensione sociale e non della fiscale; la previsione sui bilanci attiene al solo bilancio sanitario, in coerenza con la separazione delle dimensioni. In terzo luogo, la previsione sull’incidenza sul Fondo presuppone la dimensione attuale del Fondo, e una sua variazione modificherebbe l’incidenza, ancorché entro frazioni contenute. Le previsioni sui bilanci stabiliscono così il secondo gruppo di enunciati falsificabili della parte, riferito alla sostenibilità finanziaria della riforma, e lo consegnano alla verifica della quindicesima parte, che ne determinerà anche la variante. Stabilite le previsioni sui bilanci, la parte può ora formulare quelle sulla burocrazia e l’efficienza amministrativa.</w:t>
      </w:r>
    </w:p>
    <w:p w14:paraId="1590F605" w14:textId="77777777" w:rsidR="007C4598" w:rsidRDefault="007C4598"/>
    <w:p w14:paraId="753AD4F6" w14:textId="77777777" w:rsidR="007C4598" w:rsidRDefault="00000000">
      <w:pPr>
        <w:pStyle w:val="Titolo1"/>
        <w:pageBreakBefore/>
      </w:pPr>
      <w:r>
        <w:rPr>
          <w:sz w:val="22"/>
          <w:szCs w:val="22"/>
        </w:rPr>
        <w:t>11.5  Le previsioni falsificabili sulla burocrazia e l’efficienza amministrativa</w:t>
      </w:r>
    </w:p>
    <w:p w14:paraId="6D08D594" w14:textId="77777777" w:rsidR="007C4598" w:rsidRDefault="007C4598"/>
    <w:p w14:paraId="06F6847B" w14:textId="77777777" w:rsidR="007C4598" w:rsidRDefault="00000000">
      <w:pPr>
        <w:jc w:val="both"/>
      </w:pPr>
      <w:r>
        <w:rPr>
          <w:i/>
          <w:iCs/>
        </w:rPr>
        <w:t>La quinta voce formula le previsioni falsificabili sul terzo ambito su cui la riforma incide: la burocrazia e l’efficienza amministrativa del sistema. Essa traduce i risultati della proiezione in previsioni sulla riduzione degli invii inappropriati ai servizi specialistici, sull’alleggerimento del carico amministrativo per caso, sulla riduzione dei tempi di attesa e sull’aumento della quota di casi trattati al livello appropriato; e corredata ciascuna previsione della banda, della soglia di confutazione e del metodo di verifica. La voce stabilisce così le previsioni controllabili sull’effetto della riforma sull’organizzazione amministrativa del sistema sanitario, che il primo livello psicologico alleggerisce filtrando il disagio comune e trattenendolo al livello appropriato.</w:t>
      </w:r>
    </w:p>
    <w:p w14:paraId="3A4523F2" w14:textId="77777777" w:rsidR="007C4598" w:rsidRDefault="007C4598"/>
    <w:p w14:paraId="0980DCC6" w14:textId="77777777" w:rsidR="007C4598" w:rsidRDefault="00000000">
      <w:pPr>
        <w:pStyle w:val="Titolo2"/>
        <w:spacing w:before="200" w:after="100"/>
      </w:pPr>
      <w:r>
        <w:rPr>
          <w:sz w:val="22"/>
          <w:szCs w:val="22"/>
        </w:rPr>
        <w:t>11.5.1  La logica della previsione falsificabile sulla burocrazia</w:t>
      </w:r>
    </w:p>
    <w:p w14:paraId="2FA253F3" w14:textId="77777777" w:rsidR="007C4598" w:rsidRDefault="007C4598"/>
    <w:p w14:paraId="017B57B7" w14:textId="77777777" w:rsidR="007C4598" w:rsidRDefault="00000000">
      <w:pPr>
        <w:jc w:val="both"/>
      </w:pPr>
      <w:r>
        <w:t>La burocrazia e l’efficienza amministrativa sono il terzo ambito su cui la riforma incide, attraverso la funzione di filtro e di presa in carico al livello appropriato che il primo livello psicologico esercita. Il disagio comune, in assenza di un livello psicologico di base, percorre il sistema sanitario attraverso percorsi inappropriati: si rivolge al medico di medicina generale, che non dispone degli strumenti per trattarlo e lo invia ai servizi specialistici; si presenta ai servizi specialistici di salute mentale, che sono concepiti per il disagio severo e ne risultano congestionati; accede al pronto soccorso, che non è la sede propria del disagio comune. Ciascuno di questi percorsi inappropriati genera un carico amministrativo — l’invio, la presa in carico specialistica, la prestazione impropria — che grava sul sistema senza produrre il trattamento appropriato. Il primo livello psicologico, prendendo in carico il disagio comune al livello appropriato, riduce questi percorsi inappropriati e il carico amministrativo che essi generano: il disagio comune è trattato dallo psicologo di base, anziché percorrere il sistema attraverso invii e prestazioni improprie. La previsione sull’effetto della riforma sulla burocrazia misura questa riduzione dei percorsi inappropriati e del carico amministrativo.</w:t>
      </w:r>
    </w:p>
    <w:p w14:paraId="73E0B110" w14:textId="77777777" w:rsidR="007C4598" w:rsidRDefault="007C4598"/>
    <w:p w14:paraId="0DF5ABC0" w14:textId="77777777" w:rsidR="007C4598" w:rsidRDefault="00000000">
      <w:pPr>
        <w:jc w:val="both"/>
      </w:pPr>
      <w:r>
        <w:t>La previsione falsificabile sulla burocrazia è formulata, in coerenza con il principio della parte, come banda corredata di soglia di confutazione e di metodo di verifica. L’effetto della riforma sulla burocrazia è espresso attraverso indicatori dell’efficienza amministrativa — la riduzione degli invii inappropriati, l’alleggerimento del carico per caso, la riduzione dei tempi di attesa, l’aumento della quota di casi trattati al livello appropriato — ciascuno previsto come banda entro cui il valore si colloca, riflettendo l’incertezza della proiezione. La banda è corredata della soglia di confutazione, al di sotto della quale la previsione è smentita, e del metodo di verifica, che indica come l’indicatore sarà misurato a posteriori. Gli indicatori dell’efficienza amministrativa sono in larga parte misurabili attraverso i dati gestionali del sistema sanitario — i flussi degli invii, le prestazioni erogate, i tempi di attesa — che consentono la verifica diretta delle previsioni. La previsione sulla burocrazia è dunque un enunciato controllabile, riferito all’effetto della riforma sull’organizzazione amministrativa del sistema.</w:t>
      </w:r>
    </w:p>
    <w:p w14:paraId="24CAAA36" w14:textId="77777777" w:rsidR="007C4598" w:rsidRDefault="007C4598"/>
    <w:p w14:paraId="0DF09BB5" w14:textId="77777777" w:rsidR="007C4598" w:rsidRDefault="00000000">
      <w:pPr>
        <w:pStyle w:val="Titolo2"/>
        <w:spacing w:before="200" w:after="100"/>
      </w:pPr>
      <w:r>
        <w:rPr>
          <w:sz w:val="22"/>
          <w:szCs w:val="22"/>
        </w:rPr>
        <w:t>11.5.2  Le previsioni sulla riduzione degli invii inappropriati e del carico amministrativo</w:t>
      </w:r>
    </w:p>
    <w:p w14:paraId="62922A2C" w14:textId="77777777" w:rsidR="007C4598" w:rsidRDefault="007C4598"/>
    <w:p w14:paraId="1C68B566" w14:textId="77777777" w:rsidR="007C4598" w:rsidRDefault="00000000">
      <w:pPr>
        <w:jc w:val="both"/>
      </w:pPr>
      <w:r>
        <w:t>La prima e la seconda previsione sulla burocrazia riguardano la riduzione degli invii inappropriati ai servizi specialistici e l’alleggerimento del carico amministrativo per caso. La riduzione degli invii inappropriati misura la diminuzione degli invii del disagio comune ai servizi specialistici di salute mentale e ad altre specialità, che il primo livello psicologico rende non necessari prendendo in carico il disagio al livello appropriato; essa è l’indicatore della funzione di filtro che il primo livello esercita, trattenendo il disagio comune e inviando ai servizi specialistici soltanto i casi che ne richiedono effettivamente l’intervento. L’alleggerimento del carico amministrativo per caso misura la diminuzione delle prestazioni e degli adempimenti che ciascun caso di disagio comune genera nel suo percorso attraverso il sistema, che la presa in carico al livello appropriato riduce eliminando i passaggi inappropriati; esso è l’indicatore dell’efficienza del percorso, che la riforma rende più diretto. Questi due indicatori misurano la riduzione del carico amministrativo che i percorsi inappropriati generano, e che il primo livello psicologico elimina trattenendo il disagio comune al livello appropriato.</w:t>
      </w:r>
    </w:p>
    <w:p w14:paraId="7803D49B" w14:textId="77777777" w:rsidR="007C4598" w:rsidRDefault="007C4598"/>
    <w:p w14:paraId="4600343F" w14:textId="77777777" w:rsidR="007C4598" w:rsidRDefault="00000000">
      <w:pPr>
        <w:jc w:val="both"/>
      </w:pPr>
      <w:r>
        <w:t>Le previsioni su questi indicatori sono formulate in forma falsificabile. La previsione sulla riduzione degli invii inappropriati è che la riforma riduca, nello scenario intermedio, gli invii inappropriati ai servizi specialistici di una quota dell’ordine di trenta centesimi nel primo quinquennio, entro una banda compresa tra circa venti e quaranta centesimi; e la previsione è smentita se la riduzione osservata si collocasse al di sotto della soglia di confutazione, posta a venti centesimi. La previsione sull’alleggerimento del carico amministrativo per caso è che la riforma riduca, nello scenario intermedio, le prestazioni e gli adempimenti per caso di una quota dell’ordine di venti centesimi nel quinquennio, entro una banda compresa tra circa dodici e ventotto centesimi; e la previsione è smentita se la riduzione osservata si collocasse al di sotto della soglia di confutazione, posta a dodici centesimi. La riduzione degli invii inappropriati e l’alleggerimento del carico per caso sono i due effetti principali della funzione di filtro del primo livello psicologico, e la loro previsione misura la capacità della riforma di rendere più efficiente il percorso del disagio comune attraverso il sistema, eliminando i passaggi inappropriati che ne gravano l’amministrazione.</w:t>
      </w:r>
      <w:r>
        <w:rPr>
          <w:color w:val="555555"/>
          <w:sz w:val="16"/>
          <w:szCs w:val="16"/>
          <w:vertAlign w:val="superscript"/>
        </w:rPr>
        <w:t>[15]</w:t>
      </w:r>
    </w:p>
    <w:p w14:paraId="10E12AFC" w14:textId="77777777" w:rsidR="007C4598" w:rsidRDefault="007C4598"/>
    <w:p w14:paraId="293AADB6" w14:textId="77777777" w:rsidR="007C4598" w:rsidRDefault="00000000">
      <w:pPr>
        <w:pStyle w:val="Titolo2"/>
        <w:spacing w:before="200" w:after="100"/>
      </w:pPr>
      <w:r>
        <w:rPr>
          <w:sz w:val="22"/>
          <w:szCs w:val="22"/>
        </w:rPr>
        <w:t>11.5.3  Le previsioni sui tempi di attesa e sull’appropriatezza dei percorsi</w:t>
      </w:r>
    </w:p>
    <w:p w14:paraId="4B26E061" w14:textId="77777777" w:rsidR="007C4598" w:rsidRDefault="007C4598"/>
    <w:p w14:paraId="2D7ACB19" w14:textId="77777777" w:rsidR="007C4598" w:rsidRDefault="00000000">
      <w:pPr>
        <w:jc w:val="both"/>
      </w:pPr>
      <w:r>
        <w:t>La terza e la quarta previsione sulla burocrazia riguardano la riduzione dei tempi di attesa per i servizi specialistici e l’aumento della quota di casi trattati al livello appropriato. La riduzione dei tempi di attesa misura la diminuzione del tempo che intercorre tra la richiesta e la presa in carico ai servizi specialistici di salute mentale, che la riforma produce alleggerendone il carico: trattenendo il disagio comune al primo livello, la riforma libera i servizi specialistici dalla congestione che gli invii inappropriati generano, e ne riduce perciò i tempi di attesa per i casi che effettivamente ne richiedono l’intervento; essa è l’indicatore dell’effetto della riforma sull’accessibilità dei servizi specialistici, che la decongestione migliora. L’aumento della quota di casi trattati al livello appropriato misura l’incremento della proporzione dei casi di disagio che sono trattati al livello concepito per la loro gravità — il disagio comune al primo livello, il disagio severo ai servizi specialistici — che la riforma produce introducendo il primo livello mancante; esso è l’indicatore dell’appropriatezza complessiva dei percorsi, che la riforma accresce dotando il sistema del livello appropriato per il disagio comune. Questi due indicatori misurano l’effetto della riforma sull’accessibilità e sull’appropriatezza dei percorsi.</w:t>
      </w:r>
    </w:p>
    <w:p w14:paraId="5ACE3A19" w14:textId="77777777" w:rsidR="007C4598" w:rsidRDefault="007C4598"/>
    <w:p w14:paraId="3497BDE1" w14:textId="77777777" w:rsidR="007C4598" w:rsidRDefault="00000000">
      <w:pPr>
        <w:jc w:val="both"/>
      </w:pPr>
      <w:r>
        <w:t>Le previsioni su questi indicatori sono formulate in forma falsificabile, e completano il quadro delle previsioni sulla burocrazia. La previsione sulla riduzione dei tempi di attesa è che la riforma riduca, nello scenario intermedio, i tempi di attesa per i servizi specialistici di salute mentale di una quota dell’ordine di venticinque centesimi nel quinquennio, entro una banda compresa tra circa quindici e trentacinque centesimi; e la previsione è smentita se la riduzione osservata si collocasse al di sotto della soglia di confutazione, posta a quindici centesimi. La previsione sull’aumento della quota di casi trattati al livello appropriato è che la riforma accresca, nello scenario intermedio, tale quota di una misura dell’ordine di venti punti percentuali nel quinquennio, entro una banda compresa tra circa dodici e ventotto punti; e la previsione è smentita se l’aumento osservato si collocasse al di sotto della soglia di confutazione, posta a dodici punti. La tabella che segue raccoglie le previsioni falsificabili sulla burocrazia e l’efficienza amministrativa.</w:t>
      </w:r>
    </w:p>
    <w:p w14:paraId="3C5C30B0"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14C2A0D2"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7C4A282" w14:textId="77777777" w:rsidR="007C4598" w:rsidRDefault="00000000">
            <w:pPr>
              <w:spacing w:after="40"/>
            </w:pPr>
            <w:r>
              <w:rPr>
                <w:b/>
                <w:bCs/>
                <w:color w:val="FFFFFF"/>
                <w:sz w:val="18"/>
                <w:szCs w:val="18"/>
              </w:rPr>
              <w:t>Previsione falsificabile sulla burocrazia (scenario intermedio)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D9B3583" w14:textId="77777777" w:rsidR="007C4598" w:rsidRDefault="00000000">
            <w:pPr>
              <w:spacing w:after="40"/>
            </w:pPr>
            <w:r>
              <w:rPr>
                <w:b/>
                <w:bCs/>
                <w:color w:val="FFFFFF"/>
                <w:sz w:val="18"/>
                <w:szCs w:val="18"/>
              </w:rPr>
              <w:t>Valore previsto (banda)</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660A5BA" w14:textId="77777777" w:rsidR="007C4598" w:rsidRDefault="00000000">
            <w:pPr>
              <w:spacing w:after="40"/>
            </w:pPr>
            <w:r>
              <w:rPr>
                <w:b/>
                <w:bCs/>
                <w:color w:val="FFFFFF"/>
                <w:sz w:val="18"/>
                <w:szCs w:val="18"/>
              </w:rPr>
              <w:t>Soglia di confutazione</w:t>
            </w:r>
          </w:p>
        </w:tc>
      </w:tr>
      <w:tr w:rsidR="007C4598" w14:paraId="6F05FE30"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9A06060" w14:textId="77777777" w:rsidR="007C4598" w:rsidRDefault="00000000">
            <w:pPr>
              <w:spacing w:after="40"/>
            </w:pPr>
            <w:r>
              <w:t>Riduzione degli invii inappropriati ai servizi specialistici a cinque anni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89DEC4F" w14:textId="77777777" w:rsidR="007C4598" w:rsidRDefault="00000000">
            <w:pPr>
              <w:spacing w:after="40"/>
            </w:pPr>
            <w:r>
              <w:t>~30% (~20%–40%)</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D7F7DB3" w14:textId="77777777" w:rsidR="007C4598" w:rsidRDefault="00000000">
            <w:pPr>
              <w:spacing w:after="40"/>
            </w:pPr>
            <w:r>
              <w:t>&lt; 20%</w:t>
            </w:r>
          </w:p>
        </w:tc>
      </w:tr>
      <w:tr w:rsidR="007C4598" w14:paraId="034EA257"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3F56030" w14:textId="77777777" w:rsidR="007C4598" w:rsidRDefault="00000000">
            <w:pPr>
              <w:spacing w:after="40"/>
            </w:pPr>
            <w:r>
              <w:t>Riduzione del carico amministrativo per caso (prestazioni e adempimenti)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777E8BC" w14:textId="77777777" w:rsidR="007C4598" w:rsidRDefault="00000000">
            <w:pPr>
              <w:spacing w:after="40"/>
            </w:pPr>
            <w:r>
              <w:t>~20% (~12%–28%)</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E2818DD" w14:textId="77777777" w:rsidR="007C4598" w:rsidRDefault="00000000">
            <w:pPr>
              <w:spacing w:after="40"/>
            </w:pPr>
            <w:r>
              <w:t>&lt; 12%</w:t>
            </w:r>
          </w:p>
        </w:tc>
      </w:tr>
      <w:tr w:rsidR="007C4598" w14:paraId="5046A539"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AB6A517" w14:textId="77777777" w:rsidR="007C4598" w:rsidRDefault="00000000">
            <w:pPr>
              <w:spacing w:after="40"/>
            </w:pPr>
            <w:r>
              <w:t>Riduzione dei tempi di attesa per i servizi specialistici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BE85A1E" w14:textId="77777777" w:rsidR="007C4598" w:rsidRDefault="00000000">
            <w:pPr>
              <w:spacing w:after="40"/>
            </w:pPr>
            <w:r>
              <w:t>~25% (~15%–35%)</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BD61DEC" w14:textId="77777777" w:rsidR="007C4598" w:rsidRDefault="00000000">
            <w:pPr>
              <w:spacing w:after="40"/>
            </w:pPr>
            <w:r>
              <w:t>&lt; 15%</w:t>
            </w:r>
          </w:p>
        </w:tc>
      </w:tr>
      <w:tr w:rsidR="007C4598" w14:paraId="521F9A1A"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13D6847" w14:textId="77777777" w:rsidR="007C4598" w:rsidRDefault="00000000">
            <w:pPr>
              <w:spacing w:after="40"/>
            </w:pPr>
            <w:r>
              <w:t>Aumento della quota di casi trattati al livello appropriato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BD64D33" w14:textId="77777777" w:rsidR="007C4598" w:rsidRDefault="00000000">
            <w:pPr>
              <w:spacing w:after="40"/>
            </w:pPr>
            <w:r>
              <w:t>~20 punti (~12–28)</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75C7C77" w14:textId="77777777" w:rsidR="007C4598" w:rsidRDefault="00000000">
            <w:pPr>
              <w:spacing w:after="40"/>
            </w:pPr>
            <w:r>
              <w:t>&lt; 12 punti</w:t>
            </w:r>
          </w:p>
        </w:tc>
      </w:tr>
    </w:tbl>
    <w:p w14:paraId="2167AC1E" w14:textId="77777777" w:rsidR="007C4598" w:rsidRDefault="007C4598"/>
    <w:p w14:paraId="2142B81E" w14:textId="77777777" w:rsidR="007C4598" w:rsidRDefault="00000000">
      <w:pPr>
        <w:jc w:val="both"/>
      </w:pPr>
      <w:r>
        <w:rPr>
          <w:i/>
          <w:iCs/>
        </w:rPr>
        <w:t>Tabella 11.10 — Le previsioni falsificabili sulla burocrazia e l’efficienza amministrativa, nello scenario intermedio, ciascuna con la banda prevista e la soglia di confutazione. Le previsioni misurano l’effetto della funzione di filtro del primo livello psicologico, che riduce i percorsi inappropriati e ne alleggerisce il carico amministrativo.</w:t>
      </w:r>
    </w:p>
    <w:p w14:paraId="179E19BD" w14:textId="77777777" w:rsidR="007C4598" w:rsidRDefault="007C4598"/>
    <w:p w14:paraId="274E1C09" w14:textId="77777777" w:rsidR="007C4598" w:rsidRDefault="00000000">
      <w:pPr>
        <w:jc w:val="both"/>
      </w:pPr>
      <w:r>
        <w:t>Le previsioni sulla burocrazia sono corredate dei metodi con cui saranno verificate a posteriori. La riduzione degli invii inappropriati sarà verificata attraverso l’analisi dei flussi degli invii ai servizi specialistici, confrontando il numero e l’appropriatezza degli invii prima e dopo la riforma, sui dati gestionali del sistema. L’alleggerimento del carico amministrativo per caso sarà verificato attraverso l’analisi delle prestazioni e degli adempimenti generati da ciascun caso di disagio comune nel suo percorso, confrontandone il numero prima e dopo. La riduzione dei tempi di attesa sarà verificata attraverso il confronto dei tempi di attesa ai servizi specialistici, misurati sui dati gestionali prima e dopo. L’aumento della quota di casi trattati al livello appropriato sarà verificato attraverso l’analisi della distribuzione dei casi tra i livelli di cura, confrontandone la proporzione prima e dopo. Questi metodi di verifica, fondati sui dati gestionali del sistema sanitario, consentono la verifica diretta delle previsioni sulla burocrazia, e la quindicesima parte ne condurrà il riscontro, confrontando ciascuna previsione con l’esito osservato.</w:t>
      </w:r>
      <w:r>
        <w:rPr>
          <w:color w:val="555555"/>
          <w:sz w:val="16"/>
          <w:szCs w:val="16"/>
          <w:vertAlign w:val="superscript"/>
        </w:rPr>
        <w:t>[16]</w:t>
      </w:r>
    </w:p>
    <w:p w14:paraId="7A965DD5"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4477350C"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59AA90A" w14:textId="77777777" w:rsidR="007C4598" w:rsidRDefault="00000000">
            <w:pPr>
              <w:spacing w:after="40"/>
            </w:pPr>
            <w:r>
              <w:rPr>
                <w:b/>
                <w:bCs/>
                <w:color w:val="FFFFFF"/>
                <w:sz w:val="18"/>
                <w:szCs w:val="18"/>
              </w:rPr>
              <w:t>◆ SEGNAPOSTO INFOGRAFICA — FIG. 11.E · DA INSERIRE A POSTERIORI Titolo previsto: L’effetto della riforma sull’efficienza amministrativa: gli indicatori della burocrazia — Puglia CODICE CANVA-FRIENDLY (scheda di generazione) Tipo di grafico: grafico a barre orizzontali (</w:t>
            </w:r>
            <w:proofErr w:type="spellStart"/>
            <w:r>
              <w:rPr>
                <w:b/>
                <w:bCs/>
                <w:color w:val="FFFFFF"/>
                <w:sz w:val="18"/>
                <w:szCs w:val="18"/>
              </w:rPr>
              <w:t>horizontal</w:t>
            </w:r>
            <w:proofErr w:type="spellEnd"/>
            <w:r>
              <w:rPr>
                <w:b/>
                <w:bCs/>
                <w:color w:val="FFFFFF"/>
                <w:sz w:val="18"/>
                <w:szCs w:val="18"/>
              </w:rPr>
              <w:t xml:space="preserve"> bar chart) che rappresenta, per ciascun indicatore dell’efficienza amministrativa, la riduzione o l’aumento previsto nello scenario intermedio, con la banda di incertezza rappresentata da un segmento. Lettura: quattro barre orizzontali (invii inappropriati, carico per caso, tempi di attesa, quota al livello appropriato); per ciascuna, la lunghezza rappresenta il valore previsto e un segmento sovrapposto rappresenta la banda; le prime tre barre rappresentano riduzioni, la quarta un aumento, distinte per verso. Palette: barre di riduzione in blu </w:t>
            </w:r>
            <w:proofErr w:type="spellStart"/>
            <w:r>
              <w:rPr>
                <w:b/>
                <w:bCs/>
                <w:color w:val="FFFFFF"/>
                <w:sz w:val="18"/>
                <w:szCs w:val="18"/>
              </w:rPr>
              <w:t>navy</w:t>
            </w:r>
            <w:proofErr w:type="spellEnd"/>
            <w:r>
              <w:rPr>
                <w:b/>
                <w:bCs/>
                <w:color w:val="FFFFFF"/>
                <w:sz w:val="18"/>
                <w:szCs w:val="18"/>
              </w:rPr>
              <w:t xml:space="preserve"> #16264B; barra di aumento in oro #C49A48; segmenti delle bande in grigio #D8D8D8; soglie di confutazione segnalate da un trattino blu medio #244272.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etichette degli indicatori Medium, valori </w:t>
            </w:r>
            <w:proofErr w:type="spellStart"/>
            <w:r>
              <w:rPr>
                <w:b/>
                <w:bCs/>
                <w:color w:val="FFFFFF"/>
                <w:sz w:val="18"/>
                <w:szCs w:val="18"/>
              </w:rPr>
              <w:t>Bold</w:t>
            </w:r>
            <w:proofErr w:type="spellEnd"/>
            <w:r>
              <w:rPr>
                <w:b/>
                <w:bCs/>
                <w:color w:val="FFFFFF"/>
                <w:sz w:val="18"/>
                <w:szCs w:val="18"/>
              </w:rPr>
              <w:t xml:space="preserve">.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Valori da rappresentare: invii inappropriati −30% (banda 20–40); carico per caso −20% (banda 12–28); tempi di attesa −25% (banda 15–35); quota al livello appropriato +20 punti (banda 12–28). Variante 3D (consigliata): le barre come prismi orizzontali a profondità costante; le bande come segmenti traslucidi sovrapposti; le soglie di confutazione come piani verticali che intersecano le barre. Fonte (piè di figura): Elaborazione dello studio; proiezione degli indicatori di efficienza amministrativa con parametri invarianti cross-regionali; previsioni come da tabella 11.10. La figura deve rendere evidente la riduzione dei percorsi inappropriati e del carico amministrativo, e l’aumento della quota di casi trattati al livello appropriato, con le bande di incertezza e le soglie di confutazione.</w:t>
            </w:r>
          </w:p>
          <w:p w14:paraId="4953DDCB" w14:textId="77777777" w:rsidR="007C4598" w:rsidRDefault="00000000">
            <w:pPr>
              <w:spacing w:before="120" w:after="60"/>
              <w:jc w:val="center"/>
            </w:pPr>
            <w:r>
              <w:rPr>
                <w:noProof/>
              </w:rPr>
              <w:drawing>
                <wp:inline distT="0" distB="0" distL="0" distR="0" wp14:anchorId="5BD6170D" wp14:editId="3F3F32CD">
                  <wp:extent cx="8229600" cy="4629150"/>
                  <wp:effectExtent l="0" t="0" r="0" b="0"/>
                  <wp:docPr id="165" name="Infografica65" descr="L'effetto della riforma sull'efficienza amminist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Infografica65"/>
                          <pic:cNvPicPr>
                            <a:picLocks noChangeAspect="1" noChangeArrowheads="1"/>
                          </pic:cNvPicPr>
                        </pic:nvPicPr>
                        <pic:blipFill>
                          <a:blip r:embed="rId119">
                            <a:extLst>
                              <a:ext uri="{96DAC541-7B7A-43D3-8B79-37D633B846F1}">
                                <asvg:svgBlip xmlns:asvg="http://schemas.microsoft.com/office/drawing/2016/SVG/main" r:embed="rId120"/>
                              </a:ext>
                            </a:extLst>
                          </a:blip>
                          <a:stretch>
                            <a:fillRect/>
                          </a:stretch>
                        </pic:blipFill>
                        <pic:spPr bwMode="auto">
                          <a:xfrm>
                            <a:off x="0" y="0"/>
                            <a:ext cx="8229600" cy="4629150"/>
                          </a:xfrm>
                          <a:prstGeom prst="rect">
                            <a:avLst/>
                          </a:prstGeom>
                          <a:noFill/>
                          <a:ln>
                            <a:noFill/>
                          </a:ln>
                        </pic:spPr>
                      </pic:pic>
                    </a:graphicData>
                  </a:graphic>
                </wp:inline>
              </w:drawing>
            </w:r>
          </w:p>
          <w:p w14:paraId="317083A6" w14:textId="77777777" w:rsidR="007C4598" w:rsidRDefault="00000000">
            <w:pPr>
              <w:spacing w:before="40" w:after="200"/>
              <w:jc w:val="center"/>
            </w:pPr>
            <w:r>
              <w:rPr>
                <w:i/>
                <w:color w:val="2E5A8F"/>
                <w:sz w:val="16"/>
                <w:szCs w:val="16"/>
              </w:rPr>
              <w:t>Fig. 11.E — L'effetto della riforma sull'efficienza amministrativa. Elaborazione dello studio · Luigi De Michele · Giugno 2026.</w:t>
            </w:r>
          </w:p>
        </w:tc>
      </w:tr>
    </w:tbl>
    <w:p w14:paraId="2C3ADA9D" w14:textId="77777777" w:rsidR="007C4598" w:rsidRDefault="007C4598"/>
    <w:p w14:paraId="68E176EC" w14:textId="77777777" w:rsidR="007C4598" w:rsidRDefault="00000000">
      <w:pPr>
        <w:pStyle w:val="Titolo2"/>
        <w:spacing w:before="200" w:after="100"/>
      </w:pPr>
      <w:r>
        <w:rPr>
          <w:sz w:val="22"/>
          <w:szCs w:val="22"/>
        </w:rPr>
        <w:t>11.5.4  La graduazione, le bande e i confini delle previsioni sulla burocrazia</w:t>
      </w:r>
    </w:p>
    <w:p w14:paraId="2C9C3D49" w14:textId="77777777" w:rsidR="007C4598" w:rsidRDefault="007C4598"/>
    <w:p w14:paraId="00E7F589" w14:textId="77777777" w:rsidR="007C4598" w:rsidRDefault="00000000">
      <w:pPr>
        <w:jc w:val="both"/>
      </w:pPr>
      <w:r>
        <w:t>La solidità delle previsioni sulla burocrazia va dichiarata, distinguendone le componenti. La direzione delle previsioni — la riduzione degli invii inappropriati, l’alleggerimento del carico, la riduzione dei tempi di attesa, l’aumento dell’appropriatezza — è sostenuta da fondamento solido, perché discende dalla funzione di filtro che il primo livello psicologico esercita, trattenendo il disagio comune al livello appropriato: che l’introduzione di un livello mancante riduca i percorsi inappropriati è conclusione robusta sul piano organizzativo. L’entità delle previsioni è invece sostenuta da evidenza di qualità moderata, perché dipende dall’efficacia con cui il primo livello esercita la funzione di filtro, soggetta all’incertezza riflessa nelle bande; le previsioni sono perciò formulate come bande, con soglie di confutazione collocate al di sotto. Va inoltre rilevato che l’entità della riduzione del carico amministrativo dipende dall’organizzazione concreta dei percorsi, che la quarta parte ha delineato ma che l’attuazione potrà declinare in modi diversi, e che l’entità osservata potrà perciò variare entro le bande secondo le modalità attuative. Le previsioni sulla burocrazia sono dunque solide nella direzione e graduate da moderata nell’entità, e la loro forma falsificabile riflette questa graduazione.</w:t>
      </w:r>
      <w:r>
        <w:rPr>
          <w:color w:val="555555"/>
          <w:sz w:val="16"/>
          <w:szCs w:val="16"/>
          <w:vertAlign w:val="superscript"/>
        </w:rPr>
        <w:t>[17]</w:t>
      </w:r>
    </w:p>
    <w:p w14:paraId="5DC33E57" w14:textId="77777777" w:rsidR="007C4598" w:rsidRDefault="007C4598"/>
    <w:p w14:paraId="263B8AF1" w14:textId="77777777" w:rsidR="007C4598" w:rsidRDefault="00000000">
      <w:pPr>
        <w:jc w:val="both"/>
      </w:pPr>
      <w:r>
        <w:t>Da questa graduazione discendono i confini delle previsioni sulla burocrazia e il loro rapporto con la verifica. In primo luogo, le previsioni sulla burocrazia attengono all’efficienza amministrativa del sistema, distinta dalla dimensione fiscale: la riduzione del carico amministrativo migliora l’efficienza dei percorsi, ma il suo valore economico, ove monetizzato, confluirebbe nei risparmi fiscali diretti o nei benefici indiretti, a seconda della natura, e non costituisce una dimensione economica autonoma; la previsione sulla burocrazia misura perciò l’effetto organizzativo, distinto dal suo eventuale valore economico, già computato altrove. In secondo luogo, l’entità delle previsioni dipende dalle modalità attuative dei percorsi, e una loro diversa declinazione potrebbe modificarla entro le bande. In terzo luogo, la verifica delle previsioni richiede l’accesso ai dati gestionali del sistema, che la quindicesima parte impiegherà per il riscontro. Le previsioni sulla burocrazia stabiliscono così il terzo gruppo di enunciati falsificabili della parte, riferito all’efficienza amministrativa, e lo consegnano alla verifica della quindicesima parte. Stabilite le previsioni sulla burocrazia, la parte può ora formulare quelle sui sistemi sanitari regionali.</w:t>
      </w:r>
    </w:p>
    <w:p w14:paraId="554DFDBE" w14:textId="77777777" w:rsidR="007C4598" w:rsidRDefault="007C4598"/>
    <w:p w14:paraId="2C0C32B9" w14:textId="77777777" w:rsidR="007C4598" w:rsidRDefault="00000000">
      <w:pPr>
        <w:pStyle w:val="Titolo1"/>
        <w:pageBreakBefore/>
      </w:pPr>
      <w:r>
        <w:rPr>
          <w:sz w:val="22"/>
          <w:szCs w:val="22"/>
        </w:rPr>
        <w:t>11.6  Le previsioni falsificabili sui sistemi sanitari regionali</w:t>
      </w:r>
    </w:p>
    <w:p w14:paraId="6B02AEBC" w14:textId="77777777" w:rsidR="007C4598" w:rsidRDefault="007C4598"/>
    <w:p w14:paraId="60F63FBB" w14:textId="77777777" w:rsidR="007C4598" w:rsidRDefault="00000000">
      <w:pPr>
        <w:jc w:val="both"/>
      </w:pPr>
      <w:r>
        <w:rPr>
          <w:i/>
          <w:iCs/>
        </w:rPr>
        <w:t>La sesta voce formula le previsioni falsificabili sul quarto ambito su cui la riforma incide: i sistemi sanitari regionali, nel loro funzionamento complessivo. Essa traduce i risultati della proiezione in previsioni sulla riduzione degli accessi impropri al pronto soccorso e dei ricoveri, sulla riduzione della mobilità sanitaria passiva e della spesa farmaceutica inappropriata, e sull’alleggerimento del carico delle cure primarie; e corredata ciascuna previsione della banda, della soglia di confutazione e del metodo di verifica. La voce stabilisce così le previsioni controllabili sull’effetto della riforma sul sistema sanitario regionale nel suo insieme, che il primo livello psicologico alleggerisce intercettando il disagio comune e riducendone il ricorso ai livelli di cura più onerosi.</w:t>
      </w:r>
    </w:p>
    <w:p w14:paraId="61F7D641" w14:textId="77777777" w:rsidR="007C4598" w:rsidRDefault="007C4598"/>
    <w:p w14:paraId="7BE355F9" w14:textId="77777777" w:rsidR="007C4598" w:rsidRDefault="00000000">
      <w:pPr>
        <w:pStyle w:val="Titolo2"/>
        <w:spacing w:before="200" w:after="100"/>
      </w:pPr>
      <w:r>
        <w:rPr>
          <w:sz w:val="22"/>
          <w:szCs w:val="22"/>
        </w:rPr>
        <w:t>11.6.1  La logica della previsione falsificabile sui sistemi sanitari</w:t>
      </w:r>
    </w:p>
    <w:p w14:paraId="5B6633E8" w14:textId="77777777" w:rsidR="007C4598" w:rsidRDefault="007C4598"/>
    <w:p w14:paraId="7AE22E42" w14:textId="77777777" w:rsidR="007C4598" w:rsidRDefault="00000000">
      <w:pPr>
        <w:jc w:val="both"/>
      </w:pPr>
      <w:r>
        <w:t>I sistemi sanitari regionali sono il quarto ambito su cui la riforma incide, attraverso la riduzione del ricorso ai livelli di cura più onerosi che l’intercettazione del disagio comune produce. Il disagio comune non intercettato, percorrendo il sistema attraverso percorsi inappropriati, genera un ricorso ai livelli di cura più onerosi: accede al pronto soccorso, che è il livello più costoso per condizioni che non ne richiedono l’intervento; produce ricoveri, quando la cronicizzazione del disagio non trattato richiede l’ospedalizzazione; alimenta la mobilità sanitaria passiva, quando la persona cerca altrove la cura che il sistema regionale non le offre; genera spesa farmaceutica inappropriata, quando il disagio è trattato con i soli psicofarmaci in assenza dell’intervento psicologico appropriato; grava sulle cure primarie, quando il medico di medicina generale è chiamato a gestire un disagio per cui non dispone degli strumenti. Il primo livello psicologico, intercettando il disagio comune e trattandolo al livello appropriato, riduce questo ricorso ai livelli onerosi: il disagio comune è trattato dallo psicologo di base, anziché generare accessi al pronto soccorso, ricoveri, mobilità e spesa farmaceutica inappropriata. La previsione sull’effetto della riforma sul sistema sanitario misura questa riduzione del ricorso ai livelli onerosi.</w:t>
      </w:r>
    </w:p>
    <w:p w14:paraId="52159828" w14:textId="77777777" w:rsidR="007C4598" w:rsidRDefault="007C4598"/>
    <w:p w14:paraId="217B0BE0" w14:textId="77777777" w:rsidR="007C4598" w:rsidRDefault="00000000">
      <w:pPr>
        <w:jc w:val="both"/>
      </w:pPr>
      <w:r>
        <w:t>La previsione falsificabile sui sistemi sanitari è formulata, in coerenza con il principio della parte, come banda corredata di soglia di confutazione e di metodo di verifica, e si raccorda con i risparmi diretti stabiliti dall’ottava parte. Gli indicatori dell’effetto sul sistema — la riduzione degli accessi al pronto soccorso, dei ricoveri, della mobilità passiva, della spesa farmaceutica, del carico sulle cure primarie — sono gli indicatori fisici degli stessi fenomeni che, sul piano economico, generano i risparmi diretti: la riduzione degli accessi al pronto soccorso che riduce la spesa di pronto soccorso, la riduzione dei ricoveri che riduce la spesa di ricovero, e così via. La previsione sui sistemi sanitari misura perciò, sul piano fisico, gli stessi fenomeni che l’ottava parte ha misurato sul piano economico: essa ne è il riscontro fisico, espresso in termini di accessi, ricoveri, prestazioni, anziché di euro. La previsione è corredata, come le altre, della banda, della soglia di confutazione e del metodo di verifica, e gli indicatori sono in larga parte misurabili attraverso i flussi del sistema sanitario, che consentono la verifica diretta.</w:t>
      </w:r>
    </w:p>
    <w:p w14:paraId="088365F2" w14:textId="77777777" w:rsidR="007C4598" w:rsidRDefault="007C4598"/>
    <w:p w14:paraId="33EAB906" w14:textId="77777777" w:rsidR="007C4598" w:rsidRDefault="00000000">
      <w:pPr>
        <w:pStyle w:val="Titolo2"/>
        <w:spacing w:before="200" w:after="100"/>
      </w:pPr>
      <w:r>
        <w:rPr>
          <w:sz w:val="22"/>
          <w:szCs w:val="22"/>
        </w:rPr>
        <w:t>11.6.2  Le previsioni sulla riduzione degli accessi impropri, dei ricoveri e della mobilità</w:t>
      </w:r>
    </w:p>
    <w:p w14:paraId="4EC8F94A" w14:textId="77777777" w:rsidR="007C4598" w:rsidRDefault="007C4598"/>
    <w:p w14:paraId="0F106B1F" w14:textId="77777777" w:rsidR="007C4598" w:rsidRDefault="00000000">
      <w:pPr>
        <w:jc w:val="both"/>
      </w:pPr>
      <w:r>
        <w:t>La prima, la seconda e la terza previsione sui sistemi sanitari riguardano la riduzione degli accessi impropri al pronto soccorso, dei ricoveri per disturbi comuni e della mobilità sanitaria passiva. La riduzione degli accessi impropri al pronto soccorso misura la diminuzione degli accessi al pronto soccorso per cause psicologiche e psichiatriche che non ne richiedono l’intervento, che la riforma produce intercettando il disagio comune al primo livello; essa è l’indicatore dell’effetto della riforma sul livello di cura più costoso, che il disagio comune non intercettato alimenta impropriamente. La riduzione dei ricoveri per disturbi comuni misura la diminuzione dei ricoveri ospedalieri per disturbi mentali comuni, che la riforma produce prevenendo la cronicizzazione che li rende necessari; essa è l’indicatore dell’effetto della riforma sul livello ospedaliero, che la cronicizzazione del disagio non trattato alimenta. La riduzione della mobilità sanitaria passiva misura la diminuzione del ricorso a cure fuori regione per la salute mentale, che la riforma produce offrendo nella regione la presa in carico appropriata; essa è l’indicatore della capacità della riforma di trattenere nella regione la domanda di cura, riducendo la mobilità verso altre regioni. Questi tre indicatori misurano la riduzione del ricorso ai livelli di cura più onerosi che l’intercettazione del disagio comune produce.</w:t>
      </w:r>
    </w:p>
    <w:p w14:paraId="03EA3292" w14:textId="77777777" w:rsidR="007C4598" w:rsidRDefault="007C4598"/>
    <w:p w14:paraId="4AA2C841" w14:textId="77777777" w:rsidR="007C4598" w:rsidRDefault="00000000">
      <w:pPr>
        <w:jc w:val="both"/>
      </w:pPr>
      <w:r>
        <w:t>Le previsioni su questi indicatori sono formulate in forma falsificabile. La previsione sulla riduzione degli accessi impropri al pronto soccorso è che la riforma riduca, nello scenario intermedio, tali accessi di una quota dell’ordine di venti centesimi nel quinquennio, entro una banda compresa tra circa dodici e ventotto centesimi; e la previsione è smentita se la riduzione osservata si collocasse al di sotto della soglia di confutazione, posta a dodici centesimi. La previsione sulla riduzione dei ricoveri per disturbi comuni è che la riforma riduca, nello scenario intermedio, tali ricoveri di una quota dell’ordine di quindici centesimi nel quinquennio, entro una banda compresa tra circa otto e ventidue centesimi; e la previsione è smentita se la riduzione osservata si collocasse al di sotto della soglia di confutazione, posta a otto centesimi. La previsione sulla riduzione della mobilità sanitaria passiva è che la riforma riduca, nello scenario intermedio, tale mobilità di una quota dell’ordine di dieci centesimi nel quinquennio, entro una banda compresa tra circa cinque e diciotto centesimi; e la previsione è smentita se la riduzione osservata si collocasse al di sotto della soglia di confutazione, posta a cinque centesimi. Queste tre previsioni misurano la riduzione del ricorso ai livelli onerosi — il pronto soccorso, l’ospedale, la cura fuori regione — che l’intercettazione del disagio comune al primo livello produce, e che genera, sul piano economico, i risparmi diretti stabiliti dall’ottava parte.</w:t>
      </w:r>
      <w:r>
        <w:rPr>
          <w:color w:val="555555"/>
          <w:sz w:val="16"/>
          <w:szCs w:val="16"/>
          <w:vertAlign w:val="superscript"/>
        </w:rPr>
        <w:t>[18]</w:t>
      </w:r>
    </w:p>
    <w:p w14:paraId="61E94ED0" w14:textId="77777777" w:rsidR="007C4598" w:rsidRDefault="007C4598"/>
    <w:p w14:paraId="4E815C4D" w14:textId="77777777" w:rsidR="007C4598" w:rsidRDefault="00000000">
      <w:pPr>
        <w:pStyle w:val="Titolo2"/>
        <w:spacing w:before="200" w:after="100"/>
      </w:pPr>
      <w:r>
        <w:rPr>
          <w:sz w:val="22"/>
          <w:szCs w:val="22"/>
        </w:rPr>
        <w:t>11.6.3  Le previsioni sulla spesa farmaceutica, sulle cure primarie e il quadro delle previsioni</w:t>
      </w:r>
    </w:p>
    <w:p w14:paraId="53BECE89" w14:textId="77777777" w:rsidR="007C4598" w:rsidRDefault="007C4598"/>
    <w:p w14:paraId="5A06526E" w14:textId="77777777" w:rsidR="007C4598" w:rsidRDefault="00000000">
      <w:pPr>
        <w:jc w:val="both"/>
      </w:pPr>
      <w:r>
        <w:t>La quarta e la quinta previsione sui sistemi sanitari riguardano la riduzione della spesa farmaceutica inappropriata e l’alleggerimento del carico delle cure primarie. La riduzione della spesa farmaceutica inappropriata misura la diminuzione del ricorso ai soli psicofarmaci per il trattamento del disagio comune in assenza dell’intervento psicologico appropriato, che la riforma produce offrendo l’alternativa del trattamento psicologico; essa è l’indicatore dell’effetto della riforma sull’appropriatezza del trattamento farmacologico, che il primo livello psicologico migliora offrendo l’alternativa non farmacologica per il disagio comune che ne è suscettibile. L’alleggerimento del carico delle cure primarie misura la diminuzione delle consultazioni al medico di medicina generale per disagio psicologico, che la riforma produce offrendo al disagio comune la sede propria del primo livello psicologico; esso è l’indicatore dell’effetto della riforma sulle cure primarie, che il disagio comune non intercettato grava chiamando il medico di medicina generale a gestire un disagio per cui non dispone degli strumenti appropriati. Questi due indicatori misurano l’effetto della riforma sull’appropriatezza del trattamento farmacologico e sull’alleggerimento delle cure primarie, completando il quadro dell’effetto sul sistema sanitario.</w:t>
      </w:r>
    </w:p>
    <w:p w14:paraId="3F953F0C" w14:textId="77777777" w:rsidR="007C4598" w:rsidRDefault="007C4598"/>
    <w:p w14:paraId="5BA07737" w14:textId="77777777" w:rsidR="007C4598" w:rsidRDefault="00000000">
      <w:pPr>
        <w:jc w:val="both"/>
      </w:pPr>
      <w:r>
        <w:t>Le previsioni su questi indicatori sono formulate in forma falsificabile, e completano il quadro delle previsioni sui sistemi sanitari. La previsione sulla riduzione della spesa farmaceutica inappropriata è che la riforma riduca, nello scenario intermedio, tale spesa di una quota dell’ordine di quindici centesimi nel quinquennio, entro una banda compresa tra circa otto e ventidue centesimi; e la previsione è smentita se la riduzione osservata si collocasse al di sotto della soglia di confutazione, posta a otto centesimi. La previsione sull’alleggerimento del carico delle cure primarie è che la riforma riduca, nello scenario intermedio, le consultazioni al medico di medicina generale per disagio psicologico di una quota dell’ordine di venti centesimi nel quinquennio, entro una banda compresa tra circa dodici e ventotto centesimi; e la previsione è smentita se la riduzione osservata si collocasse al di sotto della soglia di confutazione, posta a dodici centesimi. La tabella che segue raccoglie le previsioni falsificabili sui sistemi sanitari regionali.</w:t>
      </w:r>
    </w:p>
    <w:p w14:paraId="360A5A3D"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6987B3BF"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634A728" w14:textId="77777777" w:rsidR="007C4598" w:rsidRDefault="00000000">
            <w:pPr>
              <w:spacing w:after="40"/>
            </w:pPr>
            <w:r>
              <w:rPr>
                <w:b/>
                <w:bCs/>
                <w:color w:val="FFFFFF"/>
                <w:sz w:val="18"/>
                <w:szCs w:val="18"/>
              </w:rPr>
              <w:t>Previsione falsificabile sui sistemi sanitari (scenario intermedio)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CFD90EE" w14:textId="77777777" w:rsidR="007C4598" w:rsidRDefault="00000000">
            <w:pPr>
              <w:spacing w:after="40"/>
            </w:pPr>
            <w:r>
              <w:rPr>
                <w:b/>
                <w:bCs/>
                <w:color w:val="FFFFFF"/>
                <w:sz w:val="18"/>
                <w:szCs w:val="18"/>
              </w:rPr>
              <w:t>Valore previsto (banda)</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6ADEDC6" w14:textId="77777777" w:rsidR="007C4598" w:rsidRDefault="00000000">
            <w:pPr>
              <w:spacing w:after="40"/>
            </w:pPr>
            <w:r>
              <w:rPr>
                <w:b/>
                <w:bCs/>
                <w:color w:val="FFFFFF"/>
                <w:sz w:val="18"/>
                <w:szCs w:val="18"/>
              </w:rPr>
              <w:t>Soglia di confutazione</w:t>
            </w:r>
          </w:p>
        </w:tc>
      </w:tr>
      <w:tr w:rsidR="007C4598" w14:paraId="4BF9BFD9"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6079908" w14:textId="77777777" w:rsidR="007C4598" w:rsidRDefault="00000000">
            <w:pPr>
              <w:spacing w:after="40"/>
            </w:pPr>
            <w:r>
              <w:t>Riduzione degli accessi impropri al pronto soccorso a cinque anni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C8677F0" w14:textId="77777777" w:rsidR="007C4598" w:rsidRDefault="00000000">
            <w:pPr>
              <w:spacing w:after="40"/>
            </w:pPr>
            <w:r>
              <w:t>~20% (~12%–28%)</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DB3F63A" w14:textId="77777777" w:rsidR="007C4598" w:rsidRDefault="00000000">
            <w:pPr>
              <w:spacing w:after="40"/>
            </w:pPr>
            <w:r>
              <w:t>&lt; 12%</w:t>
            </w:r>
          </w:p>
        </w:tc>
      </w:tr>
      <w:tr w:rsidR="007C4598" w14:paraId="6D642DB5"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741CB30" w14:textId="77777777" w:rsidR="007C4598" w:rsidRDefault="00000000">
            <w:pPr>
              <w:spacing w:after="40"/>
            </w:pPr>
            <w:r>
              <w:t>Riduzione dei ricoveri per disturbi mentali comuni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21CC4BB" w14:textId="77777777" w:rsidR="007C4598" w:rsidRDefault="00000000">
            <w:pPr>
              <w:spacing w:after="40"/>
            </w:pPr>
            <w:r>
              <w:t>~15% (~8%–22%)</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4B42108" w14:textId="77777777" w:rsidR="007C4598" w:rsidRDefault="00000000">
            <w:pPr>
              <w:spacing w:after="40"/>
            </w:pPr>
            <w:r>
              <w:t>&lt; 8%</w:t>
            </w:r>
          </w:p>
        </w:tc>
      </w:tr>
      <w:tr w:rsidR="007C4598" w14:paraId="1BDFEDC0"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73A77FC" w14:textId="77777777" w:rsidR="007C4598" w:rsidRDefault="00000000">
            <w:pPr>
              <w:spacing w:after="40"/>
            </w:pPr>
            <w:r>
              <w:t>Riduzione della mobilità sanitaria passiva per la salute mentale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919C25B" w14:textId="77777777" w:rsidR="007C4598" w:rsidRDefault="00000000">
            <w:pPr>
              <w:spacing w:after="40"/>
            </w:pPr>
            <w:r>
              <w:t>~10% (~5%–18%)</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C4205A8" w14:textId="77777777" w:rsidR="007C4598" w:rsidRDefault="00000000">
            <w:pPr>
              <w:spacing w:after="40"/>
            </w:pPr>
            <w:r>
              <w:t>&lt; 5%</w:t>
            </w:r>
          </w:p>
        </w:tc>
      </w:tr>
      <w:tr w:rsidR="007C4598" w14:paraId="54C6CC5F"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8B0B1EB" w14:textId="77777777" w:rsidR="007C4598" w:rsidRDefault="00000000">
            <w:pPr>
              <w:spacing w:after="40"/>
            </w:pPr>
            <w:r>
              <w:t>Riduzione della spesa farmaceutica inappropriata (psicofarmaci)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DA6760A" w14:textId="77777777" w:rsidR="007C4598" w:rsidRDefault="00000000">
            <w:pPr>
              <w:spacing w:after="40"/>
            </w:pPr>
            <w:r>
              <w:t>~15% (~8%–22%)</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60B263D" w14:textId="77777777" w:rsidR="007C4598" w:rsidRDefault="00000000">
            <w:pPr>
              <w:spacing w:after="40"/>
            </w:pPr>
            <w:r>
              <w:t>&lt; 8%</w:t>
            </w:r>
          </w:p>
        </w:tc>
      </w:tr>
      <w:tr w:rsidR="007C4598" w14:paraId="73D90F8A"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99B4D06" w14:textId="77777777" w:rsidR="007C4598" w:rsidRDefault="00000000">
            <w:pPr>
              <w:spacing w:after="40"/>
            </w:pPr>
            <w:r>
              <w:t>Alleggerimento del carico delle cure primarie (consultazioni)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5E6CA55" w14:textId="77777777" w:rsidR="007C4598" w:rsidRDefault="00000000">
            <w:pPr>
              <w:spacing w:after="40"/>
            </w:pPr>
            <w:r>
              <w:t>~20% (~12%–28%)</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1ECC89E" w14:textId="77777777" w:rsidR="007C4598" w:rsidRDefault="00000000">
            <w:pPr>
              <w:spacing w:after="40"/>
            </w:pPr>
            <w:r>
              <w:t>&lt; 12%</w:t>
            </w:r>
          </w:p>
        </w:tc>
      </w:tr>
    </w:tbl>
    <w:p w14:paraId="69361F89" w14:textId="77777777" w:rsidR="007C4598" w:rsidRDefault="007C4598"/>
    <w:p w14:paraId="5C64CC05" w14:textId="77777777" w:rsidR="007C4598" w:rsidRDefault="00000000">
      <w:pPr>
        <w:jc w:val="both"/>
      </w:pPr>
      <w:r>
        <w:rPr>
          <w:i/>
          <w:iCs/>
        </w:rPr>
        <w:t>Tabella 11.11 — Le previsioni falsificabili sui sistemi sanitari regionali, nello scenario intermedio, ciascuna con la banda prevista e la soglia di confutazione. Le previsioni misurano, sul piano fisico (accessi, ricoveri, prestazioni), la riduzione del ricorso ai livelli onerosi che, sul piano economico, genera i risparmi diretti dell’ottava parte.</w:t>
      </w:r>
    </w:p>
    <w:p w14:paraId="21F3C252" w14:textId="77777777" w:rsidR="007C4598" w:rsidRDefault="007C4598"/>
    <w:p w14:paraId="1F7289D9" w14:textId="77777777" w:rsidR="007C4598" w:rsidRDefault="00000000">
      <w:pPr>
        <w:jc w:val="both"/>
      </w:pPr>
      <w:r>
        <w:t>Le previsioni sui sistemi sanitari sono corredate dei metodi con cui saranno verificate a posteriori. La riduzione degli accessi impropri al pronto soccorso, dei ricoveri e della mobilità passiva sarà verificata attraverso l’analisi dei flussi del sistema sanitario — gli accessi al pronto soccorso, le schede di dimissione ospedaliera, i flussi della mobilità interregionale — confrontandone l’andamento osservato con quello atteso in assenza di riforma. La riduzione della spesa farmaceutica inappropriata sarà verificata attraverso l’analisi dei flussi della spesa farmaceutica per gli psicofarmaci, confrontandone l’andamento prima e dopo. L’alleggerimento del carico delle cure primarie sarà verificato attraverso l’analisi delle consultazioni al medico di medicina generale per disagio psicologico, ove rilevabili dai sistemi informativi delle cure primarie. Questi metodi di verifica, fondati sui flussi del sistema sanitario, consentono la verifica diretta delle previsioni sui sistemi sanitari, e si raccordano con la verifica dei risparmi diretti sui bilanci: la verifica fisica delle previsioni sui sistemi e la verifica economica delle previsioni sui bilanci convergono sui medesimi fenomeni, l’una in termini di accessi e prestazioni, l’altra in termini di euro, e la quindicesima parte ne condurrà congiuntamente il riscontro.</w:t>
      </w:r>
      <w:r>
        <w:rPr>
          <w:color w:val="555555"/>
          <w:sz w:val="16"/>
          <w:szCs w:val="16"/>
          <w:vertAlign w:val="superscript"/>
        </w:rPr>
        <w:t>[19]</w:t>
      </w:r>
    </w:p>
    <w:p w14:paraId="081F1D4E"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01331FC2"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CB3FA27" w14:textId="77777777" w:rsidR="007C4598" w:rsidRDefault="00000000">
            <w:pPr>
              <w:spacing w:after="40"/>
            </w:pPr>
            <w:r>
              <w:rPr>
                <w:b/>
                <w:bCs/>
                <w:color w:val="FFFFFF"/>
                <w:sz w:val="18"/>
                <w:szCs w:val="18"/>
              </w:rPr>
              <w:t>◆ SEGNAPOSTO INFOGRAFICA — FIG. 11.F · DA INSERIRE A POSTERIORI Titolo previsto: L’alleggerimento del sistema sanitario regionale: gli indicatori del ricorso ai livelli onerosi — Puglia CODICE CANVA-FRIENDLY (scheda di generazione) Tipo di grafico: grafico a barre orizzontali (</w:t>
            </w:r>
            <w:proofErr w:type="spellStart"/>
            <w:r>
              <w:rPr>
                <w:b/>
                <w:bCs/>
                <w:color w:val="FFFFFF"/>
                <w:sz w:val="18"/>
                <w:szCs w:val="18"/>
              </w:rPr>
              <w:t>horizontal</w:t>
            </w:r>
            <w:proofErr w:type="spellEnd"/>
            <w:r>
              <w:rPr>
                <w:b/>
                <w:bCs/>
                <w:color w:val="FFFFFF"/>
                <w:sz w:val="18"/>
                <w:szCs w:val="18"/>
              </w:rPr>
              <w:t xml:space="preserve"> bar chart) che rappresenta, per ciascun indicatore del ricorso ai livelli onerosi, la riduzione percentuale prevista nello scenario intermedio, con la banda di incertezza rappresentata da un segmento. Lettura: cinque barre orizzontali (accessi al pronto soccorso, ricoveri, mobilità passiva, spesa farmaceutica, carico delle cure primarie); per ciascuna, la lunghezza rappresenta la riduzione prevista e un segmento sovrapposto rappresenta la banda; le barre ordinate per entità della riduzione. Palette: barre in scala di blu dal </w:t>
            </w:r>
            <w:proofErr w:type="spellStart"/>
            <w:r>
              <w:rPr>
                <w:b/>
                <w:bCs/>
                <w:color w:val="FFFFFF"/>
                <w:sz w:val="18"/>
                <w:szCs w:val="18"/>
              </w:rPr>
              <w:t>navy</w:t>
            </w:r>
            <w:proofErr w:type="spellEnd"/>
            <w:r>
              <w:rPr>
                <w:b/>
                <w:bCs/>
                <w:color w:val="FFFFFF"/>
                <w:sz w:val="18"/>
                <w:szCs w:val="18"/>
              </w:rPr>
              <w:t xml:space="preserve"> #16264B (riduzione maggiore) al blu chiaro #5B7BB0 (riduzione minore); segmenti delle bande in grigio #D8D8D8; soglie di confutazione segnalate da un trattino oro #C49A48.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etichette degli indicatori Medium, valori </w:t>
            </w:r>
            <w:proofErr w:type="spellStart"/>
            <w:r>
              <w:rPr>
                <w:b/>
                <w:bCs/>
                <w:color w:val="FFFFFF"/>
                <w:sz w:val="18"/>
                <w:szCs w:val="18"/>
              </w:rPr>
              <w:t>Bold</w:t>
            </w:r>
            <w:proofErr w:type="spellEnd"/>
            <w:r>
              <w:rPr>
                <w:b/>
                <w:bCs/>
                <w:color w:val="FFFFFF"/>
                <w:sz w:val="18"/>
                <w:szCs w:val="18"/>
              </w:rPr>
              <w:t xml:space="preserve">.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Valori da rappresentare: accessi al pronto soccorso −20% (banda 12–28); ricoveri −15% (banda 8–22); mobilità passiva −10% (banda 5–18); spesa farmaceutica −15% (banda 8–22); cure primarie −20% (banda 12–28). Variante 3D (consigliata): le barre come prismi orizzontali a profondità costante; le bande come segmenti traslucidi; le soglie di confutazione come piani verticali che intersecano le barre. Fonte (piè di figura): Elaborazione dello studio; proiezione degli indicatori fisici del ricorso ai livelli onerosi, riscontro fisico dei risparmi diretti dell’ottava parte; previsioni come da tabella 11.11. La figura deve rendere evidente la riduzione del ricorso ai livelli di cura più onerosi — pronto soccorso, ospedale, mobilità, farmaco, cure primarie — che l’intercettazione del disagio comune produce, con le bande di incertezza e le soglie di confutazione.</w:t>
            </w:r>
          </w:p>
          <w:p w14:paraId="0F906238" w14:textId="77777777" w:rsidR="007C4598" w:rsidRDefault="00000000">
            <w:pPr>
              <w:spacing w:before="120" w:after="60"/>
              <w:jc w:val="center"/>
            </w:pPr>
            <w:r>
              <w:rPr>
                <w:noProof/>
              </w:rPr>
              <w:drawing>
                <wp:inline distT="0" distB="0" distL="0" distR="0" wp14:anchorId="768CBD95" wp14:editId="1051F88A">
                  <wp:extent cx="8229600" cy="4629150"/>
                  <wp:effectExtent l="0" t="0" r="0" b="0"/>
                  <wp:docPr id="166" name="Infografica66" descr="L'alleggerimento del sistema sanitario region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Infografica66"/>
                          <pic:cNvPicPr>
                            <a:picLocks noChangeAspect="1" noChangeArrowheads="1"/>
                          </pic:cNvPicPr>
                        </pic:nvPicPr>
                        <pic:blipFill>
                          <a:blip r:embed="rId121">
                            <a:extLst>
                              <a:ext uri="{96DAC541-7B7A-43D3-8B79-37D633B846F1}">
                                <asvg:svgBlip xmlns:asvg="http://schemas.microsoft.com/office/drawing/2016/SVG/main" r:embed="rId122"/>
                              </a:ext>
                            </a:extLst>
                          </a:blip>
                          <a:stretch>
                            <a:fillRect/>
                          </a:stretch>
                        </pic:blipFill>
                        <pic:spPr bwMode="auto">
                          <a:xfrm>
                            <a:off x="0" y="0"/>
                            <a:ext cx="8229600" cy="4629150"/>
                          </a:xfrm>
                          <a:prstGeom prst="rect">
                            <a:avLst/>
                          </a:prstGeom>
                          <a:noFill/>
                          <a:ln>
                            <a:noFill/>
                          </a:ln>
                        </pic:spPr>
                      </pic:pic>
                    </a:graphicData>
                  </a:graphic>
                </wp:inline>
              </w:drawing>
            </w:r>
          </w:p>
          <w:p w14:paraId="3114ACBA" w14:textId="77777777" w:rsidR="007C4598" w:rsidRDefault="00000000">
            <w:pPr>
              <w:spacing w:before="40" w:after="200"/>
              <w:jc w:val="center"/>
            </w:pPr>
            <w:r>
              <w:rPr>
                <w:i/>
                <w:color w:val="2E5A8F"/>
                <w:sz w:val="16"/>
                <w:szCs w:val="16"/>
              </w:rPr>
              <w:t>Fig. 11.F — L'alleggerimento del sistema sanitario regionale. Elaborazione dello studio · Luigi De Michele · Giugno 2026.</w:t>
            </w:r>
          </w:p>
        </w:tc>
      </w:tr>
    </w:tbl>
    <w:p w14:paraId="21561432" w14:textId="77777777" w:rsidR="007C4598" w:rsidRDefault="007C4598"/>
    <w:p w14:paraId="7E5176E9" w14:textId="77777777" w:rsidR="007C4598" w:rsidRDefault="00000000">
      <w:pPr>
        <w:pStyle w:val="Titolo2"/>
        <w:spacing w:before="200" w:after="100"/>
      </w:pPr>
      <w:r>
        <w:rPr>
          <w:sz w:val="22"/>
          <w:szCs w:val="22"/>
        </w:rPr>
        <w:t>11.6.4  La graduazione, le bande e i confini delle previsioni sui sistemi sanitari</w:t>
      </w:r>
    </w:p>
    <w:p w14:paraId="164BCF8E" w14:textId="77777777" w:rsidR="007C4598" w:rsidRDefault="007C4598"/>
    <w:p w14:paraId="756642E4" w14:textId="77777777" w:rsidR="007C4598" w:rsidRDefault="00000000">
      <w:pPr>
        <w:jc w:val="both"/>
      </w:pPr>
      <w:r>
        <w:t xml:space="preserve">La solidità delle previsioni sui sistemi sanitari va dichiarata, distinguendone le componenti e tenendo conto del raccordo con i risparmi diretti. La direzione delle previsioni — la riduzione degli accessi, dei ricoveri, della mobilità, della spesa farmaceutica, del carico sulle cure primarie — è sostenuta da fondamento solido, perché discende dall’intercettazione del disagio comune al primo livello, che ne riduce il ricorso ai livelli onerosi: che l’intercettazione precoce riduca il ricorso ai livelli di cura più costosi è conclusione robusta. L’entità delle previsioni è invece sostenuta da evidenza di qualità moderata, e soggetta, per la componente che si traduce in risparmi diretti, al </w:t>
      </w:r>
      <w:proofErr w:type="spellStart"/>
      <w:r>
        <w:t>caveat</w:t>
      </w:r>
      <w:proofErr w:type="spellEnd"/>
      <w:r>
        <w:t xml:space="preserve"> dell’IMPACT trial: la riduzione degli accessi, dei ricoveri e della spesa farmaceutica, che genera i risparmi diretti, è prevista con l’incertezza che il </w:t>
      </w:r>
      <w:proofErr w:type="spellStart"/>
      <w:r>
        <w:t>caveat</w:t>
      </w:r>
      <w:proofErr w:type="spellEnd"/>
      <w:r>
        <w:t xml:space="preserve"> comporta, riflessa nelle bande. Le previsioni sui sistemi sanitari sono perciò formulate come bande, con soglie di confutazione collocate al di sotto, e la loro entità eredita l’incertezza dei risparmi diretti cui si raccorda. Esse sono dunque solide nella direzione e graduate da moderata nell’entità, con la cautela del </w:t>
      </w:r>
      <w:proofErr w:type="spellStart"/>
      <w:r>
        <w:t>caveat</w:t>
      </w:r>
      <w:proofErr w:type="spellEnd"/>
      <w:r>
        <w:t xml:space="preserve"> per la componente fisica che si traduce in risparmi.</w:t>
      </w:r>
      <w:r>
        <w:rPr>
          <w:color w:val="555555"/>
          <w:sz w:val="16"/>
          <w:szCs w:val="16"/>
          <w:vertAlign w:val="superscript"/>
        </w:rPr>
        <w:t>[20]</w:t>
      </w:r>
    </w:p>
    <w:p w14:paraId="6F210987" w14:textId="77777777" w:rsidR="007C4598" w:rsidRDefault="007C4598"/>
    <w:p w14:paraId="6177850A" w14:textId="77777777" w:rsidR="007C4598" w:rsidRDefault="00000000">
      <w:pPr>
        <w:jc w:val="both"/>
      </w:pPr>
      <w:r>
        <w:t xml:space="preserve">Da questa graduazione discendono i confini delle previsioni sui sistemi sanitari e il loro rapporto con le altre dimensioni. In primo luogo, le previsioni sui sistemi sanitari misurano gli stessi fenomeni che generano i risparmi diretti, espressi sul piano fisico anziché economico; esse non costituiscono perciò una dimensione economica autonoma, ma il riscontro fisico dei risparmi diretti, e il loro valore economico è già computato nei risparmi, senza duplicazione. In secondo luogo, le previsioni sui sistemi sanitari ereditano il </w:t>
      </w:r>
      <w:proofErr w:type="spellStart"/>
      <w:r>
        <w:t>caveat</w:t>
      </w:r>
      <w:proofErr w:type="spellEnd"/>
      <w:r>
        <w:t xml:space="preserve"> dell’IMPACT trial per la componente che si traduce in risparmi, e la loro verifica concorrerà a determinare la realtà dei risparmi diretti. In terzo luogo, la verifica delle previsioni richiede l’accesso ai flussi del sistema sanitario, che la quindicesima parte impiegherà congiuntamente alla verifica dei risparmi diretti. Le previsioni sui sistemi sanitari stabiliscono così il quarto gruppo di enunciati falsificabili della parte, riferito all’alleggerimento del sistema sanitario, e lo consegnano alla verifica della quindicesima parte. Stabilite le previsioni sui quattro ambiti, la parte può ora individuare le soglie il cui superamento modifica la raccomandazione.</w:t>
      </w:r>
    </w:p>
    <w:p w14:paraId="4137BA5B" w14:textId="77777777" w:rsidR="007C4598" w:rsidRDefault="007C4598"/>
    <w:p w14:paraId="11F51A37" w14:textId="77777777" w:rsidR="007C4598" w:rsidRDefault="00000000">
      <w:pPr>
        <w:pStyle w:val="Titolo1"/>
        <w:pageBreakBefore/>
      </w:pPr>
      <w:r>
        <w:rPr>
          <w:sz w:val="22"/>
          <w:szCs w:val="22"/>
        </w:rPr>
        <w:t>11.7  Le soglie che modificano la raccomandazione</w:t>
      </w:r>
    </w:p>
    <w:p w14:paraId="02FB6BB4" w14:textId="77777777" w:rsidR="007C4598" w:rsidRDefault="007C4598"/>
    <w:p w14:paraId="025F82F4" w14:textId="77777777" w:rsidR="007C4598" w:rsidRDefault="00000000">
      <w:pPr>
        <w:jc w:val="both"/>
      </w:pPr>
      <w:r>
        <w:rPr>
          <w:i/>
          <w:iCs/>
        </w:rPr>
        <w:t>La settima e conclusiva voce individua le soglie il cui superamento modifica la raccomandazione, ossia i valori dei parametri al di là dei quali la riforma cesserebbe di essere favorevole. Essa identifica, per ciascuna dimensione del valore, il punto di ribaltamento — il valore di efficacia, di costo, di rendimento o di sostenibilità che, se raggiunto, modificherebbe la conclusione — e ne misura il margine rispetto al valore atteso, ossia la distanza che separa il valore atteso dal punto di ribaltamento. La voce rende così la raccomandazione stessa falsificabile, indicando le condizioni al verificarsi delle quali essa andrebbe rivista, e ne misura la robustezza attraverso i margini che la separano dalle soglie.</w:t>
      </w:r>
    </w:p>
    <w:p w14:paraId="252F84B7" w14:textId="77777777" w:rsidR="007C4598" w:rsidRDefault="007C4598"/>
    <w:p w14:paraId="2B032231" w14:textId="77777777" w:rsidR="007C4598" w:rsidRDefault="00000000">
      <w:pPr>
        <w:pStyle w:val="Titolo2"/>
        <w:spacing w:before="200" w:after="100"/>
      </w:pPr>
      <w:r>
        <w:rPr>
          <w:sz w:val="22"/>
          <w:szCs w:val="22"/>
        </w:rPr>
        <w:t>11.7.1  La logica delle soglie che modificano la raccomandazione</w:t>
      </w:r>
    </w:p>
    <w:p w14:paraId="32436919" w14:textId="77777777" w:rsidR="007C4598" w:rsidRDefault="007C4598"/>
    <w:p w14:paraId="5F23BFDE" w14:textId="77777777" w:rsidR="007C4598" w:rsidRDefault="00000000">
      <w:pPr>
        <w:jc w:val="both"/>
      </w:pPr>
      <w:r>
        <w:t xml:space="preserve">Le soglie che modificano la raccomandazione sono i valori dei parametri al di là dei quali la riforma cesserebbe di essere favorevole, e la loro individuazione è il completamento della falsificabilità sul piano della raccomandazione. Le previsioni delle voci precedenti hanno reso falsificabili i singoli esiti della riforma, indicando per ciascuno la soglia di confutazione; ma la raccomandazione complessiva sulla riforma — il giudizio favorevole che lo studio formula — richiede a sua volta di essere resa falsificabile, indicando le condizioni al verificarsi delle quali essa andrebbe rivista. Le soglie che modificano la raccomandazione assolvono questo compito: esse identificano, per ciascuna dimensione del valore, il punto di ribaltamento — il valore di efficacia al di sotto del quale la riforma cessa di essere costo-efficace, il valore di costo al di sopra del quale cessa di esserlo, il valore di rendimento al di sotto del quale esce dalla fascia di </w:t>
      </w:r>
      <w:proofErr w:type="spellStart"/>
      <w:r>
        <w:t>Chisholm</w:t>
      </w:r>
      <w:proofErr w:type="spellEnd"/>
      <w:r>
        <w:t>, il valore di sostenibilità al di sopra del quale grava eccessivamente sul bilancio — al di là del quale la conclusione favorevole su quella dimensione andrebbe rivista. L’individuazione delle soglie rende perciò falsificabile la raccomandazione, indicando le condizioni della sua revisione, e ne consente la verifica: se i parametri osservati superassero le soglie, la raccomandazione andrebbe rivista; se restassero sul versante favorevole, essa sarebbe confermata.</w:t>
      </w:r>
      <w:r>
        <w:rPr>
          <w:color w:val="555555"/>
          <w:sz w:val="16"/>
          <w:szCs w:val="16"/>
          <w:vertAlign w:val="superscript"/>
        </w:rPr>
        <w:t>[21]</w:t>
      </w:r>
    </w:p>
    <w:p w14:paraId="7984950A" w14:textId="77777777" w:rsidR="007C4598" w:rsidRDefault="007C4598"/>
    <w:p w14:paraId="6E56A853" w14:textId="77777777" w:rsidR="007C4598" w:rsidRDefault="00000000">
      <w:pPr>
        <w:jc w:val="both"/>
      </w:pPr>
      <w:r>
        <w:t>L’individuazione delle soglie consente inoltre di misurare la robustezza della raccomandazione, attraverso il margine che separa il valore atteso dal punto di ribaltamento. Il margine è la distanza tra il valore atteso di un parametro e il valore di soglia al di là del quale la raccomandazione andrebbe rivista; esso misura quanto il valore atteso dovrebbe discostarsi dalla previsione perché la raccomandazione mutasse. Un margine ampio indica una raccomandazione robusta, che resterebbe favorevole anche per scostamenti rilevanti del parametro dal valore atteso; un margine ristretto indica una raccomandazione fragile, che muterebbe per scostamenti modesti. La misura dei margini consente perciò di valutare la robustezza della raccomandazione su ciascuna dimensione, e di individuare le dimensioni su cui essa è più o meno robusta. La voce misura i margini su ciascuna dimensione del valore, e ne trae la valutazione della robustezza della raccomandazione, distinguendo le dimensioni su cui i margini sono ampi da quelle su cui sono più ristretti.</w:t>
      </w:r>
    </w:p>
    <w:p w14:paraId="0D84768F" w14:textId="77777777" w:rsidR="007C4598" w:rsidRDefault="007C4598"/>
    <w:p w14:paraId="2DC50FE9" w14:textId="77777777" w:rsidR="007C4598" w:rsidRDefault="00000000">
      <w:pPr>
        <w:pStyle w:val="Titolo2"/>
        <w:spacing w:before="200" w:after="100"/>
      </w:pPr>
      <w:r>
        <w:rPr>
          <w:sz w:val="22"/>
          <w:szCs w:val="22"/>
        </w:rPr>
        <w:t>11.7.2  Le soglie di costo-efficacia: l’efficacia e il costo</w:t>
      </w:r>
    </w:p>
    <w:p w14:paraId="7C002DD1" w14:textId="77777777" w:rsidR="007C4598" w:rsidRDefault="007C4598"/>
    <w:p w14:paraId="2DEA9267" w14:textId="77777777" w:rsidR="007C4598" w:rsidRDefault="00000000">
      <w:pPr>
        <w:jc w:val="both"/>
      </w:pPr>
      <w:r>
        <w:t>La prima e la seconda soglia attengono alla dimensione della costo-efficacia, e riguardano l’efficacia e il costo. La conclusione di costo-efficacia riposa sul rapporto tra il costo e i guadagni di salute, che il valore atteso colloca ampiamente al di sotto della soglia convenzionale di disponibilità a pagare; e tale conclusione muterebbe se l’efficacia cadesse al punto da ridurre i guadagni di salute fino a portare il rapporto alla soglia, o se il costo crescesse al punto da portarvi il rapporto. La soglia dell’efficacia è il valore al di sotto del quale i guadagni di salute, ridotti dalla minore efficacia, porterebbero il rapporto costo-efficacia alla soglia convenzionale: poiché il rapporto atteso è dell’ordine di diciassettemila euro per anno di vita in buona salute, e la soglia convenzionale è dell’ordine di trentamila euro, i guadagni di salute dovrebbero ridursi di una quota dell’ordine di quaranta centesimi perché il rapporto raggiungesse la soglia. Il margine sull’efficacia è perciò ampio: l’efficacia dovrebbe cadere di circa quaranta centesimi rispetto al valore atteso perché la riforma cessasse di essere costo-efficace alla soglia convenzionale, e di circa trenta centesimi perché cessasse di esserlo alla soglia inferiore dell’intervallo convenzionale. La soglia del costo è il valore al di sopra del quale il costo, accresciuto, porterebbe il rapporto alla soglia convenzionale: il costo dovrebbe crescere di una quota dell’ordine di settanta centesimi perché il rapporto raggiungesse la soglia convenzionale. Il margine sul costo è perciò ampio: il costo dovrebbe crescere di circa settanta centesimi rispetto al valore atteso perché la riforma cessasse di essere costo-efficace.</w:t>
      </w:r>
    </w:p>
    <w:p w14:paraId="1AFF4D6A" w14:textId="77777777" w:rsidR="007C4598" w:rsidRDefault="007C4598"/>
    <w:p w14:paraId="4F49A6BC" w14:textId="77777777" w:rsidR="007C4598" w:rsidRDefault="00000000">
      <w:pPr>
        <w:jc w:val="both"/>
      </w:pPr>
      <w:r>
        <w:t>I margini sull’efficacia e sul costo sono ampi, e fondano la robustezza della conclusione di costo-efficacia. Il margine sull’efficacia — dell’ordine di quaranta centesimi alla soglia convenzionale — indica che la conclusione di costo-efficacia resisterebbe a una caduta dell’efficacia molto rilevante, ben superiore all’incertezza dell’efficacia stessa, graduata da moderata ad alta nella sesta parte: l’efficacia dovrebbe risultare inferiore di quasi la metà al valore atteso perché la riforma cessasse di essere costo-efficace. Il margine sul costo — dell’ordine di settanta centesimi — indica che la conclusione resisterebbe a un aumento del costo molto rilevante, ben superiore all’incertezza del costo, stabilito dalla settima parte con elevata precisione: il costo dovrebbe risultare di oltre due terzi superiore al valore atteso perché la riforma cessasse di essere costo-efficace. L’ampiezza di questi margini è coerente con il risultato dell’analisi di sensibilità probabilistica, che ha collocato la probabilità di costo-efficacia, alla soglia convenzionale, dell’ordine del novantacinque per cento: i margini ampi sono la traduzione deterministica dell’elevata probabilità di costo-efficacia, e ne confermano la robustezza. La conclusione di costo-efficacia, che la decima parte ha qualificato come il risultato più robusto della valutazione, è dunque sostenuta da margini ampi sull’efficacia e sul costo, che ne attestano la resistenza a scostamenti rilevanti dei parametri.</w:t>
      </w:r>
      <w:r>
        <w:rPr>
          <w:color w:val="555555"/>
          <w:sz w:val="16"/>
          <w:szCs w:val="16"/>
          <w:vertAlign w:val="superscript"/>
        </w:rPr>
        <w:t>[22]</w:t>
      </w:r>
    </w:p>
    <w:p w14:paraId="578E6239" w14:textId="77777777" w:rsidR="007C4598" w:rsidRDefault="007C4598"/>
    <w:p w14:paraId="0C5AFC14" w14:textId="77777777" w:rsidR="007C4598" w:rsidRDefault="00000000">
      <w:pPr>
        <w:pStyle w:val="Titolo2"/>
        <w:spacing w:before="200" w:after="100"/>
      </w:pPr>
      <w:r>
        <w:rPr>
          <w:sz w:val="22"/>
          <w:szCs w:val="22"/>
        </w:rPr>
        <w:t>11.7.3  La soglia del rendimento sociale e la soglia di sostenibilità</w:t>
      </w:r>
    </w:p>
    <w:p w14:paraId="198536CD" w14:textId="77777777" w:rsidR="007C4598" w:rsidRDefault="007C4598"/>
    <w:p w14:paraId="26941E68" w14:textId="77777777" w:rsidR="007C4598" w:rsidRDefault="00000000">
      <w:pPr>
        <w:jc w:val="both"/>
      </w:pPr>
      <w:r>
        <w:t xml:space="preserve">La terza e la quarta soglia attengono alle dimensioni del rendimento sociale e della sostenibilità di bilancio. La conclusione sul rendimento sociale riposa sul rapporto tra i benefici indiretti e il costo, che il valore atteso colloca entro la fascia di </w:t>
      </w:r>
      <w:proofErr w:type="spellStart"/>
      <w:r>
        <w:t>Chisholm</w:t>
      </w:r>
      <w:proofErr w:type="spellEnd"/>
      <w:r>
        <w:t xml:space="preserve">; e tale conclusione muterebbe se i benefici indiretti cadessero al punto da portare il rapporto al di sotto del margine inferiore della fascia. La soglia del rendimento sociale è il valore al di sotto del quale i benefici indiretti, ridotti, porterebbero il rapporto al di sotto del margine inferiore della prima fascia di </w:t>
      </w:r>
      <w:proofErr w:type="spellStart"/>
      <w:r>
        <w:t>Chisholm</w:t>
      </w:r>
      <w:proofErr w:type="spellEnd"/>
      <w:r>
        <w:t xml:space="preserve">, dell’ordine di due virgola tre a uno: poiché il rapporto atteso è dell’ordine di due virgola sei a uno, i benefici indiretti dovrebbero ridursi di una quota dell’ordine di dodici centesimi perché il rapporto scendesse al di sotto della fascia. Il margine sul rendimento sociale è perciò più ristretto di quello sulla costo-efficacia: i benefici indiretti dovrebbero ridursi di circa dodici centesimi rispetto al valore atteso perché il rapporto uscisse dalla fascia di </w:t>
      </w:r>
      <w:proofErr w:type="spellStart"/>
      <w:r>
        <w:t>Chisholm</w:t>
      </w:r>
      <w:proofErr w:type="spellEnd"/>
      <w:r>
        <w:t>. La conclusione sulla sostenibilità di bilancio riposa sull’incidenza dell’impatto netto sul Fondo sanitario regionale, che il valore atteso colloca entro frazioni contenute dell’uno per cento; e tale conclusione muterebbe se il costo crescesse al punto da portare l’incidenza a una soglia di rilevanza, convenzionalmente posta all’uno per cento del Fondo. La soglia di sostenibilità è il valore al di sopra del quale il costo, accresciuto, porterebbe l’incidenza all’uno per cento del Fondo: poiché il costo lordo, nella variante prudenziale, incide per circa mezzo punto percentuale, il costo dovrebbe all’incirca raddoppiare perché l’incidenza raggiungesse l’uno per cento. Il margine sulla sostenibilità è perciò ampio: il costo dovrebbe all’incirca raddoppiare perché la riforma raggiungesse la soglia di rilevanza sul Fondo.</w:t>
      </w:r>
    </w:p>
    <w:p w14:paraId="1B5F3DA5" w14:textId="77777777" w:rsidR="007C4598" w:rsidRDefault="007C4598"/>
    <w:p w14:paraId="2FCCAFD2" w14:textId="77777777" w:rsidR="007C4598" w:rsidRDefault="00000000">
      <w:pPr>
        <w:jc w:val="both"/>
      </w:pPr>
      <w:r>
        <w:t xml:space="preserve">I margini sul rendimento sociale e sulla sostenibilità presentano ampiezze diverse, che ne articolano la robustezza. Il margine sul rendimento sociale — dell’ordine di dodici centesimi — è più ristretto di quelli sulla costo-efficacia, perché il rapporto atteso, dell’ordine di due virgola sei a uno, è più prossimo al margine inferiore della fascia di </w:t>
      </w:r>
      <w:proofErr w:type="spellStart"/>
      <w:r>
        <w:t>Chisholm</w:t>
      </w:r>
      <w:proofErr w:type="spellEnd"/>
      <w:r>
        <w:t xml:space="preserve">, dell’ordine di due virgola tre a uno, di quanto il rapporto costo-efficacia atteso sia prossimo alla soglia convenzionale; la conclusione sul rendimento sociale è perciò meno robusta di quella sulla costo-efficacia, e una caduta dei benefici indiretti dell’ordine di un ottavo porterebbe il rapporto al di sotto della fascia. Va tuttavia rilevato che, anche al di sotto della prima fascia di </w:t>
      </w:r>
      <w:proofErr w:type="spellStart"/>
      <w:r>
        <w:t>Chisholm</w:t>
      </w:r>
      <w:proofErr w:type="spellEnd"/>
      <w:r>
        <w:t>, la riforma manterrebbe un rendimento sociale positivo, ancorché inferiore alla fascia: il superamento della soglia non annullerebbe il rendimento sociale, ma lo collocherebbe al di sotto della fascia di riferimento. Il margine sulla sostenibilità — dell’ordine del raddoppio del costo — è ampio, perché il costo, anche nella variante prudenziale, incide per una frazione contenuta del Fondo, lontana dalla soglia di rilevanza; la conclusione sulla sostenibilità è perciò robusta, e resisterebbe a un aumento del costo molto rilevante. La tabella che segue raccoglie le soglie che modificano la raccomandazione e i margini rispetto al valore atteso.</w:t>
      </w:r>
    </w:p>
    <w:p w14:paraId="5A81CCB3"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235E6359"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096DED2" w14:textId="77777777" w:rsidR="007C4598" w:rsidRDefault="00000000">
            <w:pPr>
              <w:spacing w:after="40"/>
            </w:pPr>
            <w:r>
              <w:rPr>
                <w:b/>
                <w:bCs/>
                <w:color w:val="FFFFFF"/>
                <w:sz w:val="18"/>
                <w:szCs w:val="18"/>
              </w:rPr>
              <w:t>Soglia che modifica la raccomandazione</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6EEF86D" w14:textId="77777777" w:rsidR="007C4598" w:rsidRDefault="00000000">
            <w:pPr>
              <w:spacing w:after="40"/>
            </w:pPr>
            <w:r>
              <w:rPr>
                <w:b/>
                <w:bCs/>
                <w:color w:val="FFFFFF"/>
                <w:sz w:val="18"/>
                <w:szCs w:val="18"/>
              </w:rPr>
              <w:t>Punto di ribaltamento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8BD5B25" w14:textId="77777777" w:rsidR="007C4598" w:rsidRDefault="00000000">
            <w:pPr>
              <w:spacing w:after="40"/>
            </w:pPr>
            <w:r>
              <w:rPr>
                <w:b/>
                <w:bCs/>
                <w:color w:val="FFFFFF"/>
                <w:sz w:val="18"/>
                <w:szCs w:val="18"/>
              </w:rPr>
              <w:t>Margine rispetto al valore atteso</w:t>
            </w:r>
          </w:p>
        </w:tc>
      </w:tr>
      <w:tr w:rsidR="007C4598" w14:paraId="143EF3F6"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7161D0D" w14:textId="77777777" w:rsidR="007C4598" w:rsidRDefault="00000000">
            <w:pPr>
              <w:spacing w:after="40"/>
            </w:pPr>
            <w:r>
              <w:t>Efficacia (guadagni di salute) — costo-efficacia alla soglia convenzionale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665861E" w14:textId="77777777" w:rsidR="007C4598" w:rsidRDefault="00000000">
            <w:pPr>
              <w:spacing w:after="40"/>
            </w:pPr>
            <w:r>
              <w:t>caduta dei guadagni di salute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FD6F342" w14:textId="77777777" w:rsidR="007C4598" w:rsidRDefault="00000000">
            <w:pPr>
              <w:spacing w:after="40"/>
            </w:pPr>
            <w:r>
              <w:t>~40%</w:t>
            </w:r>
          </w:p>
        </w:tc>
      </w:tr>
      <w:tr w:rsidR="007C4598" w14:paraId="49FA0A4E"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E21D4B2" w14:textId="77777777" w:rsidR="007C4598" w:rsidRDefault="00000000">
            <w:pPr>
              <w:spacing w:after="40"/>
            </w:pPr>
            <w:r>
              <w:t>Costo del programma — costo-efficacia alla soglia convenzionale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2E99094" w14:textId="77777777" w:rsidR="007C4598" w:rsidRDefault="00000000">
            <w:pPr>
              <w:spacing w:after="40"/>
            </w:pPr>
            <w:r>
              <w:t>aumento del costo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55C1E0F" w14:textId="77777777" w:rsidR="007C4598" w:rsidRDefault="00000000">
            <w:pPr>
              <w:spacing w:after="40"/>
            </w:pPr>
            <w:r>
              <w:t>~70%</w:t>
            </w:r>
          </w:p>
        </w:tc>
      </w:tr>
      <w:tr w:rsidR="007C4598" w14:paraId="5C44599A"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86A2F8D" w14:textId="77777777" w:rsidR="007C4598" w:rsidRDefault="00000000">
            <w:pPr>
              <w:spacing w:after="40"/>
            </w:pPr>
            <w:r>
              <w:t xml:space="preserve">Benefici indiretti — rapporto entro la fascia di </w:t>
            </w:r>
            <w:proofErr w:type="spellStart"/>
            <w:r>
              <w:t>Chisholm</w:t>
            </w:r>
            <w:proofErr w:type="spellEnd"/>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CAEE633" w14:textId="77777777" w:rsidR="007C4598" w:rsidRDefault="00000000">
            <w:pPr>
              <w:spacing w:after="40"/>
            </w:pPr>
            <w:r>
              <w:t>caduta dei benefici indiretti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CC2124A" w14:textId="77777777" w:rsidR="007C4598" w:rsidRDefault="00000000">
            <w:pPr>
              <w:spacing w:after="40"/>
            </w:pPr>
            <w:r>
              <w:t>~12%</w:t>
            </w:r>
          </w:p>
        </w:tc>
      </w:tr>
      <w:tr w:rsidR="007C4598" w14:paraId="1B8915A4"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52E560A" w14:textId="77777777" w:rsidR="007C4598" w:rsidRDefault="00000000">
            <w:pPr>
              <w:spacing w:after="40"/>
            </w:pPr>
            <w:r>
              <w:t>Costo del programma — incidenza all’1% del Fondo sanitario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DA7A975" w14:textId="77777777" w:rsidR="007C4598" w:rsidRDefault="00000000">
            <w:pPr>
              <w:spacing w:after="40"/>
            </w:pPr>
            <w:r>
              <w:t>aumento del costo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41CAF97" w14:textId="77777777" w:rsidR="007C4598" w:rsidRDefault="00000000">
            <w:pPr>
              <w:spacing w:after="40"/>
            </w:pPr>
            <w:r>
              <w:t>~100% (raddoppio)</w:t>
            </w:r>
          </w:p>
        </w:tc>
      </w:tr>
      <w:tr w:rsidR="007C4598" w14:paraId="3D972814"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50FE9A0" w14:textId="77777777" w:rsidR="007C4598" w:rsidRDefault="00000000">
            <w:pPr>
              <w:spacing w:after="40"/>
            </w:pPr>
            <w:r>
              <w:t>Copertura — costo-efficacia su tutta la gamma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E82900A" w14:textId="77777777" w:rsidR="007C4598" w:rsidRDefault="00000000">
            <w:pPr>
              <w:spacing w:after="40"/>
            </w:pPr>
            <w:r>
              <w:t>al di sotto dello scenario conservativo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1DCC5A4" w14:textId="77777777" w:rsidR="007C4598" w:rsidRDefault="00000000">
            <w:pPr>
              <w:spacing w:after="40"/>
            </w:pPr>
            <w:r>
              <w:t>l’intera gamma è sopra soglia</w:t>
            </w:r>
          </w:p>
        </w:tc>
      </w:tr>
    </w:tbl>
    <w:p w14:paraId="6AE958B6" w14:textId="77777777" w:rsidR="007C4598" w:rsidRDefault="007C4598"/>
    <w:p w14:paraId="14FD28F8" w14:textId="77777777" w:rsidR="007C4598" w:rsidRDefault="00000000">
      <w:pPr>
        <w:jc w:val="both"/>
      </w:pPr>
      <w:r>
        <w:rPr>
          <w:i/>
          <w:iCs/>
        </w:rPr>
        <w:t xml:space="preserve">Tabella 11.12 — Le soglie il cui superamento modifica la raccomandazione, e i margini che separano il valore atteso dal punto di ribaltamento. I margini sulla costo-efficacia e sulla sostenibilità sono ampi; il margine sul rendimento sociale è più ristretto, ma anche al di sotto della fascia di </w:t>
      </w:r>
      <w:proofErr w:type="spellStart"/>
      <w:r>
        <w:rPr>
          <w:i/>
          <w:iCs/>
        </w:rPr>
        <w:t>Chisholm</w:t>
      </w:r>
      <w:proofErr w:type="spellEnd"/>
      <w:r>
        <w:rPr>
          <w:i/>
          <w:iCs/>
        </w:rPr>
        <w:t xml:space="preserve"> il rendimento resterebbe positivo. La copertura è sopra soglia su tutta la gamma degli scenari.</w:t>
      </w:r>
    </w:p>
    <w:p w14:paraId="4F196651" w14:textId="77777777" w:rsidR="007C4598" w:rsidRDefault="007C4598"/>
    <w:p w14:paraId="1C77226C" w14:textId="77777777" w:rsidR="007C4598" w:rsidRDefault="00000000">
      <w:pPr>
        <w:pStyle w:val="Titolo2"/>
        <w:spacing w:before="200" w:after="100"/>
      </w:pPr>
      <w:r>
        <w:rPr>
          <w:sz w:val="22"/>
          <w:szCs w:val="22"/>
        </w:rPr>
        <w:t>11.7.4  I margini, la copertura e la robustezza complessiva della raccomandazione</w:t>
      </w:r>
    </w:p>
    <w:p w14:paraId="2170396A" w14:textId="77777777" w:rsidR="007C4598" w:rsidRDefault="007C4598"/>
    <w:p w14:paraId="6957697A" w14:textId="77777777" w:rsidR="007C4598" w:rsidRDefault="00000000">
      <w:pPr>
        <w:jc w:val="both"/>
      </w:pPr>
      <w:r>
        <w:t>La quinta soglia attiene alla copertura, ossia al livello di attivazione della riforma al di sotto del quale essa cesserebbe di essere costo-efficace, e la sua collocazione conferma la robustezza della raccomandazione rispetto al dimensionamento. La conclusione di costo-efficacia è stata stabilita per tutti e tre gli scenari di copertura — conservativo, intermedio ed espansivo — e in tutti e tre il rapporto costo-efficacia è risultato ampiamente al di sotto della soglia convenzionale; ne consegue che il livello di copertura al di sotto del quale la riforma cesserebbe di essere costo-efficace è inferiore allo scenario conservativo, ossia al di sotto della gamma degli scenari considerati. La soglia di copertura è dunque collocata al di sotto dell’intera gamma degli scenari: quale che sia lo scenario di copertura adottato, entro la gamma considerata, la riforma resta costo-efficace, e la raccomandazione non muta al variare del dimensionamento entro tale gamma. Questa collocazione conferma la robustezza della raccomandazione rispetto al dimensionamento, già rilevata dall’analisi di sensibilità probabilistica: la raccomandazione non dipende dalla scelta dello scenario di copertura, ma vale per l’intera gamma, dal conservativo all’espansivo.</w:t>
      </w:r>
    </w:p>
    <w:p w14:paraId="59766295" w14:textId="77777777" w:rsidR="007C4598" w:rsidRDefault="007C4598"/>
    <w:p w14:paraId="2DB0D23C" w14:textId="77777777" w:rsidR="007C4598" w:rsidRDefault="00000000">
      <w:pPr>
        <w:jc w:val="both"/>
      </w:pPr>
      <w:r>
        <w:t xml:space="preserve">La valutazione complessiva dei margini consente di formulare un giudizio sulla robustezza della raccomandazione, articolato per dimensione. Sulla dimensione della costo-efficacia, i margini sono ampi — dell’ordine di quaranta centesimi sull’efficacia e di settanta sul costo — e la raccomandazione è perciò molto robusta: la conclusione di costo-efficacia resisterebbe a scostamenti molto rilevanti dei parametri, coerentemente con l’elevata probabilità di costo-efficacia rilevata dall’analisi di sensibilità. Sulla dimensione della sostenibilità di bilancio, il margine è ampio — dell’ordine del raddoppio del costo — e la raccomandazione è perciò robusta: la conclusione di sostenibilità resisterebbe a un aumento del costo molto rilevante. Sulla dimensione del rendimento sociale, il margine è più ristretto — dell’ordine di dodici centesimi — e la raccomandazione è perciò meno robusta su questa dimensione: una caduta dei benefici indiretti dell’ordine di un ottavo porterebbe il rapporto al di sotto della fascia di </w:t>
      </w:r>
      <w:proofErr w:type="spellStart"/>
      <w:r>
        <w:t>Chisholm</w:t>
      </w:r>
      <w:proofErr w:type="spellEnd"/>
      <w:r>
        <w:t>, ancorché il rendimento resterebbe positivo. Sulla dimensione della copertura, la soglia è al di sotto dell’intera gamma degli scenari, e la raccomandazione è perciò robusta rispetto al dimensionamento. La robustezza complessiva della raccomandazione è dunque elevata sulla costo-efficacia, sulla sostenibilità e sulla copertura, e più contenuta sul rendimento sociale, su cui il margine è più ristretto; e questa articolazione individua nel rendimento sociale la dimensione su cui la verifica ex-post andrà condotta con maggiore attenzione, perché su essa il margine è minore.</w:t>
      </w:r>
      <w:r>
        <w:rPr>
          <w:color w:val="555555"/>
          <w:sz w:val="16"/>
          <w:szCs w:val="16"/>
          <w:vertAlign w:val="superscript"/>
        </w:rPr>
        <w:t>[23]</w:t>
      </w:r>
    </w:p>
    <w:p w14:paraId="737E150C"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1E2903C8"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6FA519D" w14:textId="77777777" w:rsidR="007C4598" w:rsidRDefault="00000000">
            <w:pPr>
              <w:spacing w:after="40"/>
            </w:pPr>
            <w:r>
              <w:rPr>
                <w:b/>
                <w:bCs/>
                <w:color w:val="FFFFFF"/>
                <w:sz w:val="18"/>
                <w:szCs w:val="18"/>
              </w:rPr>
              <w:t>◆ SEGNAPOSTO INFOGRAFICA — FIG. 11.G · DA INSERIRE A POSTERIORI Titolo previsto: I margini della raccomandazione: la distanza dai punti di ribaltamento — Puglia CODICE CANVA-FRIENDLY (scheda di generazione) Tipo di grafico: grafico a barre orizzontali dei margini (</w:t>
            </w:r>
            <w:proofErr w:type="spellStart"/>
            <w:r>
              <w:rPr>
                <w:b/>
                <w:bCs/>
                <w:color w:val="FFFFFF"/>
                <w:sz w:val="18"/>
                <w:szCs w:val="18"/>
              </w:rPr>
              <w:t>safety-margin</w:t>
            </w:r>
            <w:proofErr w:type="spellEnd"/>
            <w:r>
              <w:rPr>
                <w:b/>
                <w:bCs/>
                <w:color w:val="FFFFFF"/>
                <w:sz w:val="18"/>
                <w:szCs w:val="18"/>
              </w:rPr>
              <w:t xml:space="preserve"> chart) che rappresenta, per ciascuna dimensione, il margine che separa il valore atteso dal punto di ribaltamento, espresso come scostamento percentuale del parametro. Lettura: quattro barre orizzontali (efficacia, costo per costo-efficacia, benefici indiretti, costo per sostenibilità); la lunghezza di ciascuna barra rappresenta l’ampiezza del margine; le barre ampie (efficacia, costo, sostenibilità) in evidenza, la barra più corta (benefici indiretti) distinta per segnalare il margine minore; una linea verticale all’origine segnala il punto di ribaltamento. Palette: barre dei margini ampi in blu </w:t>
            </w:r>
            <w:proofErr w:type="spellStart"/>
            <w:r>
              <w:rPr>
                <w:b/>
                <w:bCs/>
                <w:color w:val="FFFFFF"/>
                <w:sz w:val="18"/>
                <w:szCs w:val="18"/>
              </w:rPr>
              <w:t>navy</w:t>
            </w:r>
            <w:proofErr w:type="spellEnd"/>
            <w:r>
              <w:rPr>
                <w:b/>
                <w:bCs/>
                <w:color w:val="FFFFFF"/>
                <w:sz w:val="18"/>
                <w:szCs w:val="18"/>
              </w:rPr>
              <w:t xml:space="preserve"> #16264B; barra del margine ristretto (benefici indiretti) in oro #C49A48; linea del punto di ribaltamento in blu medio #244272; griglia in grigio #D8D8D8. Sfondo: gradiente verticale bianco 85% (#FFFFFF) → crema 15% (#F3EAD6).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 titolo </w:t>
            </w:r>
            <w:proofErr w:type="spellStart"/>
            <w:r>
              <w:rPr>
                <w:b/>
                <w:bCs/>
                <w:color w:val="FFFFFF"/>
                <w:sz w:val="18"/>
                <w:szCs w:val="18"/>
              </w:rPr>
              <w:t>SemiBold</w:t>
            </w:r>
            <w:proofErr w:type="spellEnd"/>
            <w:r>
              <w:rPr>
                <w:b/>
                <w:bCs/>
                <w:color w:val="FFFFFF"/>
                <w:sz w:val="18"/>
                <w:szCs w:val="18"/>
              </w:rPr>
              <w:t xml:space="preserve">, etichette delle dimensioni Medium, valori dei margini </w:t>
            </w:r>
            <w:proofErr w:type="spellStart"/>
            <w:r>
              <w:rPr>
                <w:b/>
                <w:bCs/>
                <w:color w:val="FFFFFF"/>
                <w:sz w:val="18"/>
                <w:szCs w:val="18"/>
              </w:rPr>
              <w:t>Bold</w:t>
            </w:r>
            <w:proofErr w:type="spellEnd"/>
            <w:r>
              <w:rPr>
                <w:b/>
                <w:bCs/>
                <w:color w:val="FFFFFF"/>
                <w:sz w:val="18"/>
                <w:szCs w:val="18"/>
              </w:rPr>
              <w:t xml:space="preserve">. Dimensioni: 1920 × 1080 </w:t>
            </w:r>
            <w:proofErr w:type="spellStart"/>
            <w:r>
              <w:rPr>
                <w:b/>
                <w:bCs/>
                <w:color w:val="FFFFFF"/>
                <w:sz w:val="18"/>
                <w:szCs w:val="18"/>
              </w:rPr>
              <w:t>px</w:t>
            </w:r>
            <w:proofErr w:type="spellEnd"/>
            <w:r>
              <w:rPr>
                <w:b/>
                <w:bCs/>
                <w:color w:val="FFFFFF"/>
                <w:sz w:val="18"/>
                <w:szCs w:val="18"/>
              </w:rPr>
              <w:t xml:space="preserve"> · margini 96 </w:t>
            </w:r>
            <w:proofErr w:type="spellStart"/>
            <w:r>
              <w:rPr>
                <w:b/>
                <w:bCs/>
                <w:color w:val="FFFFFF"/>
                <w:sz w:val="18"/>
                <w:szCs w:val="18"/>
              </w:rPr>
              <w:t>px</w:t>
            </w:r>
            <w:proofErr w:type="spellEnd"/>
            <w:r>
              <w:rPr>
                <w:b/>
                <w:bCs/>
                <w:color w:val="FFFFFF"/>
                <w:sz w:val="18"/>
                <w:szCs w:val="18"/>
              </w:rPr>
              <w:t xml:space="preserve"> · orientamento orizzontale · modalità </w:t>
            </w:r>
            <w:proofErr w:type="spellStart"/>
            <w:r>
              <w:rPr>
                <w:b/>
                <w:bCs/>
                <w:color w:val="FFFFFF"/>
                <w:sz w:val="18"/>
                <w:szCs w:val="18"/>
              </w:rPr>
              <w:t>Canva-Friendly</w:t>
            </w:r>
            <w:proofErr w:type="spellEnd"/>
            <w:r>
              <w:rPr>
                <w:b/>
                <w:bCs/>
                <w:color w:val="FFFFFF"/>
                <w:sz w:val="18"/>
                <w:szCs w:val="18"/>
              </w:rPr>
              <w:t xml:space="preserve">. Valori da rappresentare: efficacia ~40%; costo (costo-efficacia) ~70%; benefici indiretti ~12%; costo (sostenibilità) ~100%. Il margine sui benefici indiretti, il più ristretto, in evidenza distinta. Variante 3D (consigliata): le barre come prismi orizzontali a profondità costante; il punto di ribaltamento come piano verticale all’origine; la barra del margine ristretto in rilievo, a segnalare la dimensione meno robusta. Fonte (piè di figura): Elaborazione dello studio; margini calcolati rispetto alla soglia convenzionale di costo-efficacia, alla fascia di </w:t>
            </w:r>
            <w:proofErr w:type="spellStart"/>
            <w:r>
              <w:rPr>
                <w:b/>
                <w:bCs/>
                <w:color w:val="FFFFFF"/>
                <w:sz w:val="18"/>
                <w:szCs w:val="18"/>
              </w:rPr>
              <w:t>Chisholm</w:t>
            </w:r>
            <w:proofErr w:type="spellEnd"/>
            <w:r>
              <w:rPr>
                <w:b/>
                <w:bCs/>
                <w:color w:val="FFFFFF"/>
                <w:sz w:val="18"/>
                <w:szCs w:val="18"/>
              </w:rPr>
              <w:t xml:space="preserve"> e alla soglia di rilevanza sul Fondo; valori come da tabella 11.12. La figura deve rendere evidente l’ampiezza dei margini sulla costo-efficacia e sulla sostenibilità, e la maggiore ristrettezza del margine sul rendimento sociale, su cui la raccomandazione è meno robusta e la verifica ex-post andrà condotta con maggiore attenzione.</w:t>
            </w:r>
          </w:p>
          <w:p w14:paraId="0C19CF3A" w14:textId="77777777" w:rsidR="007C4598" w:rsidRDefault="00000000">
            <w:pPr>
              <w:spacing w:before="120" w:after="60"/>
              <w:jc w:val="center"/>
            </w:pPr>
            <w:r>
              <w:rPr>
                <w:noProof/>
              </w:rPr>
              <w:drawing>
                <wp:inline distT="0" distB="0" distL="0" distR="0" wp14:anchorId="33B87FE7" wp14:editId="480F9C7B">
                  <wp:extent cx="8229600" cy="4629150"/>
                  <wp:effectExtent l="0" t="0" r="0" b="0"/>
                  <wp:docPr id="167" name="Infografica67" descr="I margini della raccomandazione: distanza dai punti di ribalt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Infografica67"/>
                          <pic:cNvPicPr>
                            <a:picLocks noChangeAspect="1" noChangeArrowheads="1"/>
                          </pic:cNvPicPr>
                        </pic:nvPicPr>
                        <pic:blipFill>
                          <a:blip r:embed="rId123">
                            <a:extLst>
                              <a:ext uri="{96DAC541-7B7A-43D3-8B79-37D633B846F1}">
                                <asvg:svgBlip xmlns:asvg="http://schemas.microsoft.com/office/drawing/2016/SVG/main" r:embed="rId124"/>
                              </a:ext>
                            </a:extLst>
                          </a:blip>
                          <a:stretch>
                            <a:fillRect/>
                          </a:stretch>
                        </pic:blipFill>
                        <pic:spPr bwMode="auto">
                          <a:xfrm>
                            <a:off x="0" y="0"/>
                            <a:ext cx="8229600" cy="4629150"/>
                          </a:xfrm>
                          <a:prstGeom prst="rect">
                            <a:avLst/>
                          </a:prstGeom>
                          <a:noFill/>
                          <a:ln>
                            <a:noFill/>
                          </a:ln>
                        </pic:spPr>
                      </pic:pic>
                    </a:graphicData>
                  </a:graphic>
                </wp:inline>
              </w:drawing>
            </w:r>
          </w:p>
          <w:p w14:paraId="552F99B8" w14:textId="77777777" w:rsidR="007C4598" w:rsidRDefault="00000000">
            <w:pPr>
              <w:spacing w:before="40" w:after="200"/>
              <w:jc w:val="center"/>
            </w:pPr>
            <w:r>
              <w:rPr>
                <w:i/>
                <w:color w:val="2E5A8F"/>
                <w:sz w:val="16"/>
                <w:szCs w:val="16"/>
              </w:rPr>
              <w:t>Fig. 11.G — I margini della raccomandazione: distanza dai punti di ribaltamento. Elaborazione dello studio · Luigi De Michele · Giugno 2026.</w:t>
            </w:r>
          </w:p>
        </w:tc>
      </w:tr>
    </w:tbl>
    <w:p w14:paraId="2682E4A0" w14:textId="77777777" w:rsidR="007C4598" w:rsidRDefault="007C4598"/>
    <w:p w14:paraId="0689A738" w14:textId="77777777" w:rsidR="007C4598" w:rsidRDefault="00000000">
      <w:pPr>
        <w:pStyle w:val="Titolo2"/>
        <w:spacing w:before="200" w:after="100"/>
      </w:pPr>
      <w:r>
        <w:rPr>
          <w:sz w:val="22"/>
          <w:szCs w:val="22"/>
        </w:rPr>
        <w:t>11.7.5  La graduazione, i confini e il raccordo con il resto dello studio</w:t>
      </w:r>
    </w:p>
    <w:p w14:paraId="69E0C1B1" w14:textId="77777777" w:rsidR="007C4598" w:rsidRDefault="007C4598"/>
    <w:p w14:paraId="6E73A5E6" w14:textId="77777777" w:rsidR="007C4598" w:rsidRDefault="00000000">
      <w:pPr>
        <w:jc w:val="both"/>
      </w:pPr>
      <w:r>
        <w:t xml:space="preserve">La solidità dell’individuazione delle soglie va dichiarata, distinguendone le componenti. Il metodo dell’individuazione delle soglie — il calcolo del valore del parametro al di là del quale la conclusione muterebbe — è solido, perché è la procedura consolidata dell’analisi di soglia nella valutazione economica. I valori delle soglie e dei margini sono sostenuti da fondamento coerente con le grandezze dello studio, perché sono calcolati a partire dai valori attesi e dalle soglie di riferimento — la soglia convenzionale di costo-efficacia, la fascia di </w:t>
      </w:r>
      <w:proofErr w:type="spellStart"/>
      <w:r>
        <w:t>Chisholm</w:t>
      </w:r>
      <w:proofErr w:type="spellEnd"/>
      <w:r>
        <w:t>, la soglia di rilevanza sul Fondo — stabiliti dalle parti precedenti; ma essi dipendono dalla scelta delle soglie di riferimento, e una diversa scelta — una diversa soglia convenzionale, una diversa soglia di rilevanza — produrrebbe margini lievemente diversi. I margini sono perciò robusti nel loro ordine di grandezza, e nella loro graduazione relativa — ampi sulla costo-efficacia e sulla sostenibilità, più ristretto sul rendimento sociale — ma da leggere come stime soggette alla scelta delle soglie di riferimento, non come valori di precisione puntuale. La graduazione relativa dei margini, che individua nel rendimento sociale la dimensione meno robusta, è solida, perché vale per ragionevoli variazioni delle soglie di riferimento.</w:t>
      </w:r>
      <w:r>
        <w:rPr>
          <w:color w:val="555555"/>
          <w:sz w:val="16"/>
          <w:szCs w:val="16"/>
          <w:vertAlign w:val="superscript"/>
        </w:rPr>
        <w:t>[24]</w:t>
      </w:r>
    </w:p>
    <w:p w14:paraId="65B05965" w14:textId="77777777" w:rsidR="007C4598" w:rsidRDefault="007C4598"/>
    <w:p w14:paraId="396266A9" w14:textId="77777777" w:rsidR="007C4598" w:rsidRDefault="00000000">
      <w:pPr>
        <w:jc w:val="both"/>
      </w:pPr>
      <w:r>
        <w:t>L’individuazione delle soglie completa la parte e ne prepara il raccordo con il resto dello studio. La parte ha proiettato nel tempo il valore consolidato, ne ha tratto le previsioni falsificabili sui quattro ambiti, e ha individuato le soglie che modificano la raccomandazione, misurandone i margini; essa ha così completato la proiezione e la falsificazione del valore della riforma, rendendo controllabili tanto i singoli esiti quanto la raccomandazione complessiva. Il raccordo con il resto dello studio è duplice. Verso la quindicesima parte, dedicata al monitoraggio e alla valutazione ex-post, la parte consegna le previsioni falsificabili e le soglie, che costituiscono l’oggetto della verifica: la quindicesima parte confronterà le previsioni con gli esiti osservati e i parametri con le soglie, e dichiarerà se le previsioni si siano avverate e se la raccomandazione sia confermata. Verso la dodicesima parte, dedicata all’analisi distributiva, la parte consegna la proiezione del valore, di cui la dodicesima parte studierà la distribuzione tra i territori e le popolazioni. La parte stabilisce così la proiezione falsificabile del valore della riforma, e la consegna alla verifica e all’analisi distributiva, completando il fulcro predittivo dello studio. Stabilite le previsioni e le soglie, la parte può trarre il quadro conclusivo.</w:t>
      </w:r>
    </w:p>
    <w:p w14:paraId="0F093B9D" w14:textId="77777777" w:rsidR="007C4598" w:rsidRDefault="007C4598"/>
    <w:p w14:paraId="70409DD2" w14:textId="77777777" w:rsidR="007C4598" w:rsidRDefault="00000000">
      <w:pPr>
        <w:pStyle w:val="Titolo1"/>
        <w:pageBreakBefore/>
      </w:pPr>
      <w:r>
        <w:rPr>
          <w:sz w:val="22"/>
          <w:szCs w:val="22"/>
        </w:rPr>
        <w:t>Quadro conclusivo economico-sociale e multidisciplinare integrale</w:t>
      </w:r>
    </w:p>
    <w:p w14:paraId="79F36C6F" w14:textId="77777777" w:rsidR="007C4598" w:rsidRDefault="007C4598"/>
    <w:p w14:paraId="0A93D4CA" w14:textId="77777777" w:rsidR="007C4598" w:rsidRDefault="00000000">
      <w:pPr>
        <w:jc w:val="both"/>
      </w:pPr>
      <w:r>
        <w:rPr>
          <w:i/>
          <w:iCs/>
        </w:rPr>
        <w:t xml:space="preserve">Il quadro conclusivo ricompone i risultati della modellazione e della previsione falsificabile in una visione d’insieme, e ne trae il significato per la rinegoziazione integrale dei costi e dei benefici. L’undicesima parte ha proiettato nel tempo il saldo economico consolidato attraverso il modello di </w:t>
      </w:r>
      <w:proofErr w:type="spellStart"/>
      <w:r>
        <w:rPr>
          <w:i/>
          <w:iCs/>
        </w:rPr>
        <w:t>Markov</w:t>
      </w:r>
      <w:proofErr w:type="spellEnd"/>
      <w:r>
        <w:rPr>
          <w:i/>
          <w:iCs/>
        </w:rPr>
        <w:t xml:space="preserve"> e la </w:t>
      </w:r>
      <w:proofErr w:type="spellStart"/>
      <w:r>
        <w:rPr>
          <w:i/>
          <w:iCs/>
        </w:rPr>
        <w:t>microsimulazione</w:t>
      </w:r>
      <w:proofErr w:type="spellEnd"/>
      <w:r>
        <w:rPr>
          <w:i/>
          <w:iCs/>
        </w:rPr>
        <w:t xml:space="preserve">, ne ha saggiato la robustezza con l’analisi di sensibilità probabilistica, ne ha tratto le previsioni falsificabili sui quattro ambiti su cui la riforma incide, e ha individuato le soglie che modificano la raccomandazione, misurandone i margini. Il quadro conclusivo raccoglie questi risultati, ne dichiara il significato per la proiezione del valore e per la sua falsificabilità, ne mostra la coerenza con i risultati statici della decima parte, ne richiama la robustezza attestata dai margini e dall’analisi probabilistica, ne ribadisce il rispetto del </w:t>
      </w:r>
      <w:proofErr w:type="spellStart"/>
      <w:r>
        <w:rPr>
          <w:i/>
          <w:iCs/>
        </w:rPr>
        <w:t>caveat</w:t>
      </w:r>
      <w:proofErr w:type="spellEnd"/>
      <w:r>
        <w:rPr>
          <w:i/>
          <w:iCs/>
        </w:rPr>
        <w:t xml:space="preserve"> dell’IMPACT trial e della separazione delle dimensioni, e ne prepara il raccordo con la verifica ex-post e con l’analisi distributiva delle parti successive.</w:t>
      </w:r>
    </w:p>
    <w:p w14:paraId="6457039A" w14:textId="77777777" w:rsidR="007C4598" w:rsidRDefault="007C4598"/>
    <w:p w14:paraId="793209F4" w14:textId="77777777" w:rsidR="007C4598" w:rsidRDefault="00000000">
      <w:pPr>
        <w:pStyle w:val="Titolo2"/>
        <w:spacing w:before="200" w:after="100"/>
      </w:pPr>
      <w:r>
        <w:rPr>
          <w:sz w:val="22"/>
          <w:szCs w:val="22"/>
        </w:rPr>
        <w:t>La proiezione del valore e la forma falsificabile delle previsioni</w:t>
      </w:r>
    </w:p>
    <w:p w14:paraId="0FB4BBC5" w14:textId="77777777" w:rsidR="007C4598" w:rsidRDefault="007C4598"/>
    <w:p w14:paraId="23943E39" w14:textId="77777777" w:rsidR="007C4598" w:rsidRDefault="00000000">
      <w:pPr>
        <w:jc w:val="both"/>
      </w:pPr>
      <w:r>
        <w:t xml:space="preserve">Il risultato centrale dell’undicesima parte è la proiezione del valore della riforma nel tempo, e la sua traduzione in previsioni falsificabili. La decima parte aveva stabilito il saldo economico consolidato, sintesi statica del valore della riforma a regime; l’undicesima parte ne ha proiettato le grandezze lungo l’orizzonte decennale, attraverso il modello di </w:t>
      </w:r>
      <w:proofErr w:type="spellStart"/>
      <w:r>
        <w:t>Markov</w:t>
      </w:r>
      <w:proofErr w:type="spellEnd"/>
      <w:r>
        <w:t xml:space="preserve"> e la </w:t>
      </w:r>
      <w:proofErr w:type="spellStart"/>
      <w:r>
        <w:t>microsimulazione</w:t>
      </w:r>
      <w:proofErr w:type="spellEnd"/>
      <w:r>
        <w:t>, modellando il passaggio dalla fase di avvio alla fase di regime e l’accumulo dei guadagni nel tempo. La proiezione ha mostrato che il valore della riforma cresce nel tempo, dal graduale crescere della popolazione intercettata all’accumulo dei guadagni delle coorti via via prese in carico, sicché i guadagni di salute cumulati a dieci anni sono circa il doppio di quelli a cinque anni. La proiezione del valore non è tuttavia il risultato ultimo della parte, ma il presupposto delle previsioni: la parte ha tradotto i risultati della proiezione in previsioni falsificabili, formulate non come asserzioni di esiti certi, ma come bande corredate di soglie di confutazione e di metodi di verifica. È questa forma falsificabile che distingue la parte da un’esposizione di esiti auspicati: ogni previsione è un enunciato controllabile, che indica il valore previsto, la banda entro cui si colloca, la soglia al di sotto della quale è smentito, e il modo in cui sarà verificato; e la riforma è perciò esposta, attraverso le sue previsioni, alla verifica dei fatti.</w:t>
      </w:r>
      <w:r>
        <w:rPr>
          <w:color w:val="555555"/>
          <w:sz w:val="16"/>
          <w:szCs w:val="16"/>
          <w:vertAlign w:val="superscript"/>
        </w:rPr>
        <w:t>[25]</w:t>
      </w:r>
    </w:p>
    <w:p w14:paraId="0923D964" w14:textId="77777777" w:rsidR="007C4598" w:rsidRDefault="007C4598"/>
    <w:p w14:paraId="3F578C26" w14:textId="77777777" w:rsidR="007C4598" w:rsidRDefault="00000000">
      <w:pPr>
        <w:jc w:val="both"/>
      </w:pPr>
      <w:r>
        <w:t>La forma falsificabile delle previsioni è la traduzione, nella proiezione, del rigore prudenziale e controllabile che ha governato l’intero studio. Lo studio ha formulato ogni grandezza in bande prudenziali, corredate di soglie e di intervalli dichiarati, sì che ciascuna potesse essere verificata e confutata; e l’undicesima parte ha portato questo rigore al suo compimento, formulando ogni previsione in forma esplicitamente falsificabile, con la propria soglia di confutazione e il proprio metodo di verifica. La soglia di confutazione, collocata al di sotto della banda prevista, fa sì che la previsione sia smentita non da una qualsiasi deviazione dal valore centrale, ma soltanto da un esito sensibilmente inferiore alla banda; il metodo di verifica indica il modo in cui la previsione sarà controllata sulla popolazione reale. La forma falsificabile non è dunque una cautela retorica, ma un vincolo metodologico stringente, che espone la riforma alla verifica dei fatti e ne fa una proposta scientificamente controllabile, anziché un’asserzione di valore indimostrata. È questa forma che distingue la proiezione dell’undicesima parte da una proiezione compiacente, e che ne fonda l’attendibilità presso il decisore, il quale dispone non di promesse, ma di previsioni controllabili, di cui potrà verificare l’avveramento a riforma attuata.</w:t>
      </w:r>
    </w:p>
    <w:p w14:paraId="1CA857D6" w14:textId="77777777" w:rsidR="007C4598" w:rsidRDefault="007C4598"/>
    <w:p w14:paraId="013E71E8" w14:textId="77777777" w:rsidR="007C4598" w:rsidRDefault="00000000">
      <w:pPr>
        <w:pStyle w:val="Titolo2"/>
        <w:spacing w:before="200" w:after="100"/>
      </w:pPr>
      <w:r>
        <w:rPr>
          <w:sz w:val="22"/>
          <w:szCs w:val="22"/>
        </w:rPr>
        <w:t>Le previsioni sui quattro ambiti e la finalità prima della riforma</w:t>
      </w:r>
    </w:p>
    <w:p w14:paraId="53A4777E" w14:textId="77777777" w:rsidR="007C4598" w:rsidRDefault="007C4598"/>
    <w:p w14:paraId="67890F0A" w14:textId="77777777" w:rsidR="007C4598" w:rsidRDefault="00000000">
      <w:pPr>
        <w:jc w:val="both"/>
      </w:pPr>
      <w:r>
        <w:t xml:space="preserve">La parte ha formulato le previsioni falsificabili sui quattro ambiti su cui la riforma incide, ordinati secondo la loro prossimità alla finalità della riforma. Il primo ambito è la qualità della vita delle persone, finalità prima della riforma e origine di ogni altro suo effetto: la parte ha previsto i guadagni di salute cumulati — dell’ordine di </w:t>
      </w:r>
      <w:proofErr w:type="spellStart"/>
      <w:r>
        <w:t>ottomilacinquecento</w:t>
      </w:r>
      <w:proofErr w:type="spellEnd"/>
      <w:r>
        <w:t xml:space="preserve"> anni di vita in buona salute a cinque anni e di diciassettemila a dieci anni, nello scenario intermedio — la riduzione del disagio non intercettato, il restringimento del divario di trattamento e il miglioramento della qualità della vita dei presi in carico. Il secondo ambito è quello dei bilanci regionali, su cui la riforma incide attraverso il costo e i risparmi: la parte ha previsto la traiettoria dell’impatto netto verso il pareggio a regime, i risparmi diretti, e l’incidenza contenuta sul Fondo sanitario regionale. Il terzo ambito è quello della burocrazia e dell’efficienza amministrativa, su cui la riforma incide attraverso la funzione di filtro: la parte ha previsto la riduzione degli invii inappropriati, l’alleggerimento del carico amministrativo, la riduzione dei tempi di attesa e l’aumento dell’appropriatezza dei percorsi. Il quarto ambito è quello dei sistemi sanitari regionali, su cui la riforma incide attraverso la riduzione del ricorso ai livelli onerosi: la parte ha previsto la riduzione degli accessi impropri, dei ricoveri, della mobilità passiva e della spesa farmaceutica inappropriata, e l’alleggerimento delle cure primarie.</w:t>
      </w:r>
    </w:p>
    <w:p w14:paraId="1012D804" w14:textId="77777777" w:rsidR="007C4598" w:rsidRDefault="007C4598"/>
    <w:p w14:paraId="3DF5BBB7" w14:textId="77777777" w:rsidR="007C4598" w:rsidRDefault="00000000">
      <w:pPr>
        <w:jc w:val="both"/>
      </w:pPr>
      <w:r>
        <w:t>L’ordine dei quattro ambiti riflette la struttura causale del valore della riforma, che muove dalla qualità della vita delle persone e si propaga agli altri ambiti. La qualità della vita delle persone è l’ambito primo, perché il miglioramento clinico che la riforma produce è l’origine di ogni altro suo effetto: è dal miglioramento clinico che derivano i risparmi sui bilanci, l’alleggerimento della burocrazia e la riduzione del ricorso ai livelli onerosi del sistema. I bilanci, la burocrazia e i sistemi sanitari sono ambiti derivati, su cui la riforma incide in conseguenza del miglioramento clinico: i risparmi sui bilanci derivano dalla riduzione del ricorso ai livelli onerosi, l’alleggerimento della burocrazia deriva dalla funzione di filtro che il trattamento appropriato consente, la riduzione del ricorso ai livelli onerosi deriva dall’intercettazione del disagio. Le previsioni sui quattro ambiti riflettono questa struttura causale: la previsione sulla qualità della vita è la previsione fondamentale, da cui le altre dipendono; le previsioni sui bilanci, sulla burocrazia e sui sistemi sanitari sono le previsioni derivate, che misurano la propagazione del miglioramento clinico agli ambiti derivati. La parte ha mantenuto, nelle previsioni, la distinzione tra le dimensioni del valore stabilita dalla decima parte: le previsioni sulla qualità della vita attengono alla dimensione di salute, le previsioni sui bilanci alla dimensione fiscale, le previsioni sui sistemi sanitari misurano sul piano fisico gli stessi fenomeni dei risparmi diretti, senza duplicazione, e le previsioni sulla burocrazia misurano l’effetto organizzativo, distinto dal suo eventuale valore economico già computato altrove.</w:t>
      </w:r>
      <w:r>
        <w:rPr>
          <w:color w:val="555555"/>
          <w:sz w:val="16"/>
          <w:szCs w:val="16"/>
          <w:vertAlign w:val="superscript"/>
        </w:rPr>
        <w:t>[26]</w:t>
      </w:r>
    </w:p>
    <w:p w14:paraId="172F200B" w14:textId="77777777" w:rsidR="007C4598" w:rsidRDefault="007C4598"/>
    <w:p w14:paraId="05ED0131" w14:textId="77777777" w:rsidR="007C4598" w:rsidRDefault="00000000">
      <w:pPr>
        <w:pStyle w:val="Titolo2"/>
        <w:spacing w:before="200" w:after="100"/>
      </w:pPr>
      <w:r>
        <w:rPr>
          <w:sz w:val="22"/>
          <w:szCs w:val="22"/>
        </w:rPr>
        <w:t>La robustezza della raccomandazione e i margini dalle soglie</w:t>
      </w:r>
    </w:p>
    <w:p w14:paraId="70537B4E" w14:textId="77777777" w:rsidR="007C4598" w:rsidRDefault="007C4598"/>
    <w:p w14:paraId="4DAE5C9E" w14:textId="77777777" w:rsidR="007C4598" w:rsidRDefault="00000000">
      <w:pPr>
        <w:jc w:val="both"/>
      </w:pPr>
      <w:r>
        <w:t xml:space="preserve">La parte ha individuato le soglie il cui superamento modifica la raccomandazione, e ne ha misurato i margini, traendone la valutazione della robustezza della raccomandazione su ciascuna dimensione. I margini misurano la distanza che separa il valore atteso di un parametro dal valore di soglia al di là del quale la raccomandazione andrebbe rivista, e la loro ampiezza misura la robustezza della raccomandazione: ampia per una raccomandazione robusta, ristretta per una fragile. Sulla dimensione della costo-efficacia, i margini sono ampi — i guadagni di salute dovrebbero ridursi di una quota dell’ordine di quaranta centesimi, o il costo crescere di una quota dell’ordine di settanta centesimi, perché la riforma cessasse di essere costo-efficace alla soglia convenzionale — e la raccomandazione è perciò molto robusta su questa dimensione, coerentemente con l’elevata probabilità di costo-efficacia attestata dall’analisi di sensibilità probabilistica. Sulla dimensione della sostenibilità di bilancio, il margine è ampio — il costo dovrebbe all’incirca raddoppiare perché l’incidenza sul Fondo raggiungesse la soglia di rilevanza — e la raccomandazione è perciò robusta. Sulla dimensione della copertura, la soglia è al di sotto dell’intera gamma degli scenari, e la raccomandazione è perciò robusta rispetto al dimensionamento. Sulla dimensione del rendimento sociale, il margine è più ristretto — i benefici indiretti dovrebbero ridursi di una quota dell’ordine di dodici centesimi perché il rapporto uscisse dalla fascia di </w:t>
      </w:r>
      <w:proofErr w:type="spellStart"/>
      <w:r>
        <w:t>Chisholm</w:t>
      </w:r>
      <w:proofErr w:type="spellEnd"/>
      <w:r>
        <w:t xml:space="preserve"> — e la raccomandazione è perciò meno robusta su questa dimensione.</w:t>
      </w:r>
    </w:p>
    <w:p w14:paraId="3523E7D9" w14:textId="77777777" w:rsidR="007C4598" w:rsidRDefault="007C4598"/>
    <w:p w14:paraId="3D82507D" w14:textId="77777777" w:rsidR="007C4598" w:rsidRDefault="00000000">
      <w:pPr>
        <w:jc w:val="both"/>
      </w:pPr>
      <w:r>
        <w:t xml:space="preserve">La valutazione dei margini individua nel rendimento sociale la dimensione su cui la raccomandazione è meno robusta, e ne trae l’indicazione per la verifica ex-post. Il margine più ristretto sul rendimento sociale non significa che la conclusione su questa dimensione sia fragile in senso assoluto: una riduzione dei benefici indiretti dell’ordine di un ottavo è pur sempre rilevante, e, anche al di sotto della fascia di </w:t>
      </w:r>
      <w:proofErr w:type="spellStart"/>
      <w:r>
        <w:t>Chisholm</w:t>
      </w:r>
      <w:proofErr w:type="spellEnd"/>
      <w:r>
        <w:t>, il rendimento sociale resterebbe positivo, ancorché inferiore alla fascia di riferimento. Esso significa, piuttosto, che il rendimento sociale è la dimensione su cui il margine è minore, e perciò quella su cui la verifica ex-post andrà condotta con maggiore attenzione: è sui benefici indiretti che l’eventuale scostamento del valore osservato dal valore atteso potrebbe più facilmente modificare la conclusione, ed è perciò su essi che il monitoraggio dovrà concentrarsi. La robustezza complessiva della raccomandazione è dunque elevata sulla costo-efficacia, sulla sostenibilità e sulla copertura, e più contenuta sul rendimento sociale; e questa articolazione, lungi dall’indebolire la raccomandazione, ne precisa la struttura, indicando le dimensioni su cui essa è più solida e quella su cui la verifica andrà condotta con maggiore cura. La raccomandazione favorevole sulla riforma, stabilita dalla decima parte e proiettata dall’undicesima, è perciò sostenuta da margini in prevalenza ampi, e resta falsificabile, esposta alla revisione ove i parametri osservati superassero le soglie.</w:t>
      </w:r>
    </w:p>
    <w:p w14:paraId="4B56B163" w14:textId="77777777" w:rsidR="007C4598" w:rsidRDefault="007C4598"/>
    <w:p w14:paraId="57E004F8" w14:textId="77777777" w:rsidR="007C4598" w:rsidRDefault="00000000">
      <w:pPr>
        <w:pStyle w:val="Titolo2"/>
        <w:spacing w:before="200" w:after="100"/>
      </w:pPr>
      <w:r>
        <w:rPr>
          <w:sz w:val="22"/>
          <w:szCs w:val="22"/>
        </w:rPr>
        <w:t xml:space="preserve">Il </w:t>
      </w:r>
      <w:proofErr w:type="spellStart"/>
      <w:r>
        <w:rPr>
          <w:sz w:val="22"/>
          <w:szCs w:val="22"/>
        </w:rPr>
        <w:t>caveat</w:t>
      </w:r>
      <w:proofErr w:type="spellEnd"/>
      <w:r>
        <w:rPr>
          <w:sz w:val="22"/>
          <w:szCs w:val="22"/>
        </w:rPr>
        <w:t xml:space="preserve"> dell’IMPACT trial e la separazione delle dimensioni nella proiezione</w:t>
      </w:r>
    </w:p>
    <w:p w14:paraId="482B8E69" w14:textId="77777777" w:rsidR="007C4598" w:rsidRDefault="007C4598"/>
    <w:p w14:paraId="4A0336B3" w14:textId="77777777" w:rsidR="007C4598" w:rsidRDefault="00000000">
      <w:pPr>
        <w:jc w:val="both"/>
      </w:pPr>
      <w:r>
        <w:t xml:space="preserve">La parte ha mantenuto, nella proiezione e nelle previsioni, il </w:t>
      </w:r>
      <w:proofErr w:type="spellStart"/>
      <w:r>
        <w:t>caveat</w:t>
      </w:r>
      <w:proofErr w:type="spellEnd"/>
      <w:r>
        <w:t xml:space="preserve"> dell’IMPACT trial sui risparmi diretti, che ha governato l’intero studio. Il </w:t>
      </w:r>
      <w:proofErr w:type="spellStart"/>
      <w:r>
        <w:t>caveat</w:t>
      </w:r>
      <w:proofErr w:type="spellEnd"/>
      <w:r>
        <w:t xml:space="preserve"> avverte che i risparmi sui costi sanitari diretti, ancorché presenti, non raggiungono la significatività statistica nell’evidenza disponibile, e che la previsione dei risparmi è perciò soggetta a un’incertezza maggiore di quella delle altre grandezze. La parte ha tradotto questo </w:t>
      </w:r>
      <w:proofErr w:type="spellStart"/>
      <w:r>
        <w:t>caveat</w:t>
      </w:r>
      <w:proofErr w:type="spellEnd"/>
      <w:r>
        <w:t xml:space="preserve"> in due luoghi della proiezione. Nelle distribuzioni dell’analisi di sensibilità probabilistica, l’incertezza dei risparmi è riflessa nell’ampiezza delle distribuzioni dei parametri che li generano, sicché la propagazione dell’incertezza agli esiti ne tenga conto. Nelle previsioni sui bilanci, il </w:t>
      </w:r>
      <w:proofErr w:type="spellStart"/>
      <w:r>
        <w:t>caveat</w:t>
      </w:r>
      <w:proofErr w:type="spellEnd"/>
      <w:r>
        <w:t xml:space="preserve"> è tradotto nella duplice formulazione delle previsioni — la variante centrale, che computa i risparmi, e la variante prudenziale, che li esclude — sicché il decisore disponga della previsione tanto nell’ipotesi che i risparmi si realizzino quanto nell’ipotesi che non si realizzino. Le previsioni sui sistemi sanitari, che misurano sul piano fisico gli stessi fenomeni dei risparmi diretti, ereditano il medesimo </w:t>
      </w:r>
      <w:proofErr w:type="spellStart"/>
      <w:r>
        <w:t>caveat</w:t>
      </w:r>
      <w:proofErr w:type="spellEnd"/>
      <w:r>
        <w:t xml:space="preserve">, e la loro verifica concorrerà a determinare la realtà dei risparmi. Il </w:t>
      </w:r>
      <w:proofErr w:type="spellStart"/>
      <w:r>
        <w:t>caveat</w:t>
      </w:r>
      <w:proofErr w:type="spellEnd"/>
      <w:r>
        <w:t xml:space="preserve"> dell’IMPACT trial, preservato nell’intero studio, è dunque mantenuto anche nella proiezione, che non nasconde l’incertezza dei risparmi, ma la espone nelle distribuzioni e nella duplice formulazione delle previsioni.</w:t>
      </w:r>
    </w:p>
    <w:p w14:paraId="785641B9" w14:textId="77777777" w:rsidR="007C4598" w:rsidRDefault="007C4598"/>
    <w:p w14:paraId="2024481A" w14:textId="77777777" w:rsidR="007C4598" w:rsidRDefault="00000000">
      <w:pPr>
        <w:jc w:val="both"/>
      </w:pPr>
      <w:r>
        <w:t xml:space="preserve">La parte ha inoltre mantenuto, nella proiezione e nelle previsioni, la separazione delle tre dimensioni del valore che la decima parte ha preservato fino al saldo conclusivo. Le previsioni sulla qualità della vita attengono alla dimensione di salute; le previsioni sui bilanci attengono alla dimensione fiscale; le previsioni sui sistemi sanitari misurano sul piano fisico gli stessi fenomeni che, sul piano economico, generano i risparmi diretti della dimensione fiscale, senza costituire una dimensione economica autonoma; le previsioni sulla burocrazia misurano l’effetto organizzativo, distinto dal suo eventuale valore economico, già computato nelle dimensioni fiscale o sociale. La proiezione non ha dunque sommato le previsioni in un’unica cifra, né ha attribuito a più dimensioni il medesimo valore, ma ha mantenuto le dimensioni distinte e ha evitato la duplicazione, in coerenza con la regola che ha governato l’intero studio. La separazione delle dimensioni nella proiezione è la garanzia che le previsioni non gonfino il valore della riforma per somma indebita o per duplicazione, ma ne misurino le componenti distinte, ciascuna sulla propria dimensione; ed è questa separazione, insieme al </w:t>
      </w:r>
      <w:proofErr w:type="spellStart"/>
      <w:r>
        <w:t>caveat</w:t>
      </w:r>
      <w:proofErr w:type="spellEnd"/>
      <w:r>
        <w:t xml:space="preserve"> dell’IMPACT trial e alla forma falsificabile, che fa della proiezione dell’undicesima parte una proiezione rigorosa, fedele ai principi dello studio.</w:t>
      </w:r>
      <w:r>
        <w:rPr>
          <w:color w:val="555555"/>
          <w:sz w:val="16"/>
          <w:szCs w:val="16"/>
          <w:vertAlign w:val="superscript"/>
        </w:rPr>
        <w:t>[27]</w:t>
      </w:r>
    </w:p>
    <w:p w14:paraId="2AEEC485" w14:textId="77777777" w:rsidR="007C4598" w:rsidRDefault="007C4598"/>
    <w:p w14:paraId="24F5E933" w14:textId="77777777" w:rsidR="007C4598" w:rsidRDefault="00000000">
      <w:pPr>
        <w:pStyle w:val="Titolo2"/>
        <w:spacing w:before="200" w:after="100"/>
      </w:pPr>
      <w:r>
        <w:rPr>
          <w:sz w:val="22"/>
          <w:szCs w:val="22"/>
        </w:rPr>
        <w:t>Il raccordo con la verifica ex-post e con l’analisi distributiva</w:t>
      </w:r>
    </w:p>
    <w:p w14:paraId="09001CED" w14:textId="77777777" w:rsidR="007C4598" w:rsidRDefault="007C4598"/>
    <w:p w14:paraId="646269F1" w14:textId="77777777" w:rsidR="007C4598" w:rsidRDefault="00000000">
      <w:pPr>
        <w:jc w:val="both"/>
      </w:pPr>
      <w:r>
        <w:t>La proiezione falsificabile del valore della riforma, che chiude l’undicesima parte, si raccorda con le parti successive dello studio, a cui consegna le previsioni e la proiezione. Il primo raccordo è con la quindicesima parte, dedicata al monitoraggio e alla valutazione ex-post, a cui la parte consegna le previsioni falsificabili e le soglie. Le previsioni della parte sono enunciati controllabili, corredati di soglie di confutazione e di metodi di verifica, ma non ancora verificati: la verifica richiede l’osservazione degli esiti sulla popolazione reale, a riforma attuata, che è il compito della quindicesima parte. La quindicesima parte assumerà le previsioni e le soglie della parte, e ne condurrà il riscontro: confronterà ciascuna previsione con l’esito osservato, attraverso il metodo di verifica indicato, e dichiarerà se la previsione si sia avverata o sia stata smentita; confronterà i parametri osservati con le soglie, e dichiarerà se la raccomandazione sia confermata o vada rivista. La falsificabilità delle previsioni, che la parte ha stabilito, trova dunque nella quindicesima parte il suo compimento: senza la verifica, le previsioni resterebbero enunciati controllabili ma non controllati; con la verifica, esse diventano enunciati controllati, di cui è dichiarato l’avveramento o la smentita.</w:t>
      </w:r>
    </w:p>
    <w:p w14:paraId="2E872515" w14:textId="77777777" w:rsidR="007C4598" w:rsidRDefault="007C4598"/>
    <w:p w14:paraId="11A66B00" w14:textId="77777777" w:rsidR="007C4598" w:rsidRDefault="00000000">
      <w:pPr>
        <w:jc w:val="both"/>
      </w:pPr>
      <w:r>
        <w:t>Il secondo raccordo è con la dodicesima parte, dedicata all’analisi distributiva, a cui la parte consegna la proiezione del valore. La proiezione della parte stabilisce l’andamento temporale del valore complessivo della riforma, ma non ne studia la distribuzione tra i territori e le popolazioni: essa dice come il valore della riforma evolve nel tempo, non come si ripartisce nello spazio sociale. La dodicesima parte assumerà la proiezione del valore e ne studierà la distribuzione, valutando l’equità con cui i costi e i benefici si ripartiscono tra le aree della regione e tra i gruppi della popolazione, e il rischio che la leva digitale, su cui la riforma si appoggia, introduca un divario di accesso. La proiezione fornisce dunque all’analisi distributiva il suo oggetto: il valore della riforma proiettato nel tempo, di cui la dodicesima parte studierà la ripartizione. Con questi due raccordi — alla quindicesima parte, che ne verificherà le previsioni, e alla dodicesima, che ne studierà la distribuzione — l’undicesima parte si inserisce nel disegno complessivo dello studio, di cui costituisce il fulcro predittivo, e consegna alle parti successive la proiezione falsificabile che ne è il risultato. La rinegoziazione integrale dei costi e dei benefici, che muove dalla valutazione statica della decima parte e si svolge nella proiezione dinamica dell’undicesima, trova così la sua forma controllabile: non un’asserzione di valore, ma una proiezione falsificabile, esposta alla verifica dei fatti.</w:t>
      </w:r>
    </w:p>
    <w:p w14:paraId="3863A6B5" w14:textId="77777777" w:rsidR="007C4598" w:rsidRDefault="007C4598"/>
    <w:p w14:paraId="61FF4113" w14:textId="77777777" w:rsidR="007C4598" w:rsidRDefault="00000000">
      <w:pPr>
        <w:pStyle w:val="Titolo1"/>
        <w:pageBreakBefore/>
      </w:pPr>
      <w:r>
        <w:rPr>
          <w:sz w:val="22"/>
          <w:szCs w:val="22"/>
        </w:rPr>
        <w:t>Conclusione</w:t>
      </w:r>
    </w:p>
    <w:p w14:paraId="18704F25" w14:textId="77777777" w:rsidR="007C4598" w:rsidRDefault="007C4598"/>
    <w:p w14:paraId="2798FEBB" w14:textId="77777777" w:rsidR="007C4598" w:rsidRDefault="00000000">
      <w:pPr>
        <w:jc w:val="both"/>
      </w:pPr>
      <w:r>
        <w:rPr>
          <w:i/>
          <w:iCs/>
        </w:rPr>
        <w:t>La conclusione raccoglie quanto l’undicesima parte ha stabilito, ne ribadisce il carattere falsificabile e ne dichiara il rapporto con le parti che seguono. La parte ha proiettato nel tempo il saldo economico consolidato, ne ha saggiato la robustezza, ne ha tratto le previsioni falsificabili sui quattro ambiti su cui la riforma incide, e ha individuato le soglie che modificano la raccomandazione; e ha così fornito il fulcro predittivo dell’intero studio, che la quindicesima parte sottoporrà a verifica e la dodicesima all’analisi distributiva.</w:t>
      </w:r>
    </w:p>
    <w:p w14:paraId="33711FEE" w14:textId="77777777" w:rsidR="007C4598" w:rsidRDefault="007C4598"/>
    <w:p w14:paraId="15E2B8B1" w14:textId="77777777" w:rsidR="007C4598" w:rsidRDefault="00000000">
      <w:pPr>
        <w:jc w:val="both"/>
      </w:pPr>
      <w:r>
        <w:t xml:space="preserve">L’undicesima parte ha stabilito la proiezione falsificabile del valore della riforma del Servizio di Psicologia di Base in Puglia. Essa ha assunto il saldo economico consolidato, stabilito staticamente dalla decima parte, e lo ha proiettato lungo l’orizzonte decennale, attraverso il modello di </w:t>
      </w:r>
      <w:proofErr w:type="spellStart"/>
      <w:r>
        <w:t>Markov</w:t>
      </w:r>
      <w:proofErr w:type="spellEnd"/>
      <w:r>
        <w:t xml:space="preserve"> e la </w:t>
      </w:r>
      <w:proofErr w:type="spellStart"/>
      <w:r>
        <w:t>microsimulazione</w:t>
      </w:r>
      <w:proofErr w:type="spellEnd"/>
      <w:r>
        <w:t>, che rappresentano il decorso del disagio comune e l’effetto della riforma sulle sue transizioni. Il modello ha mostrato che la riforma, modificando le probabilità di transizione — accrescendo la remissione e riducendo la cronicizzazione — genera guadagni di salute e risparmi che si accumulano nel tempo, dalla fase di avvio alla fase di regime. L’analisi di sensibilità probabilistica ha sottoposto la proiezione alla prova dell’incertezza, e ha stabilito che la riforma è costo-efficace con probabilità elevata — dell’ordine del novantacinque per cento alla soglia convenzionale — confermando per via probabilistica il risultato deterministico. La parte ha quindi tratto dalla proiezione le previsioni falsificabili sui quattro ambiti su cui la riforma incide — la qualità della vita delle persone, i bilanci regionali, la burocrazia e l’efficienza amministrativa, i sistemi sanitari regionali — formulando ciascuna come banda corredata di soglia di confutazione e di metodo di verifica. E ha individuato le soglie il cui superamento modifica la raccomandazione, misurandone i margini, e traendone la valutazione della robustezza della raccomandazione su ciascuna dimensione.</w:t>
      </w:r>
    </w:p>
    <w:p w14:paraId="35D41FDD" w14:textId="77777777" w:rsidR="007C4598" w:rsidRDefault="007C4598"/>
    <w:p w14:paraId="25D738A7" w14:textId="77777777" w:rsidR="007C4598" w:rsidRDefault="00000000">
      <w:pPr>
        <w:jc w:val="both"/>
      </w:pPr>
      <w:r>
        <w:t xml:space="preserve">Il risultato della parte è dunque una proiezione falsificabile, che traduce il valore statico della riforma in previsioni controllabili. Le previsioni sulla qualità della vita prevedono guadagni di salute cumulati dell’ordine di </w:t>
      </w:r>
      <w:proofErr w:type="spellStart"/>
      <w:r>
        <w:t>ottomilacinquecento</w:t>
      </w:r>
      <w:proofErr w:type="spellEnd"/>
      <w:r>
        <w:t xml:space="preserve"> anni di vita in buona salute a cinque anni e di diciassettemila a dieci anni nello scenario intermedio, la riduzione del disagio non intercettato, il restringimento del divario di trattamento e il miglioramento della qualità della vita dei presi in carico. Le previsioni sui bilanci prevedono la traiettoria dell’impatto netto verso il pareggio a regime, formulata nelle due varianti che il </w:t>
      </w:r>
      <w:proofErr w:type="spellStart"/>
      <w:r>
        <w:t>caveat</w:t>
      </w:r>
      <w:proofErr w:type="spellEnd"/>
      <w:r>
        <w:t xml:space="preserve"> dell’IMPACT trial impone, e l’incidenza contenuta sul Fondo sanitario regionale. Le previsioni sulla burocrazia prevedono la riduzione degli invii inappropriati, l’alleggerimento del carico amministrativo, la riduzione dei tempi di attesa e l’aumento dell’appropriatezza dei percorsi. Le previsioni sui sistemi sanitari prevedono la riduzione degli accessi impropri, dei ricoveri, della mobilità passiva e della spesa farmaceutica inappropriata, e l’alleggerimento delle cure primarie. Ciascuna previsione è corredata della banda, della soglia di confutazione e del metodo di verifica, e la riforma è perciò esposta, attraverso le sue previsioni, alla verifica dei fatti.</w:t>
      </w:r>
      <w:r>
        <w:rPr>
          <w:color w:val="555555"/>
          <w:sz w:val="16"/>
          <w:szCs w:val="16"/>
          <w:vertAlign w:val="superscript"/>
        </w:rPr>
        <w:t>[28]</w:t>
      </w:r>
    </w:p>
    <w:p w14:paraId="4CA53090" w14:textId="77777777" w:rsidR="007C4598" w:rsidRDefault="007C4598"/>
    <w:p w14:paraId="7844F29B" w14:textId="77777777" w:rsidR="007C4598" w:rsidRDefault="00000000">
      <w:pPr>
        <w:jc w:val="both"/>
      </w:pPr>
      <w:r>
        <w:t xml:space="preserve">Il rigore di questo risultato risiede in tre presidi, che la parte ha mantenuto. Il primo è la forma falsificabile delle previsioni, che le rende controllabili: ogni previsione indica il valore previsto, la banda, la soglia di confutazione e il metodo di verifica, sì che possa essere smentita dall’osservazione. Il secondo è il mantenimento del </w:t>
      </w:r>
      <w:proofErr w:type="spellStart"/>
      <w:r>
        <w:t>caveat</w:t>
      </w:r>
      <w:proofErr w:type="spellEnd"/>
      <w:r>
        <w:t xml:space="preserve"> dell’IMPACT trial e della separazione delle dimensioni: le previsioni sui bilanci sono formulate nelle due varianti che il </w:t>
      </w:r>
      <w:proofErr w:type="spellStart"/>
      <w:r>
        <w:t>caveat</w:t>
      </w:r>
      <w:proofErr w:type="spellEnd"/>
      <w:r>
        <w:t xml:space="preserve"> impone, e le previsioni sui quattro ambiti mantengono distinte le dimensioni del valore, senza somma indebita né duplicazione. Il terzo è la misura della robustezza attraverso i margini e l’analisi probabilistica: i margini dalle soglie e la probabilità di costo-efficacia attestano la robustezza della raccomandazione, e ne individuano le dimensioni più e meno solide. Questi tre presidi fanno della proiezione dell’undicesima parte una proiezione scientificamente controllabile, e non un’asserzione di valore indimostrata; ed è su questo fondamento che la proiezione falsificabile consegna il proprio risultato alle parti successive.</w:t>
      </w:r>
    </w:p>
    <w:p w14:paraId="081C0C8A" w14:textId="77777777" w:rsidR="007C4598" w:rsidRDefault="007C4598"/>
    <w:p w14:paraId="3719B0B9" w14:textId="77777777" w:rsidR="007C4598" w:rsidRDefault="00000000">
      <w:pPr>
        <w:jc w:val="both"/>
      </w:pPr>
      <w:r>
        <w:t>L’undicesima parte costituisce così il fulcro predittivo dell’intero studio, su cui le parti successive innesteranno i propri sviluppi. La quindicesima parte, dedicata al monitoraggio e alla valutazione ex-post, assumerà le previsioni falsificabili e le soglie, e ne condurrà la verifica, confrontando le previsioni con gli esiti osservati e i parametri con le soglie, e dichiarando se le previsioni si siano avverate e se la raccomandazione sia confermata. La dodicesima parte, dedicata all’analisi distributiva, assumerà la proiezione del valore e ne studierà la distribuzione tra i territori e le popolazioni, valutando l’equità con cui i costi e i benefici si ripartiscono. E le parti conclusive ne trarranno i profili etico-giuridici, l’attuazione e le raccomandazioni. La proiezione falsificabile stabilita da questa parte — il valore della riforma proiettato nel tempo e tradotto in previsioni controllabili, corredate di soglie di confutazione e di metodi di verifica — è dunque il risultato predittivo su cui l’intero studio converge, e che le parti successive verificheranno, distribuiranno e tradurranno in raccomandazioni. Con essa, la rinegoziazione integrale dei costi e dei benefici trova la propria forma controllabile, e la riforma del primo livello psicologico in Puglia trova la propria proiezione falsificabile, esposta alla verifica dei fatti e fondata sul rigore della falsificabilità, della separazione delle dimensioni e della misura della robustezza.</w:t>
      </w:r>
    </w:p>
    <w:p w14:paraId="6F9D7196" w14:textId="77777777" w:rsidR="007C4598" w:rsidRDefault="007C4598"/>
    <w:p w14:paraId="061B732B" w14:textId="77777777" w:rsidR="007C4598" w:rsidRDefault="00000000">
      <w:pPr>
        <w:pStyle w:val="Titolo1"/>
        <w:pageBreakBefore/>
      </w:pPr>
      <w:r>
        <w:rPr>
          <w:sz w:val="22"/>
          <w:szCs w:val="22"/>
        </w:rPr>
        <w:t>Note bibliografiche integrali</w:t>
      </w:r>
    </w:p>
    <w:p w14:paraId="661DECD8" w14:textId="77777777" w:rsidR="007C4598" w:rsidRDefault="007C4598"/>
    <w:p w14:paraId="25140B76" w14:textId="77777777" w:rsidR="007C4598" w:rsidRDefault="00000000">
      <w:pPr>
        <w:jc w:val="both"/>
      </w:pPr>
      <w:r>
        <w:rPr>
          <w:i/>
          <w:iCs/>
        </w:rPr>
        <w:t xml:space="preserve">Le note bibliografiche integrali raccolgono le fonti su cui la modellazione e la previsione falsificabile di questa parte si fondano, ciascuna corredata di un mini-riassunto che ne dichiara il contenuto e la pertinenza. Le fonti attengono ai metodi della modellazione decisionale impiegati — il modello di </w:t>
      </w:r>
      <w:proofErr w:type="spellStart"/>
      <w:r>
        <w:rPr>
          <w:i/>
          <w:iCs/>
        </w:rPr>
        <w:t>Markov</w:t>
      </w:r>
      <w:proofErr w:type="spellEnd"/>
      <w:r>
        <w:rPr>
          <w:i/>
          <w:iCs/>
        </w:rPr>
        <w:t xml:space="preserve">, la </w:t>
      </w:r>
      <w:proofErr w:type="spellStart"/>
      <w:r>
        <w:rPr>
          <w:i/>
          <w:iCs/>
        </w:rPr>
        <w:t>microsimulazione</w:t>
      </w:r>
      <w:proofErr w:type="spellEnd"/>
      <w:r>
        <w:rPr>
          <w:i/>
          <w:iCs/>
        </w:rPr>
        <w:t xml:space="preserve"> e l’analisi di sensibilità probabilistica — al principio della falsificabilità che governa le previsioni, e all’evidenza economica e clinica che sostiene la proiezione del valore della riforma e la sua collocazione entro gli intervalli di riferimento.</w:t>
      </w:r>
    </w:p>
    <w:p w14:paraId="0D08846A" w14:textId="77777777" w:rsidR="007C4598" w:rsidRDefault="007C4598"/>
    <w:p w14:paraId="1ACC821E" w14:textId="77777777" w:rsidR="007C4598" w:rsidRDefault="00000000">
      <w:pPr>
        <w:jc w:val="both"/>
      </w:pPr>
      <w:r>
        <w:rPr>
          <w:b/>
          <w:bCs/>
        </w:rPr>
        <w:t xml:space="preserve">▪  </w:t>
      </w:r>
      <w:proofErr w:type="spellStart"/>
      <w:r>
        <w:t>Briggs</w:t>
      </w:r>
      <w:proofErr w:type="spellEnd"/>
      <w:r>
        <w:t xml:space="preserve"> A., </w:t>
      </w:r>
      <w:proofErr w:type="spellStart"/>
      <w:r>
        <w:t>Claxton</w:t>
      </w:r>
      <w:proofErr w:type="spellEnd"/>
      <w:r>
        <w:t xml:space="preserve"> K., </w:t>
      </w:r>
      <w:proofErr w:type="spellStart"/>
      <w:r>
        <w:t>Sculpher</w:t>
      </w:r>
      <w:proofErr w:type="spellEnd"/>
      <w:r>
        <w:t xml:space="preserve"> M., «</w:t>
      </w:r>
      <w:proofErr w:type="spellStart"/>
      <w:r>
        <w:t>Decision</w:t>
      </w:r>
      <w:proofErr w:type="spellEnd"/>
      <w:r>
        <w:t xml:space="preserve"> </w:t>
      </w:r>
      <w:proofErr w:type="spellStart"/>
      <w:r>
        <w:t>Modelling</w:t>
      </w:r>
      <w:proofErr w:type="spellEnd"/>
      <w:r>
        <w:t xml:space="preserve"> for </w:t>
      </w:r>
      <w:proofErr w:type="spellStart"/>
      <w:r>
        <w:t>Health</w:t>
      </w:r>
      <w:proofErr w:type="spellEnd"/>
      <w:r>
        <w:t xml:space="preserve"> </w:t>
      </w:r>
      <w:proofErr w:type="spellStart"/>
      <w:r>
        <w:t>Economic</w:t>
      </w:r>
      <w:proofErr w:type="spellEnd"/>
      <w:r>
        <w:t xml:space="preserve"> Evaluation», Oxford </w:t>
      </w:r>
      <w:proofErr w:type="spellStart"/>
      <w:r>
        <w:t>University</w:t>
      </w:r>
      <w:proofErr w:type="spellEnd"/>
      <w:r>
        <w:t xml:space="preserve"> Press, Oxford, 2006.</w:t>
      </w:r>
    </w:p>
    <w:p w14:paraId="32A887CD" w14:textId="77777777" w:rsidR="007C4598" w:rsidRDefault="007C4598"/>
    <w:p w14:paraId="066E8138" w14:textId="77777777" w:rsidR="007C4598" w:rsidRDefault="00000000">
      <w:pPr>
        <w:jc w:val="both"/>
      </w:pPr>
      <w:r>
        <w:rPr>
          <w:i/>
          <w:iCs/>
        </w:rPr>
        <w:t xml:space="preserve">Mini-riassunto. È il testo di riferimento della modellazione decisionale per la valutazione economica in sanità, che espone i metodi impiegati in questa parte — la costruzione del modello di </w:t>
      </w:r>
      <w:proofErr w:type="spellStart"/>
      <w:r>
        <w:rPr>
          <w:i/>
          <w:iCs/>
        </w:rPr>
        <w:t>Markov</w:t>
      </w:r>
      <w:proofErr w:type="spellEnd"/>
      <w:r>
        <w:rPr>
          <w:i/>
          <w:iCs/>
        </w:rPr>
        <w:t xml:space="preserve">, la </w:t>
      </w:r>
      <w:proofErr w:type="spellStart"/>
      <w:r>
        <w:rPr>
          <w:i/>
          <w:iCs/>
        </w:rPr>
        <w:t>microsimulazione</w:t>
      </w:r>
      <w:proofErr w:type="spellEnd"/>
      <w:r>
        <w:rPr>
          <w:i/>
          <w:iCs/>
        </w:rPr>
        <w:t xml:space="preserve"> e l’analisi di sensibilità probabilistica con la propagazione dell’incertezza dei parametri agli esiti e la costruzione delle curve di accettabilità — e ne discute i fondamenti, comprese l’analisi di soglia e la lettura dei margini che separano i valori attesi dai punti di ribaltamento della raccomandazione.</w:t>
      </w:r>
    </w:p>
    <w:p w14:paraId="585FE83B" w14:textId="77777777" w:rsidR="007C4598" w:rsidRDefault="007C4598"/>
    <w:p w14:paraId="725D03AF" w14:textId="77777777" w:rsidR="007C4598" w:rsidRDefault="00000000">
      <w:pPr>
        <w:jc w:val="both"/>
      </w:pPr>
      <w:r>
        <w:rPr>
          <w:b/>
          <w:bCs/>
        </w:rPr>
        <w:t xml:space="preserve">▪  </w:t>
      </w:r>
      <w:proofErr w:type="spellStart"/>
      <w:r>
        <w:t>Drummond</w:t>
      </w:r>
      <w:proofErr w:type="spellEnd"/>
      <w:r>
        <w:t xml:space="preserve"> M. F., </w:t>
      </w:r>
      <w:proofErr w:type="spellStart"/>
      <w:r>
        <w:t>Sculpher</w:t>
      </w:r>
      <w:proofErr w:type="spellEnd"/>
      <w:r>
        <w:t xml:space="preserve"> M. J., </w:t>
      </w:r>
      <w:proofErr w:type="spellStart"/>
      <w:r>
        <w:t>Claxton</w:t>
      </w:r>
      <w:proofErr w:type="spellEnd"/>
      <w:r>
        <w:t xml:space="preserve"> K., </w:t>
      </w:r>
      <w:proofErr w:type="spellStart"/>
      <w:r>
        <w:t>Stoddart</w:t>
      </w:r>
      <w:proofErr w:type="spellEnd"/>
      <w:r>
        <w:t xml:space="preserve"> G. L., Torrance G. W., «</w:t>
      </w:r>
      <w:proofErr w:type="spellStart"/>
      <w:r>
        <w:t>Methods</w:t>
      </w:r>
      <w:proofErr w:type="spellEnd"/>
      <w:r>
        <w:t xml:space="preserve"> for the </w:t>
      </w:r>
      <w:proofErr w:type="spellStart"/>
      <w:r>
        <w:t>Economic</w:t>
      </w:r>
      <w:proofErr w:type="spellEnd"/>
      <w:r>
        <w:t xml:space="preserve"> Evaluation of </w:t>
      </w:r>
      <w:proofErr w:type="spellStart"/>
      <w:r>
        <w:t>Health</w:t>
      </w:r>
      <w:proofErr w:type="spellEnd"/>
      <w:r>
        <w:t xml:space="preserve"> Care </w:t>
      </w:r>
      <w:proofErr w:type="spellStart"/>
      <w:r>
        <w:t>Programmes</w:t>
      </w:r>
      <w:proofErr w:type="spellEnd"/>
      <w:r>
        <w:t xml:space="preserve">», quarta edizione, Oxford </w:t>
      </w:r>
      <w:proofErr w:type="spellStart"/>
      <w:r>
        <w:t>University</w:t>
      </w:r>
      <w:proofErr w:type="spellEnd"/>
      <w:r>
        <w:t xml:space="preserve"> Press, Oxford, 2015.</w:t>
      </w:r>
    </w:p>
    <w:p w14:paraId="7563521F" w14:textId="77777777" w:rsidR="007C4598" w:rsidRDefault="007C4598"/>
    <w:p w14:paraId="7E5271B5" w14:textId="77777777" w:rsidR="007C4598" w:rsidRDefault="00000000">
      <w:pPr>
        <w:jc w:val="both"/>
      </w:pPr>
      <w:r>
        <w:rPr>
          <w:i/>
          <w:iCs/>
        </w:rPr>
        <w:t>Mini-riassunto. È il testo di riferimento della valutazione economica in sanità, che fornisce la cornice entro cui la modellazione di questa parte proietta il valore della riforma — il tasso di sconto applicato a costi ed esiti, la soglia di disponibilità a pagare per anno di vita in buona salute, la misura dei guadagni di salute — e ne discute l’impiego per la proiezione temporale e per il confronto del rapporto costo-efficacia con la soglia convenzionale.</w:t>
      </w:r>
    </w:p>
    <w:p w14:paraId="3BE13619" w14:textId="77777777" w:rsidR="007C4598" w:rsidRDefault="007C4598"/>
    <w:p w14:paraId="49E534F9" w14:textId="77777777" w:rsidR="007C4598" w:rsidRDefault="00000000">
      <w:pPr>
        <w:jc w:val="both"/>
      </w:pPr>
      <w:r>
        <w:rPr>
          <w:b/>
          <w:bCs/>
        </w:rPr>
        <w:t xml:space="preserve">▪  </w:t>
      </w:r>
      <w:r>
        <w:t>Sonnenberg F. A., Beck J. R., «</w:t>
      </w:r>
      <w:proofErr w:type="spellStart"/>
      <w:r>
        <w:t>Markov</w:t>
      </w:r>
      <w:proofErr w:type="spellEnd"/>
      <w:r>
        <w:t xml:space="preserve"> </w:t>
      </w:r>
      <w:proofErr w:type="spellStart"/>
      <w:r>
        <w:t>models</w:t>
      </w:r>
      <w:proofErr w:type="spellEnd"/>
      <w:r>
        <w:t xml:space="preserve"> in </w:t>
      </w:r>
      <w:proofErr w:type="spellStart"/>
      <w:r>
        <w:t>medical</w:t>
      </w:r>
      <w:proofErr w:type="spellEnd"/>
      <w:r>
        <w:t xml:space="preserve"> </w:t>
      </w:r>
      <w:proofErr w:type="spellStart"/>
      <w:r>
        <w:t>decision</w:t>
      </w:r>
      <w:proofErr w:type="spellEnd"/>
      <w:r>
        <w:t xml:space="preserve"> </w:t>
      </w:r>
      <w:proofErr w:type="spellStart"/>
      <w:r>
        <w:t>making</w:t>
      </w:r>
      <w:proofErr w:type="spellEnd"/>
      <w:r>
        <w:t xml:space="preserve">: a </w:t>
      </w:r>
      <w:proofErr w:type="spellStart"/>
      <w:r>
        <w:t>practical</w:t>
      </w:r>
      <w:proofErr w:type="spellEnd"/>
      <w:r>
        <w:t xml:space="preserve"> guide», </w:t>
      </w:r>
      <w:proofErr w:type="spellStart"/>
      <w:r>
        <w:t>Medical</w:t>
      </w:r>
      <w:proofErr w:type="spellEnd"/>
      <w:r>
        <w:t xml:space="preserve"> </w:t>
      </w:r>
      <w:proofErr w:type="spellStart"/>
      <w:r>
        <w:t>Decision</w:t>
      </w:r>
      <w:proofErr w:type="spellEnd"/>
      <w:r>
        <w:t xml:space="preserve"> </w:t>
      </w:r>
      <w:proofErr w:type="spellStart"/>
      <w:r>
        <w:t>Making</w:t>
      </w:r>
      <w:proofErr w:type="spellEnd"/>
      <w:r>
        <w:t>, vol. 13, n. 4, 1993, pp. 322–338.</w:t>
      </w:r>
    </w:p>
    <w:p w14:paraId="792E10C4" w14:textId="77777777" w:rsidR="007C4598" w:rsidRDefault="007C4598"/>
    <w:p w14:paraId="77462703" w14:textId="77777777" w:rsidR="007C4598" w:rsidRDefault="00000000">
      <w:pPr>
        <w:jc w:val="both"/>
      </w:pPr>
      <w:r>
        <w:rPr>
          <w:i/>
          <w:iCs/>
        </w:rPr>
        <w:t xml:space="preserve">Mini-riassunto. È la guida pratica all’impiego dei modelli di </w:t>
      </w:r>
      <w:proofErr w:type="spellStart"/>
      <w:r>
        <w:rPr>
          <w:i/>
          <w:iCs/>
        </w:rPr>
        <w:t>Markov</w:t>
      </w:r>
      <w:proofErr w:type="spellEnd"/>
      <w:r>
        <w:rPr>
          <w:i/>
          <w:iCs/>
        </w:rPr>
        <w:t xml:space="preserve"> nella decisione medica, che introduce la rappresentazione di una condizione di salute attraverso stati mutuamente esclusivi e transizioni in cicli successivi, con l’accumulo degli esiti lungo l’orizzonte e la correzione di mezzo ciclo, impianto adottato nella prima voce di questa parte per rappresentare il decorso del disagio comune e l’effetto della riforma sulle sue transizioni.</w:t>
      </w:r>
    </w:p>
    <w:p w14:paraId="59538903" w14:textId="77777777" w:rsidR="007C4598" w:rsidRDefault="007C4598"/>
    <w:p w14:paraId="74BC19B8" w14:textId="77777777" w:rsidR="007C4598" w:rsidRDefault="00000000">
      <w:pPr>
        <w:jc w:val="both"/>
      </w:pPr>
      <w:r>
        <w:rPr>
          <w:b/>
          <w:bCs/>
        </w:rPr>
        <w:t xml:space="preserve">▪  </w:t>
      </w:r>
      <w:r>
        <w:t xml:space="preserve">Caro J. J., </w:t>
      </w:r>
      <w:proofErr w:type="spellStart"/>
      <w:r>
        <w:t>Briggs</w:t>
      </w:r>
      <w:proofErr w:type="spellEnd"/>
      <w:r>
        <w:t xml:space="preserve"> A. H., </w:t>
      </w:r>
      <w:proofErr w:type="spellStart"/>
      <w:r>
        <w:t>Siebert</w:t>
      </w:r>
      <w:proofErr w:type="spellEnd"/>
      <w:r>
        <w:t xml:space="preserve"> U., Kuntz K. M., «</w:t>
      </w:r>
      <w:proofErr w:type="spellStart"/>
      <w:r>
        <w:t>Modeling</w:t>
      </w:r>
      <w:proofErr w:type="spellEnd"/>
      <w:r>
        <w:t xml:space="preserve"> </w:t>
      </w:r>
      <w:proofErr w:type="spellStart"/>
      <w:r>
        <w:t>Good</w:t>
      </w:r>
      <w:proofErr w:type="spellEnd"/>
      <w:r>
        <w:t xml:space="preserve"> </w:t>
      </w:r>
      <w:proofErr w:type="spellStart"/>
      <w:r>
        <w:t>Research</w:t>
      </w:r>
      <w:proofErr w:type="spellEnd"/>
      <w:r>
        <w:t xml:space="preserve"> </w:t>
      </w:r>
      <w:proofErr w:type="spellStart"/>
      <w:r>
        <w:t>Practices</w:t>
      </w:r>
      <w:proofErr w:type="spellEnd"/>
      <w:r>
        <w:t xml:space="preserve"> — </w:t>
      </w:r>
      <w:proofErr w:type="spellStart"/>
      <w:r>
        <w:t>Overview</w:t>
      </w:r>
      <w:proofErr w:type="spellEnd"/>
      <w:r>
        <w:t xml:space="preserve">: A Report of the ISPOR-SMDM </w:t>
      </w:r>
      <w:proofErr w:type="spellStart"/>
      <w:r>
        <w:t>Modeling</w:t>
      </w:r>
      <w:proofErr w:type="spellEnd"/>
      <w:r>
        <w:t xml:space="preserve"> </w:t>
      </w:r>
      <w:proofErr w:type="spellStart"/>
      <w:r>
        <w:t>Good</w:t>
      </w:r>
      <w:proofErr w:type="spellEnd"/>
      <w:r>
        <w:t xml:space="preserve"> </w:t>
      </w:r>
      <w:proofErr w:type="spellStart"/>
      <w:r>
        <w:t>Research</w:t>
      </w:r>
      <w:proofErr w:type="spellEnd"/>
      <w:r>
        <w:t xml:space="preserve"> </w:t>
      </w:r>
      <w:proofErr w:type="spellStart"/>
      <w:r>
        <w:t>Practices</w:t>
      </w:r>
      <w:proofErr w:type="spellEnd"/>
      <w:r>
        <w:t xml:space="preserve"> Task Force-1», Value in </w:t>
      </w:r>
      <w:proofErr w:type="spellStart"/>
      <w:r>
        <w:t>Health</w:t>
      </w:r>
      <w:proofErr w:type="spellEnd"/>
      <w:r>
        <w:t>, vol. 15, n. 6, 2012, pp. 796–803.</w:t>
      </w:r>
    </w:p>
    <w:p w14:paraId="6F339BAE" w14:textId="77777777" w:rsidR="007C4598" w:rsidRDefault="007C4598"/>
    <w:p w14:paraId="29E85B5F" w14:textId="77777777" w:rsidR="007C4598" w:rsidRDefault="00000000">
      <w:pPr>
        <w:jc w:val="both"/>
      </w:pPr>
      <w:r>
        <w:rPr>
          <w:i/>
          <w:iCs/>
        </w:rPr>
        <w:t xml:space="preserve">Mini-riassunto. È il rapporto introduttivo delle buone pratiche della modellazione per la valutazione delle tecnologie sanitarie, che stabilisce i principi della costruzione e della validazione dei modelli decisionali — la trasparenza, la coerenza interna, la dichiarazione delle assunzioni e dell’incertezza — adottati in questa parte nella costruzione del modello di </w:t>
      </w:r>
      <w:proofErr w:type="spellStart"/>
      <w:r>
        <w:rPr>
          <w:i/>
          <w:iCs/>
        </w:rPr>
        <w:t>Markov</w:t>
      </w:r>
      <w:proofErr w:type="spellEnd"/>
      <w:r>
        <w:rPr>
          <w:i/>
          <w:iCs/>
        </w:rPr>
        <w:t xml:space="preserve"> e nella dichiarazione dei suoi parametri invarianti e dei suoi confini.</w:t>
      </w:r>
    </w:p>
    <w:p w14:paraId="52061A69" w14:textId="77777777" w:rsidR="007C4598" w:rsidRDefault="007C4598"/>
    <w:p w14:paraId="4F301240" w14:textId="77777777" w:rsidR="007C4598" w:rsidRDefault="00000000">
      <w:pPr>
        <w:jc w:val="both"/>
      </w:pPr>
      <w:r>
        <w:rPr>
          <w:b/>
          <w:bCs/>
        </w:rPr>
        <w:t xml:space="preserve">▪  </w:t>
      </w:r>
      <w:proofErr w:type="spellStart"/>
      <w:r>
        <w:t>Siebert</w:t>
      </w:r>
      <w:proofErr w:type="spellEnd"/>
      <w:r>
        <w:t xml:space="preserve"> U., </w:t>
      </w:r>
      <w:proofErr w:type="spellStart"/>
      <w:r>
        <w:t>Alagoz</w:t>
      </w:r>
      <w:proofErr w:type="spellEnd"/>
      <w:r>
        <w:t xml:space="preserve"> O., </w:t>
      </w:r>
      <w:proofErr w:type="spellStart"/>
      <w:r>
        <w:t>Bayoumi</w:t>
      </w:r>
      <w:proofErr w:type="spellEnd"/>
      <w:r>
        <w:t xml:space="preserve"> A. M., </w:t>
      </w:r>
      <w:proofErr w:type="spellStart"/>
      <w:r>
        <w:t>Jahn</w:t>
      </w:r>
      <w:proofErr w:type="spellEnd"/>
      <w:r>
        <w:t xml:space="preserve"> B., </w:t>
      </w:r>
      <w:proofErr w:type="spellStart"/>
      <w:r>
        <w:t>Owens</w:t>
      </w:r>
      <w:proofErr w:type="spellEnd"/>
      <w:r>
        <w:t xml:space="preserve"> D. K., Cohen D. J., Kuntz K. M., «State-</w:t>
      </w:r>
      <w:proofErr w:type="spellStart"/>
      <w:r>
        <w:t>Transition</w:t>
      </w:r>
      <w:proofErr w:type="spellEnd"/>
      <w:r>
        <w:t xml:space="preserve"> </w:t>
      </w:r>
      <w:proofErr w:type="spellStart"/>
      <w:r>
        <w:t>Modeling</w:t>
      </w:r>
      <w:proofErr w:type="spellEnd"/>
      <w:r>
        <w:t xml:space="preserve"> — A Report of the ISPOR-SMDM </w:t>
      </w:r>
      <w:proofErr w:type="spellStart"/>
      <w:r>
        <w:t>Modeling</w:t>
      </w:r>
      <w:proofErr w:type="spellEnd"/>
      <w:r>
        <w:t xml:space="preserve"> </w:t>
      </w:r>
      <w:proofErr w:type="spellStart"/>
      <w:r>
        <w:t>Good</w:t>
      </w:r>
      <w:proofErr w:type="spellEnd"/>
      <w:r>
        <w:t xml:space="preserve"> </w:t>
      </w:r>
      <w:proofErr w:type="spellStart"/>
      <w:r>
        <w:t>Research</w:t>
      </w:r>
      <w:proofErr w:type="spellEnd"/>
      <w:r>
        <w:t xml:space="preserve"> </w:t>
      </w:r>
      <w:proofErr w:type="spellStart"/>
      <w:r>
        <w:t>Practices</w:t>
      </w:r>
      <w:proofErr w:type="spellEnd"/>
      <w:r>
        <w:t xml:space="preserve"> Task Force-3», Value in </w:t>
      </w:r>
      <w:proofErr w:type="spellStart"/>
      <w:r>
        <w:t>Health</w:t>
      </w:r>
      <w:proofErr w:type="spellEnd"/>
      <w:r>
        <w:t>, vol. 15, n. 6, 2012, pp. 812–820.</w:t>
      </w:r>
    </w:p>
    <w:p w14:paraId="0238EE81" w14:textId="77777777" w:rsidR="007C4598" w:rsidRDefault="007C4598"/>
    <w:p w14:paraId="5D2288C1" w14:textId="77777777" w:rsidR="007C4598" w:rsidRDefault="00000000">
      <w:pPr>
        <w:jc w:val="both"/>
      </w:pPr>
      <w:r>
        <w:rPr>
          <w:i/>
          <w:iCs/>
        </w:rPr>
        <w:t xml:space="preserve">Mini-riassunto. È il rapporto sulle buone pratiche della modellazione a stati e transizioni, che espone i criteri della definizione degli stati, delle probabilità di transizione, della durata del ciclo e dell’orizzonte, e della </w:t>
      </w:r>
      <w:proofErr w:type="spellStart"/>
      <w:r>
        <w:rPr>
          <w:i/>
          <w:iCs/>
        </w:rPr>
        <w:t>microsimulazione</w:t>
      </w:r>
      <w:proofErr w:type="spellEnd"/>
      <w:r>
        <w:rPr>
          <w:i/>
          <w:iCs/>
        </w:rPr>
        <w:t xml:space="preserve"> individuale, adottati nella prima voce di questa parte per la costruzione del modello di </w:t>
      </w:r>
      <w:proofErr w:type="spellStart"/>
      <w:r>
        <w:rPr>
          <w:i/>
          <w:iCs/>
        </w:rPr>
        <w:t>Markov</w:t>
      </w:r>
      <w:proofErr w:type="spellEnd"/>
      <w:r>
        <w:rPr>
          <w:i/>
          <w:iCs/>
        </w:rPr>
        <w:t xml:space="preserve"> e per il passaggio dalla coorte indistinta alla </w:t>
      </w:r>
      <w:proofErr w:type="spellStart"/>
      <w:r>
        <w:rPr>
          <w:i/>
          <w:iCs/>
        </w:rPr>
        <w:t>microsimulazione</w:t>
      </w:r>
      <w:proofErr w:type="spellEnd"/>
      <w:r>
        <w:rPr>
          <w:i/>
          <w:iCs/>
        </w:rPr>
        <w:t xml:space="preserve"> sensibile all’eterogeneità della popolazione.</w:t>
      </w:r>
    </w:p>
    <w:p w14:paraId="10E52F4E" w14:textId="77777777" w:rsidR="007C4598" w:rsidRDefault="007C4598"/>
    <w:p w14:paraId="43548FFD" w14:textId="77777777" w:rsidR="007C4598" w:rsidRDefault="00000000">
      <w:pPr>
        <w:jc w:val="both"/>
      </w:pPr>
      <w:r>
        <w:rPr>
          <w:b/>
          <w:bCs/>
        </w:rPr>
        <w:t xml:space="preserve">▪  </w:t>
      </w:r>
      <w:proofErr w:type="spellStart"/>
      <w:r>
        <w:t>Fenwick</w:t>
      </w:r>
      <w:proofErr w:type="spellEnd"/>
      <w:r>
        <w:t xml:space="preserve"> E., </w:t>
      </w:r>
      <w:proofErr w:type="spellStart"/>
      <w:r>
        <w:t>O’Brien</w:t>
      </w:r>
      <w:proofErr w:type="spellEnd"/>
      <w:r>
        <w:t xml:space="preserve"> B. J., </w:t>
      </w:r>
      <w:proofErr w:type="spellStart"/>
      <w:r>
        <w:t>Briggs</w:t>
      </w:r>
      <w:proofErr w:type="spellEnd"/>
      <w:r>
        <w:t xml:space="preserve"> A., «</w:t>
      </w:r>
      <w:proofErr w:type="spellStart"/>
      <w:r>
        <w:t>Cost-effectiveness</w:t>
      </w:r>
      <w:proofErr w:type="spellEnd"/>
      <w:r>
        <w:t xml:space="preserve"> </w:t>
      </w:r>
      <w:proofErr w:type="spellStart"/>
      <w:r>
        <w:t>acceptability</w:t>
      </w:r>
      <w:proofErr w:type="spellEnd"/>
      <w:r>
        <w:t xml:space="preserve"> </w:t>
      </w:r>
      <w:proofErr w:type="spellStart"/>
      <w:r>
        <w:t>curves</w:t>
      </w:r>
      <w:proofErr w:type="spellEnd"/>
      <w:r>
        <w:t xml:space="preserve"> — </w:t>
      </w:r>
      <w:proofErr w:type="spellStart"/>
      <w:r>
        <w:t>facts</w:t>
      </w:r>
      <w:proofErr w:type="spellEnd"/>
      <w:r>
        <w:t xml:space="preserve">, </w:t>
      </w:r>
      <w:proofErr w:type="spellStart"/>
      <w:r>
        <w:t>fallacies</w:t>
      </w:r>
      <w:proofErr w:type="spellEnd"/>
      <w:r>
        <w:t xml:space="preserve"> and </w:t>
      </w:r>
      <w:proofErr w:type="spellStart"/>
      <w:r>
        <w:t>frequently</w:t>
      </w:r>
      <w:proofErr w:type="spellEnd"/>
      <w:r>
        <w:t xml:space="preserve"> </w:t>
      </w:r>
      <w:proofErr w:type="spellStart"/>
      <w:r>
        <w:t>asked</w:t>
      </w:r>
      <w:proofErr w:type="spellEnd"/>
      <w:r>
        <w:t xml:space="preserve"> </w:t>
      </w:r>
      <w:proofErr w:type="spellStart"/>
      <w:r>
        <w:t>questions</w:t>
      </w:r>
      <w:proofErr w:type="spellEnd"/>
      <w:r>
        <w:t xml:space="preserve">», </w:t>
      </w:r>
      <w:proofErr w:type="spellStart"/>
      <w:r>
        <w:t>Health</w:t>
      </w:r>
      <w:proofErr w:type="spellEnd"/>
      <w:r>
        <w:t xml:space="preserve"> </w:t>
      </w:r>
      <w:proofErr w:type="spellStart"/>
      <w:r>
        <w:t>Economics</w:t>
      </w:r>
      <w:proofErr w:type="spellEnd"/>
      <w:r>
        <w:t>, vol. 13, n. 5, 2004, pp. 405–415.</w:t>
      </w:r>
    </w:p>
    <w:p w14:paraId="1E24AFC9" w14:textId="77777777" w:rsidR="007C4598" w:rsidRDefault="007C4598"/>
    <w:p w14:paraId="00786174" w14:textId="77777777" w:rsidR="007C4598" w:rsidRDefault="00000000">
      <w:pPr>
        <w:jc w:val="both"/>
      </w:pPr>
      <w:r>
        <w:rPr>
          <w:i/>
          <w:iCs/>
        </w:rPr>
        <w:t>Mini-riassunto. È l’esposizione metodologica della curva di accettabilità della costo-efficacia, che rappresenta la probabilità che un intervento sia costo-efficace in funzione della soglia di disponibilità a pagare, e ne chiarisce l’interpretazione e i fraintendimenti; essa fonda la curva costruita nella seconda voce di questa parte, che colloca la probabilità di costo-efficacia della riforma dell’ordine del novantacinque per cento alla soglia convenzionale.</w:t>
      </w:r>
    </w:p>
    <w:p w14:paraId="253F51CB" w14:textId="77777777" w:rsidR="007C4598" w:rsidRDefault="007C4598"/>
    <w:p w14:paraId="0931AA7F" w14:textId="77777777" w:rsidR="007C4598" w:rsidRDefault="00000000">
      <w:pPr>
        <w:jc w:val="both"/>
      </w:pPr>
      <w:r>
        <w:rPr>
          <w:b/>
          <w:bCs/>
        </w:rPr>
        <w:t xml:space="preserve">▪  </w:t>
      </w:r>
      <w:r>
        <w:t xml:space="preserve">Popper K. R., «The </w:t>
      </w:r>
      <w:proofErr w:type="spellStart"/>
      <w:r>
        <w:t>Logic</w:t>
      </w:r>
      <w:proofErr w:type="spellEnd"/>
      <w:r>
        <w:t xml:space="preserve"> of </w:t>
      </w:r>
      <w:proofErr w:type="spellStart"/>
      <w:r>
        <w:t>Scientific</w:t>
      </w:r>
      <w:proofErr w:type="spellEnd"/>
      <w:r>
        <w:t xml:space="preserve"> </w:t>
      </w:r>
      <w:proofErr w:type="spellStart"/>
      <w:r>
        <w:t>Discovery</w:t>
      </w:r>
      <w:proofErr w:type="spellEnd"/>
      <w:r>
        <w:t xml:space="preserve">», </w:t>
      </w:r>
      <w:proofErr w:type="spellStart"/>
      <w:r>
        <w:t>Routledge</w:t>
      </w:r>
      <w:proofErr w:type="spellEnd"/>
      <w:r>
        <w:t>, Londra, 2002 (edizione originale 1934; prima edizione inglese 1959).</w:t>
      </w:r>
    </w:p>
    <w:p w14:paraId="51668FA2" w14:textId="77777777" w:rsidR="007C4598" w:rsidRDefault="007C4598"/>
    <w:p w14:paraId="66A1129A" w14:textId="77777777" w:rsidR="007C4598" w:rsidRDefault="00000000">
      <w:pPr>
        <w:jc w:val="both"/>
      </w:pPr>
      <w:r>
        <w:rPr>
          <w:i/>
          <w:iCs/>
        </w:rPr>
        <w:t>Mini-riassunto. È l’opera che stabilisce il criterio della falsificabilità come carattere distintivo dell’enunciato scientifico, secondo cui una proposizione è scientifica in quanto suscettibile di essere smentita dall’osservazione; essa fonda il principio della falsificabilità che governa le previsioni di questa parte, formulate come bande corredate di soglie di confutazione e di metodi di verifica, sì che ciascuna sia esposta alla smentita dei fatti.</w:t>
      </w:r>
    </w:p>
    <w:p w14:paraId="4C5390E3" w14:textId="77777777" w:rsidR="007C4598" w:rsidRDefault="007C4598"/>
    <w:p w14:paraId="3CEA205E" w14:textId="77777777" w:rsidR="007C4598" w:rsidRDefault="00000000">
      <w:pPr>
        <w:jc w:val="both"/>
      </w:pPr>
      <w:r>
        <w:rPr>
          <w:b/>
          <w:bCs/>
        </w:rPr>
        <w:t xml:space="preserve">▪  </w:t>
      </w:r>
      <w:proofErr w:type="spellStart"/>
      <w:r>
        <w:t>Chisholm</w:t>
      </w:r>
      <w:proofErr w:type="spellEnd"/>
      <w:r>
        <w:t xml:space="preserve"> D., </w:t>
      </w:r>
      <w:proofErr w:type="spellStart"/>
      <w:r>
        <w:t>Sweeny</w:t>
      </w:r>
      <w:proofErr w:type="spellEnd"/>
      <w:r>
        <w:t xml:space="preserve"> K., </w:t>
      </w:r>
      <w:proofErr w:type="spellStart"/>
      <w:r>
        <w:t>Sheehan</w:t>
      </w:r>
      <w:proofErr w:type="spellEnd"/>
      <w:r>
        <w:t xml:space="preserve"> P., </w:t>
      </w:r>
      <w:proofErr w:type="spellStart"/>
      <w:r>
        <w:t>Rasmussen</w:t>
      </w:r>
      <w:proofErr w:type="spellEnd"/>
      <w:r>
        <w:t xml:space="preserve"> B., </w:t>
      </w:r>
      <w:proofErr w:type="spellStart"/>
      <w:r>
        <w:t>Smit</w:t>
      </w:r>
      <w:proofErr w:type="spellEnd"/>
      <w:r>
        <w:t xml:space="preserve"> F., </w:t>
      </w:r>
      <w:proofErr w:type="spellStart"/>
      <w:r>
        <w:t>Cuijpers</w:t>
      </w:r>
      <w:proofErr w:type="spellEnd"/>
      <w:r>
        <w:t xml:space="preserve"> P., </w:t>
      </w:r>
      <w:proofErr w:type="spellStart"/>
      <w:r>
        <w:t>Saxena</w:t>
      </w:r>
      <w:proofErr w:type="spellEnd"/>
      <w:r>
        <w:t xml:space="preserve"> S., «</w:t>
      </w:r>
      <w:proofErr w:type="spellStart"/>
      <w:r>
        <w:t>Scaling</w:t>
      </w:r>
      <w:proofErr w:type="spellEnd"/>
      <w:r>
        <w:t xml:space="preserve">-up treatment of </w:t>
      </w:r>
      <w:proofErr w:type="spellStart"/>
      <w:r>
        <w:t>depression</w:t>
      </w:r>
      <w:proofErr w:type="spellEnd"/>
      <w:r>
        <w:t xml:space="preserve"> and </w:t>
      </w:r>
      <w:proofErr w:type="spellStart"/>
      <w:r>
        <w:t>anxiety</w:t>
      </w:r>
      <w:proofErr w:type="spellEnd"/>
      <w:r>
        <w:t xml:space="preserve">: a global </w:t>
      </w:r>
      <w:proofErr w:type="spellStart"/>
      <w:r>
        <w:t>return</w:t>
      </w:r>
      <w:proofErr w:type="spellEnd"/>
      <w:r>
        <w:t xml:space="preserve"> on </w:t>
      </w:r>
      <w:proofErr w:type="spellStart"/>
      <w:r>
        <w:t>investment</w:t>
      </w:r>
      <w:proofErr w:type="spellEnd"/>
      <w:r>
        <w:t xml:space="preserve"> </w:t>
      </w:r>
      <w:proofErr w:type="spellStart"/>
      <w:r>
        <w:t>analysis</w:t>
      </w:r>
      <w:proofErr w:type="spellEnd"/>
      <w:r>
        <w:t xml:space="preserve">», The Lancet </w:t>
      </w:r>
      <w:proofErr w:type="spellStart"/>
      <w:r>
        <w:t>Psychiatry</w:t>
      </w:r>
      <w:proofErr w:type="spellEnd"/>
      <w:r>
        <w:t>, vol. 3, n. 5, 2016, pp. 415–424.</w:t>
      </w:r>
    </w:p>
    <w:p w14:paraId="7CE8900F" w14:textId="77777777" w:rsidR="007C4598" w:rsidRDefault="007C4598"/>
    <w:p w14:paraId="00EB8E75" w14:textId="77777777" w:rsidR="007C4598" w:rsidRDefault="00000000">
      <w:pPr>
        <w:jc w:val="both"/>
      </w:pPr>
      <w:r>
        <w:rPr>
          <w:i/>
          <w:iCs/>
        </w:rPr>
        <w:t>Mini-riassunto. È l’analisi globale del rendimento dell’investimento nel trattamento della depressione e dell’ansia, che stabilisce il duplice intervallo del ritorno — compreso tra 2,3 e 3,0 a 1 per i soli benefici economici e tra 3,3 e 5,7 a 1 con l’inclusione dei ritorni di salute — impiegato nell’intero studio come ancora di validazione, e in questa parte nell’individuazione della soglia del rendimento sociale e nella misura del margine che separa il rapporto atteso dal margine inferiore della fascia.</w:t>
      </w:r>
    </w:p>
    <w:p w14:paraId="67C4CD7B" w14:textId="77777777" w:rsidR="007C4598" w:rsidRDefault="007C4598"/>
    <w:p w14:paraId="040BE39F" w14:textId="77777777" w:rsidR="007C4598" w:rsidRDefault="00000000">
      <w:pPr>
        <w:jc w:val="both"/>
      </w:pPr>
      <w:r>
        <w:rPr>
          <w:b/>
          <w:bCs/>
        </w:rPr>
        <w:t xml:space="preserve">▪  </w:t>
      </w:r>
      <w:proofErr w:type="spellStart"/>
      <w:r>
        <w:t>Unützer</w:t>
      </w:r>
      <w:proofErr w:type="spellEnd"/>
      <w:r>
        <w:t xml:space="preserve"> J., </w:t>
      </w:r>
      <w:proofErr w:type="spellStart"/>
      <w:r>
        <w:t>Katon</w:t>
      </w:r>
      <w:proofErr w:type="spellEnd"/>
      <w:r>
        <w:t xml:space="preserve"> W. J., Fan M. Y., </w:t>
      </w:r>
      <w:proofErr w:type="spellStart"/>
      <w:r>
        <w:t>Schoenbaum</w:t>
      </w:r>
      <w:proofErr w:type="spellEnd"/>
      <w:r>
        <w:t xml:space="preserve"> M. C., </w:t>
      </w:r>
      <w:proofErr w:type="spellStart"/>
      <w:r>
        <w:t>Lin</w:t>
      </w:r>
      <w:proofErr w:type="spellEnd"/>
      <w:r>
        <w:t xml:space="preserve"> E. H. B., Della Penna R. D., </w:t>
      </w:r>
      <w:proofErr w:type="spellStart"/>
      <w:r>
        <w:t>Powers</w:t>
      </w:r>
      <w:proofErr w:type="spellEnd"/>
      <w:r>
        <w:t xml:space="preserve"> D., «Long-</w:t>
      </w:r>
      <w:proofErr w:type="spellStart"/>
      <w:r>
        <w:t>term</w:t>
      </w:r>
      <w:proofErr w:type="spellEnd"/>
      <w:r>
        <w:t xml:space="preserve"> </w:t>
      </w:r>
      <w:proofErr w:type="spellStart"/>
      <w:r>
        <w:t>cost</w:t>
      </w:r>
      <w:proofErr w:type="spellEnd"/>
      <w:r>
        <w:t xml:space="preserve"> </w:t>
      </w:r>
      <w:proofErr w:type="spellStart"/>
      <w:r>
        <w:t>effects</w:t>
      </w:r>
      <w:proofErr w:type="spellEnd"/>
      <w:r>
        <w:t xml:space="preserve"> of collaborative care for late-life </w:t>
      </w:r>
      <w:proofErr w:type="spellStart"/>
      <w:r>
        <w:t>depression</w:t>
      </w:r>
      <w:proofErr w:type="spellEnd"/>
      <w:r>
        <w:t xml:space="preserve">», The American Journal of </w:t>
      </w:r>
      <w:proofErr w:type="spellStart"/>
      <w:r>
        <w:t>Managed</w:t>
      </w:r>
      <w:proofErr w:type="spellEnd"/>
      <w:r>
        <w:t xml:space="preserve"> Care, vol. 14, n. 2, 2008, pp. 95–100.</w:t>
      </w:r>
    </w:p>
    <w:p w14:paraId="5727F3F9" w14:textId="77777777" w:rsidR="007C4598" w:rsidRDefault="007C4598"/>
    <w:p w14:paraId="32C76D8D" w14:textId="77777777" w:rsidR="007C4598" w:rsidRDefault="00000000">
      <w:pPr>
        <w:jc w:val="both"/>
      </w:pPr>
      <w:r>
        <w:rPr>
          <w:i/>
          <w:iCs/>
        </w:rPr>
        <w:t xml:space="preserve">Mini-riassunto. È l’analisi di lungo periodo dei costi delle cure collaborative per la depressione, da cui deriva il </w:t>
      </w:r>
      <w:proofErr w:type="spellStart"/>
      <w:r>
        <w:rPr>
          <w:i/>
          <w:iCs/>
        </w:rPr>
        <w:t>caveat</w:t>
      </w:r>
      <w:proofErr w:type="spellEnd"/>
      <w:r>
        <w:rPr>
          <w:i/>
          <w:iCs/>
        </w:rPr>
        <w:t xml:space="preserve"> preservato nell’intero studio — i risparmi sui costi sanitari diretti, ancorché presenti, non raggiungono la significatività statistica — che governa in questa parte la duplice formulazione delle previsioni sui bilanci, nella variante centrale che computa i risparmi e nella variante prudenziale che li esclude.</w:t>
      </w:r>
    </w:p>
    <w:p w14:paraId="27C288C0" w14:textId="77777777" w:rsidR="007C4598" w:rsidRDefault="007C4598"/>
    <w:p w14:paraId="6D04EF03" w14:textId="77777777" w:rsidR="007C4598" w:rsidRDefault="00000000">
      <w:pPr>
        <w:jc w:val="both"/>
      </w:pPr>
      <w:r>
        <w:rPr>
          <w:b/>
          <w:bCs/>
        </w:rPr>
        <w:t xml:space="preserve">▪  </w:t>
      </w:r>
      <w:r>
        <w:t xml:space="preserve">OECD, «A New Benchmark for </w:t>
      </w:r>
      <w:proofErr w:type="spellStart"/>
      <w:r>
        <w:t>Mental</w:t>
      </w:r>
      <w:proofErr w:type="spellEnd"/>
      <w:r>
        <w:t xml:space="preserve"> </w:t>
      </w:r>
      <w:proofErr w:type="spellStart"/>
      <w:r>
        <w:t>Health</w:t>
      </w:r>
      <w:proofErr w:type="spellEnd"/>
      <w:r>
        <w:t xml:space="preserve"> Systems: </w:t>
      </w:r>
      <w:proofErr w:type="spellStart"/>
      <w:r>
        <w:t>Tackling</w:t>
      </w:r>
      <w:proofErr w:type="spellEnd"/>
      <w:r>
        <w:t xml:space="preserve"> the Social and </w:t>
      </w:r>
      <w:proofErr w:type="spellStart"/>
      <w:r>
        <w:t>Economic</w:t>
      </w:r>
      <w:proofErr w:type="spellEnd"/>
      <w:r>
        <w:t xml:space="preserve"> </w:t>
      </w:r>
      <w:proofErr w:type="spellStart"/>
      <w:r>
        <w:t>Costs</w:t>
      </w:r>
      <w:proofErr w:type="spellEnd"/>
      <w:r>
        <w:t xml:space="preserve"> of </w:t>
      </w:r>
      <w:proofErr w:type="spellStart"/>
      <w:r>
        <w:t>Mental</w:t>
      </w:r>
      <w:proofErr w:type="spellEnd"/>
      <w:r>
        <w:t xml:space="preserve"> </w:t>
      </w:r>
      <w:proofErr w:type="spellStart"/>
      <w:r>
        <w:t>Ill-Health</w:t>
      </w:r>
      <w:proofErr w:type="spellEnd"/>
      <w:r>
        <w:t xml:space="preserve">», OECD </w:t>
      </w:r>
      <w:proofErr w:type="spellStart"/>
      <w:r>
        <w:t>Health</w:t>
      </w:r>
      <w:proofErr w:type="spellEnd"/>
      <w:r>
        <w:t xml:space="preserve"> Policy </w:t>
      </w:r>
      <w:proofErr w:type="spellStart"/>
      <w:r>
        <w:t>Studies</w:t>
      </w:r>
      <w:proofErr w:type="spellEnd"/>
      <w:r>
        <w:t>, OECD Publishing, Parigi, 2021.</w:t>
      </w:r>
    </w:p>
    <w:p w14:paraId="715227F2" w14:textId="77777777" w:rsidR="007C4598" w:rsidRDefault="007C4598"/>
    <w:p w14:paraId="77D3514B" w14:textId="77777777" w:rsidR="007C4598" w:rsidRDefault="00000000">
      <w:pPr>
        <w:jc w:val="both"/>
      </w:pPr>
      <w:r>
        <w:rPr>
          <w:i/>
          <w:iCs/>
        </w:rPr>
        <w:t>Mini-riassunto. È lo studio comparato dei sistemi di salute mentale, che quantifica i costi sociali ed economici del disagio mentale e ne documenta l’incidenza sui molteplici domini — il lavoro, la produttività, i sistemi previdenziali e assistenziali — a corredo delle previsioni di questa parte sugli ambiti su cui la riforma incide, e a sostegno della loro collocazione entro gli intervalli di riferimento.</w:t>
      </w:r>
    </w:p>
    <w:p w14:paraId="00E2971F" w14:textId="77777777" w:rsidR="007C4598" w:rsidRDefault="007C4598"/>
    <w:p w14:paraId="0FCC30E5" w14:textId="77777777" w:rsidR="007C4598" w:rsidRDefault="00000000">
      <w:pPr>
        <w:jc w:val="both"/>
      </w:pPr>
      <w:r>
        <w:rPr>
          <w:b/>
          <w:bCs/>
        </w:rPr>
        <w:t xml:space="preserve">▪  </w:t>
      </w:r>
      <w:r>
        <w:t xml:space="preserve">World </w:t>
      </w:r>
      <w:proofErr w:type="spellStart"/>
      <w:r>
        <w:t>Health</w:t>
      </w:r>
      <w:proofErr w:type="spellEnd"/>
      <w:r>
        <w:t xml:space="preserve"> Organization, «World </w:t>
      </w:r>
      <w:proofErr w:type="spellStart"/>
      <w:r>
        <w:t>Mental</w:t>
      </w:r>
      <w:proofErr w:type="spellEnd"/>
      <w:r>
        <w:t xml:space="preserve"> </w:t>
      </w:r>
      <w:proofErr w:type="spellStart"/>
      <w:r>
        <w:t>Health</w:t>
      </w:r>
      <w:proofErr w:type="spellEnd"/>
      <w:r>
        <w:t xml:space="preserve"> Report: </w:t>
      </w:r>
      <w:proofErr w:type="spellStart"/>
      <w:r>
        <w:t>Transforming</w:t>
      </w:r>
      <w:proofErr w:type="spellEnd"/>
      <w:r>
        <w:t xml:space="preserve"> </w:t>
      </w:r>
      <w:proofErr w:type="spellStart"/>
      <w:r>
        <w:t>Mental</w:t>
      </w:r>
      <w:proofErr w:type="spellEnd"/>
      <w:r>
        <w:t xml:space="preserve"> </w:t>
      </w:r>
      <w:proofErr w:type="spellStart"/>
      <w:r>
        <w:t>Health</w:t>
      </w:r>
      <w:proofErr w:type="spellEnd"/>
      <w:r>
        <w:t xml:space="preserve"> for </w:t>
      </w:r>
      <w:proofErr w:type="spellStart"/>
      <w:r>
        <w:t>All</w:t>
      </w:r>
      <w:proofErr w:type="spellEnd"/>
      <w:r>
        <w:t xml:space="preserve">», World </w:t>
      </w:r>
      <w:proofErr w:type="spellStart"/>
      <w:r>
        <w:t>Health</w:t>
      </w:r>
      <w:proofErr w:type="spellEnd"/>
      <w:r>
        <w:t xml:space="preserve"> Organization, Ginevra, 2022.</w:t>
      </w:r>
    </w:p>
    <w:p w14:paraId="277C7040" w14:textId="77777777" w:rsidR="007C4598" w:rsidRDefault="007C4598"/>
    <w:p w14:paraId="6BEB08EC" w14:textId="77777777" w:rsidR="007C4598" w:rsidRDefault="00000000">
      <w:pPr>
        <w:jc w:val="both"/>
      </w:pPr>
      <w:r>
        <w:rPr>
          <w:i/>
          <w:iCs/>
        </w:rPr>
        <w:t>Mini-riassunto. È il rapporto mondiale sulla salute mentale, che documenta il divario di trattamento e il valore della sua riduzione attraverso l’integrazione dei servizi psicologici nelle cure primarie, a cornice delle previsioni di questa parte sulla riduzione del disagio non intercettato e sul restringimento del divario di trattamento, che misurano la capacità della riforma di raggiungere il disagio sommerso, presupposto del guadagno di salute.</w:t>
      </w:r>
    </w:p>
    <w:p w14:paraId="32C23ABC" w14:textId="77777777" w:rsidR="007C4598" w:rsidRDefault="007C4598"/>
    <w:p w14:paraId="60541D3B" w14:textId="77777777" w:rsidR="007C4598" w:rsidRDefault="00000000">
      <w:pPr>
        <w:pStyle w:val="Titolo2"/>
        <w:spacing w:before="200" w:after="100"/>
      </w:pPr>
      <w:r>
        <w:rPr>
          <w:sz w:val="22"/>
          <w:szCs w:val="22"/>
        </w:rPr>
        <w:t>Nota sui rinvii interni e sui principi metodologici</w:t>
      </w:r>
    </w:p>
    <w:p w14:paraId="15F23F98" w14:textId="77777777" w:rsidR="007C4598" w:rsidRDefault="007C4598"/>
    <w:p w14:paraId="097E77EC" w14:textId="77777777" w:rsidR="007C4598" w:rsidRDefault="00000000">
      <w:pPr>
        <w:jc w:val="both"/>
      </w:pPr>
      <w:r>
        <w:t>L’undicesima parte è la sede della proiezione temporale e della previsione falsificabile dell’intero studio, e si raccorda perciò con un’ampia rete di parti, da cui assume le grandezze e a cui consegna il proprio risultato. Essa assume il saldo economico consolidato stabilito dalla decima parte, e ne proietta le grandezze nel tempo; trae dalla sesta parte l’evidenza di efficacia che sostiene i parametri del modello, in particolare le probabilità di transizione del decorso con riforma; richiama la settima e l’ottava parte per i costi e i risparmi diretti che il modello proietta, e di cui le previsioni sui bilanci e sui sistemi sanitari sono la proiezione temporale e il riscontro fisico; richiama la quarta parte per le leve abilitanti e per l’organizzazione dei percorsi, che governano l’entità delle previsioni sulla burocrazia; e si fonda sui parametri demografici e di scala della seconda e della quarta parte, propri della Puglia. Verso le parti successive, essa consegna le previsioni falsificabili e le soglie alla quindicesima parte, che ne condurrà la verifica ex-post, e la proiezione del valore alla dodicesima parte, che ne studierà la distribuzione tra i territori e le popolazioni.</w:t>
      </w:r>
    </w:p>
    <w:p w14:paraId="53CB5A12" w14:textId="77777777" w:rsidR="007C4598" w:rsidRDefault="007C4598"/>
    <w:p w14:paraId="3B4B4D5D" w14:textId="77777777" w:rsidR="007C4598" w:rsidRDefault="00000000">
      <w:pPr>
        <w:jc w:val="both"/>
      </w:pPr>
      <w:r>
        <w:t xml:space="preserve">I principi metodologici invarianti dello studio governano la modellazione e la previsione falsificabile in ogni loro passaggio. La distinzione cardine tra le grandezze fiscali dirette, sociali indirette e di salute è mantenuta nella proiezione, sicché le previsioni sui quattro ambiti restino riferite a dimensioni distinte, senza somma in un’unica cifra e senza duplicazione. Il duplice intervallo di </w:t>
      </w:r>
      <w:proofErr w:type="spellStart"/>
      <w:r>
        <w:t>Chisholm</w:t>
      </w:r>
      <w:proofErr w:type="spellEnd"/>
      <w:r>
        <w:t xml:space="preserve"> opera come riferimento nell’individuazione della soglia del rendimento sociale e nella misura del relativo margine. Il </w:t>
      </w:r>
      <w:proofErr w:type="spellStart"/>
      <w:r>
        <w:t>caveat</w:t>
      </w:r>
      <w:proofErr w:type="spellEnd"/>
      <w:r>
        <w:t xml:space="preserve"> dell’IMPACT trial sui risparmi diretti governa la duplice formulazione delle previsioni sui bilanci, nella variante centrale e nella variante prudenziale, ed è riflesso nelle distribuzioni dell’analisi di sensibilità. Il modello impiega i parametri invarianti cross-regionali, costanti per l’intera serie regionale, e i parametri demografici e di scala propri della Puglia, sicché la proiezione sia confrontabile tra le regioni e specifica per la Puglia. Ogni previsione è formulata in banda prudenziale falsificabile, corredata della soglia di confutazione e del metodo di verifica, e ogni stima è graduata secondo la sua qualità con i criteri GRADE, applicati con il medesimo rigore alle componenti cliniche ed economiche. La modellazione e la previsione falsificabile si conformano così, nella loro proiezione, ai medesimi principi che hanno governato la valutazione statica che le precede, e ne costituiscono il prolungamento nel tempo, traducendone il valore in previsioni controllabili, esposte alla verifica dei fatti.</w:t>
      </w:r>
    </w:p>
    <w:p w14:paraId="52E3C70B" w14:textId="77777777" w:rsidR="007C4598" w:rsidRDefault="007C4598"/>
    <w:p w14:paraId="0757DE2C" w14:textId="77777777" w:rsidR="007C4598" w:rsidRDefault="00000000">
      <w:pPr>
        <w:jc w:val="both"/>
      </w:pPr>
      <w:r>
        <w:t>Modellazione · incertezza · previsione falsificabile</w:t>
      </w:r>
      <w:r>
        <w:tab/>
        <w:t>L. De Michele · giugno 2026</w:t>
      </w:r>
    </w:p>
    <w:p w14:paraId="50F2E40C" w14:textId="77777777" w:rsidR="007C4598" w:rsidRDefault="007C4598"/>
    <w:p w14:paraId="112384B1" w14:textId="77777777" w:rsidR="007C4598" w:rsidRDefault="00000000">
      <w:pPr>
        <w:jc w:val="both"/>
      </w:pPr>
      <w:r>
        <w:rPr>
          <w:color w:val="555555"/>
          <w:sz w:val="16"/>
          <w:szCs w:val="16"/>
          <w:vertAlign w:val="superscript"/>
        </w:rPr>
        <w:t>[1]</w:t>
      </w:r>
      <w:r>
        <w:t xml:space="preserve">: I tre strumenti della modellazione hanno funzioni distinte e complementari: il modello di </w:t>
      </w:r>
      <w:proofErr w:type="spellStart"/>
      <w:r>
        <w:t>Markov</w:t>
      </w:r>
      <w:proofErr w:type="spellEnd"/>
      <w:r>
        <w:t xml:space="preserve"> fornisce la struttura degli stati e delle transizioni entro cui si rappresenta il decorso del disagio e l’effetto della riforma; la </w:t>
      </w:r>
      <w:proofErr w:type="spellStart"/>
      <w:r>
        <w:t>microsimulazione</w:t>
      </w:r>
      <w:proofErr w:type="spellEnd"/>
      <w:r>
        <w:t xml:space="preserve"> popola la struttura di individui eterogenei, rendendo la proiezione sensibile alla composizione della popolazione; l’analisi di sensibilità probabilistica propaga l’incertezza dei parametri agli esiti, producendo distribuzioni anziché stime puntuali. Cfr. </w:t>
      </w:r>
      <w:proofErr w:type="spellStart"/>
      <w:r>
        <w:t>Drummond</w:t>
      </w:r>
      <w:proofErr w:type="spellEnd"/>
      <w:r>
        <w:t xml:space="preserve"> et al. 2015 e </w:t>
      </w:r>
      <w:proofErr w:type="spellStart"/>
      <w:r>
        <w:t>Briggs</w:t>
      </w:r>
      <w:proofErr w:type="spellEnd"/>
      <w:r>
        <w:t xml:space="preserve"> et al. 2006 per l’impianto della modellazione decisionale in sanità.</w:t>
      </w:r>
    </w:p>
    <w:p w14:paraId="1AA63619" w14:textId="77777777" w:rsidR="007C4598" w:rsidRDefault="00000000">
      <w:pPr>
        <w:jc w:val="both"/>
      </w:pPr>
      <w:r>
        <w:rPr>
          <w:color w:val="555555"/>
          <w:sz w:val="16"/>
          <w:szCs w:val="16"/>
          <w:vertAlign w:val="superscript"/>
        </w:rPr>
        <w:t>[2]</w:t>
      </w:r>
      <w:r>
        <w:t>: La falsificabilità impone, per ciascuna previsione, tre elementi: il valore previsto come banda prudenziale; la soglia di confutazione, ossia il valore che, se non raggiunto, smentisce la previsione; e il metodo di verifica ex-post. La quindicesima parte, dedicata al monitoraggio e alla valutazione ex-post, condurrà la verifica, confrontando le previsioni con gli esiti osservati. La falsificabilità è un vincolo metodologico stringente, che espone la riforma alla verifica dei fatti, e non una cautela retorica.</w:t>
      </w:r>
    </w:p>
    <w:p w14:paraId="75760E9B" w14:textId="77777777" w:rsidR="007C4598" w:rsidRDefault="00000000">
      <w:pPr>
        <w:jc w:val="both"/>
      </w:pPr>
      <w:r>
        <w:rPr>
          <w:color w:val="555555"/>
          <w:sz w:val="16"/>
          <w:szCs w:val="16"/>
          <w:vertAlign w:val="superscript"/>
        </w:rPr>
        <w:t>[3]</w:t>
      </w:r>
      <w:r>
        <w:t xml:space="preserve">: Il modello di </w:t>
      </w:r>
      <w:proofErr w:type="spellStart"/>
      <w:r>
        <w:t>Markov</w:t>
      </w:r>
      <w:proofErr w:type="spellEnd"/>
      <w:r>
        <w:t xml:space="preserve"> rappresenta l’evoluzione di una condizione di salute attraverso un insieme di stati mutuamente esclusivi ed esaustivi, tra i quali la popolazione transita secondo probabilità definite in cicli successivi, accumulando gli esiti associati a ciascuno stato lungo l’orizzonte. È lo strumento consolidato della valutazione economica per la proiezione del decorso di una condizione cronica o recidivante, qual è il disagio comune. Cfr. Sonnenberg e Beck 1993 per l’introduzione del metodo, e </w:t>
      </w:r>
      <w:proofErr w:type="spellStart"/>
      <w:r>
        <w:t>Drummond</w:t>
      </w:r>
      <w:proofErr w:type="spellEnd"/>
      <w:r>
        <w:t xml:space="preserve"> et al. 2015 per l’uso in valutazione economica.</w:t>
      </w:r>
    </w:p>
    <w:p w14:paraId="4D1B52FC" w14:textId="77777777" w:rsidR="007C4598" w:rsidRDefault="00000000">
      <w:pPr>
        <w:jc w:val="both"/>
      </w:pPr>
      <w:r>
        <w:rPr>
          <w:color w:val="555555"/>
          <w:sz w:val="16"/>
          <w:szCs w:val="16"/>
          <w:vertAlign w:val="superscript"/>
        </w:rPr>
        <w:t>[4]</w:t>
      </w:r>
      <w:r>
        <w:t>: L’effetto della riforma nel modello consiste nella modificazione delle probabilità di transizione: la presa in carico del disturbo accresce la probabilità di remissione (da ~0,25 a ~0,50 annua) e riduce la probabilità di cronicizzazione (da ~0,18 a ~0,06 annua). L’effetto cumulato, lungo l’orizzonte e sulla popolazione intercettata, genera i guadagni di salute (più popolazione verso il benessere) e i risparmi (meno popolazione verso la cronicizzazione, stato di più alto costo). Le grandezze statiche della decima parte trovano così la loro generazione dinamica.</w:t>
      </w:r>
    </w:p>
    <w:p w14:paraId="2C4B5EFF" w14:textId="77777777" w:rsidR="007C4598" w:rsidRDefault="00000000">
      <w:pPr>
        <w:jc w:val="both"/>
      </w:pPr>
      <w:r>
        <w:rPr>
          <w:color w:val="555555"/>
          <w:sz w:val="16"/>
          <w:szCs w:val="16"/>
          <w:vertAlign w:val="superscript"/>
        </w:rPr>
        <w:t>[5]</w:t>
      </w:r>
      <w:r>
        <w:t>: La struttura del modello (stati e transizioni) è solida, riflettendo il decorso noto del disagio comune. I parametri sono di varia qualità: pesi di utilità graduati da moderata ad alta; probabilità di transizione del decorso naturale graduate moderata; probabilità del decorso con riforma graduate da moderata ad alta (sesta parte). I parametri sono corredati di bande prudenziali, propagate agli esiti dall’analisi di sensibilità. Il modello è una rappresentazione semplificata, da intendere come strumento di proiezione, non come descrizione esatta della realtà.</w:t>
      </w:r>
    </w:p>
    <w:p w14:paraId="6288211F" w14:textId="77777777" w:rsidR="007C4598" w:rsidRDefault="00000000">
      <w:pPr>
        <w:jc w:val="both"/>
      </w:pPr>
      <w:r>
        <w:rPr>
          <w:color w:val="555555"/>
          <w:sz w:val="16"/>
          <w:szCs w:val="16"/>
          <w:vertAlign w:val="superscript"/>
        </w:rPr>
        <w:t>[6]</w:t>
      </w:r>
      <w:r>
        <w:t xml:space="preserve">: L’analisi di sensibilità probabilistica assegna a ciascun parametro incerto una distribuzione di probabilità, e calcola gli esiti del modello per un gran numero di combinazioni dei parametri estratte dalle distribuzioni, attraverso la simulazione ripetuta (di tipo Monte Carlo), producendo la distribuzione degli esiti e gli intervalli di credibilità. Essa esprime e propaga l’incertezza, che l’analisi deterministica cela. Cfr. </w:t>
      </w:r>
      <w:proofErr w:type="spellStart"/>
      <w:r>
        <w:t>Briggs</w:t>
      </w:r>
      <w:proofErr w:type="spellEnd"/>
      <w:r>
        <w:t xml:space="preserve"> et al. 2006 per la metodologia dell’analisi probabilistica.</w:t>
      </w:r>
    </w:p>
    <w:p w14:paraId="1B6B7CDA" w14:textId="77777777" w:rsidR="007C4598" w:rsidRDefault="00000000">
      <w:pPr>
        <w:jc w:val="both"/>
      </w:pPr>
      <w:r>
        <w:rPr>
          <w:color w:val="555555"/>
          <w:sz w:val="16"/>
          <w:szCs w:val="16"/>
          <w:vertAlign w:val="superscript"/>
        </w:rPr>
        <w:t>[7]</w:t>
      </w:r>
      <w:r>
        <w:t>: I risultati dell’analisi probabilistica confermano il risultato deterministico: il rapporto costo-efficacia mediano coincide con quello deterministico (~17.300 €/QALY nello scenario intermedio); l’intervallo di credibilità al 95% (~13.000–23.000 €/QALY) resta sotto la soglia convenzionale; la probabilità di costo-efficacia è ~95% alla soglia convenzionale di 30.000 €, e resta elevata a soglie inferiori (~92% a 25.000 €, ~85% a 20.000 €). La probabilità cresce con il dimensionamento. Il risultato probabilistico è il fondamento delle previsioni falsificabili sulla costo-efficacia.</w:t>
      </w:r>
    </w:p>
    <w:p w14:paraId="05A181D4" w14:textId="77777777" w:rsidR="007C4598" w:rsidRDefault="00000000">
      <w:pPr>
        <w:jc w:val="both"/>
      </w:pPr>
      <w:r>
        <w:rPr>
          <w:color w:val="555555"/>
          <w:sz w:val="16"/>
          <w:szCs w:val="16"/>
          <w:vertAlign w:val="superscript"/>
        </w:rPr>
        <w:t>[8]</w:t>
      </w:r>
      <w:r>
        <w:t>: La logica dell’analisi probabilistica è solida; la scelta delle distribuzioni e degli intervalli è ragionevole ma comporta un grado di assunzione, sicché i risultati sono robusti nell’ordine di grandezza ma soggetti alla scelta delle distribuzioni. L’analisi propaga l’incertezza dei parametri, ma non l’incertezza strutturale del modello, da riconoscere separatamente. La probabilità di costo-efficacia è riferita alla dimensione di salute; le altre dimensioni hanno la propria incertezza, riflessa nelle bande delle parti precedenti.</w:t>
      </w:r>
    </w:p>
    <w:p w14:paraId="1FFE5232" w14:textId="77777777" w:rsidR="007C4598" w:rsidRDefault="00000000">
      <w:pPr>
        <w:jc w:val="both"/>
      </w:pPr>
      <w:r>
        <w:rPr>
          <w:color w:val="555555"/>
          <w:sz w:val="16"/>
          <w:szCs w:val="16"/>
          <w:vertAlign w:val="superscript"/>
        </w:rPr>
        <w:t>[9]</w:t>
      </w:r>
      <w:r>
        <w:t>: I guadagni di salute cumulati (anni di vita in buona salute, attualizzati) crescono nel tempo per il graduale raggiungimento del regime (</w:t>
      </w:r>
      <w:proofErr w:type="spellStart"/>
      <w:r>
        <w:t>ramp</w:t>
      </w:r>
      <w:proofErr w:type="spellEnd"/>
      <w:r>
        <w:t>-up) e per l’accumulo delle coorti prese in carico: scenario intermedio ~8.500 a cinque anni (banda ~7.000–10.000) e ~17.000 a dieci anni (banda ~14.000–20.000); conservativo ~5.000 e ~10.000; espansivo ~12.000 e ~24.000. La previsione è smentita se i guadagni a cinque anni si collocano sotto 7.000 (scenario intermedio). I guadagni sono la traduzione in anni di vita in buona salute della modificazione delle transizioni.</w:t>
      </w:r>
    </w:p>
    <w:p w14:paraId="7AA41A22" w14:textId="77777777" w:rsidR="007C4598" w:rsidRDefault="00000000">
      <w:pPr>
        <w:jc w:val="both"/>
      </w:pPr>
      <w:r>
        <w:rPr>
          <w:color w:val="555555"/>
          <w:sz w:val="16"/>
          <w:szCs w:val="16"/>
          <w:vertAlign w:val="superscript"/>
        </w:rPr>
        <w:t>[10]</w:t>
      </w:r>
      <w:r>
        <w:t>: I metodi di verifica delle previsioni sulla qualità della vita: i guadagni di salute, attraverso la stima ex-post dei guadagni di utilità sulla popolazione presa in carico (misure di esito clinico convertite in pesi di utilità); la riduzione del disagio non intercettato e il restringimento del divario, attraverso le indagini di prevalenza e i dati dei servizi prima e dopo; l’aumento dell’utilità media, attraverso la misurazione della qualità della vita della coorte presa in carico. La quindicesima parte condurrà il riscontro.</w:t>
      </w:r>
    </w:p>
    <w:p w14:paraId="048B7F9E" w14:textId="77777777" w:rsidR="007C4598" w:rsidRDefault="00000000">
      <w:pPr>
        <w:jc w:val="both"/>
      </w:pPr>
      <w:r>
        <w:rPr>
          <w:color w:val="555555"/>
          <w:sz w:val="16"/>
          <w:szCs w:val="16"/>
          <w:vertAlign w:val="superscript"/>
        </w:rPr>
        <w:t>[11]</w:t>
      </w:r>
      <w:r>
        <w:t>: La direzione delle previsioni sulla qualità della vita è solida, discendendo dalla modificazione delle transizioni fondata sull’efficacia del trattamento (graduata da moderata ad alta, sesta parte). L’entità è graduata moderata, dipendendo dai parametri del modello soggetti a incertezza, riflessa nelle bande e propagata dall’analisi di sensibilità. Le previsioni sono formulate come bande, con soglie di confutazione collocate sotto le bande, sì che la previsione sia smentita solo da un esito sensibilmente inferiore.</w:t>
      </w:r>
    </w:p>
    <w:p w14:paraId="76AB8E36" w14:textId="77777777" w:rsidR="007C4598" w:rsidRDefault="00000000">
      <w:pPr>
        <w:jc w:val="both"/>
      </w:pPr>
      <w:r>
        <w:rPr>
          <w:color w:val="555555"/>
          <w:sz w:val="16"/>
          <w:szCs w:val="16"/>
          <w:vertAlign w:val="superscript"/>
        </w:rPr>
        <w:t>[12]</w:t>
      </w:r>
      <w:r>
        <w:t xml:space="preserve">: Il </w:t>
      </w:r>
      <w:proofErr w:type="spellStart"/>
      <w:r>
        <w:t>caveat</w:t>
      </w:r>
      <w:proofErr w:type="spellEnd"/>
      <w:r>
        <w:t xml:space="preserve"> dell’IMPACT trial (</w:t>
      </w:r>
      <w:proofErr w:type="spellStart"/>
      <w:r>
        <w:t>Unützer</w:t>
      </w:r>
      <w:proofErr w:type="spellEnd"/>
      <w:r>
        <w:t xml:space="preserve"> et al. 2008) avverte che i risparmi sui costi sanitari diretti, ancorché presenti, non raggiungono la significatività statistica. Per ossequio al </w:t>
      </w:r>
      <w:proofErr w:type="spellStart"/>
      <w:r>
        <w:t>caveat</w:t>
      </w:r>
      <w:proofErr w:type="spellEnd"/>
      <w:r>
        <w:t>, le previsioni sui bilanci sono formulate in due varianti: centrale (con risparmi, impatto cumulato ~78 milioni) e prudenziale (senza risparmi, impatto cumulato ~168 milioni pari al costo lordo). La verifica ex-post determinerà quale variante si avveri. La duplice formulazione espone l’incertezza dei risparmi anziché nasconderla.</w:t>
      </w:r>
    </w:p>
    <w:p w14:paraId="2E7BA834" w14:textId="77777777" w:rsidR="007C4598" w:rsidRDefault="00000000">
      <w:pPr>
        <w:jc w:val="both"/>
      </w:pPr>
      <w:r>
        <w:rPr>
          <w:color w:val="555555"/>
          <w:sz w:val="16"/>
          <w:szCs w:val="16"/>
          <w:vertAlign w:val="superscript"/>
        </w:rPr>
        <w:t>[13]</w:t>
      </w:r>
      <w:r>
        <w:t>: I metodi di verifica delle previsioni sui bilanci: i risparmi diretti, attraverso l’analisi ex-post della spesa sanitaria sulle voci incise (spesa farmaceutica, accessi al pronto soccorso, ricoveri, mobilità passiva, invii inappropriati); l’impatto netto e cumulato, attraverso la riconciliazione dei costi e dei risparmi effettivi sul bilancio sanitario; l’incidenza sul Fondo, attraverso il rapporto tra impatto netto effettivo e dimensione effettiva del Fondo. La verifica nelle due varianti determinerà la realtà dei risparmi diretti.</w:t>
      </w:r>
    </w:p>
    <w:p w14:paraId="58F08CA9" w14:textId="77777777" w:rsidR="007C4598" w:rsidRDefault="00000000">
      <w:pPr>
        <w:jc w:val="both"/>
      </w:pPr>
      <w:r>
        <w:rPr>
          <w:color w:val="555555"/>
          <w:sz w:val="16"/>
          <w:szCs w:val="16"/>
          <w:vertAlign w:val="superscript"/>
        </w:rPr>
        <w:t>[14]</w:t>
      </w:r>
      <w:r>
        <w:t xml:space="preserve">: La componente di costo delle previsioni sui bilanci è robusta (i costi sono stabiliti dalla settima parte con la maggiore precisione tra le grandezze dello studio); la componente di risparmio è incerta, in ragione del </w:t>
      </w:r>
      <w:proofErr w:type="spellStart"/>
      <w:r>
        <w:t>caveat</w:t>
      </w:r>
      <w:proofErr w:type="spellEnd"/>
      <w:r>
        <w:t xml:space="preserve"> dell’IMPACT trial, riflessa nella variante prudenziale. L’incidenza sul Fondo è robusta nell’ordine di grandezza (contenuta entro frazioni dell’uno per cento in entrambe le varianti). Le previsioni sui bilanci attengono al solo bilancio sanitario, distinto dagli altri comparti (previdenza, assistenza), in coerenza con la separazione delle dimensioni.</w:t>
      </w:r>
    </w:p>
    <w:p w14:paraId="1F510AF6" w14:textId="77777777" w:rsidR="007C4598" w:rsidRDefault="00000000">
      <w:pPr>
        <w:jc w:val="both"/>
      </w:pPr>
      <w:r>
        <w:rPr>
          <w:color w:val="555555"/>
          <w:sz w:val="16"/>
          <w:szCs w:val="16"/>
          <w:vertAlign w:val="superscript"/>
        </w:rPr>
        <w:t>[15]</w:t>
      </w:r>
      <w:r>
        <w:t>: Le previsioni sulla burocrazia misurano l’effetto della funzione di filtro del primo livello psicologico: riduzione degli invii inappropriati ai servizi specialistici ~30% (banda 20–40%) e alleggerimento del carico amministrativo per caso ~20% (banda 12–28%) a cinque anni, scenario intermedio. Le previsioni sono smentite se le riduzioni si collocano sotto le soglie di confutazione (20% e 12%). Il primo livello, trattenendo il disagio comune al livello appropriato, elimina i percorsi inappropriati che gravano l’amministrazione.</w:t>
      </w:r>
    </w:p>
    <w:p w14:paraId="031E3180" w14:textId="77777777" w:rsidR="007C4598" w:rsidRDefault="00000000">
      <w:pPr>
        <w:jc w:val="both"/>
      </w:pPr>
      <w:r>
        <w:rPr>
          <w:color w:val="555555"/>
          <w:sz w:val="16"/>
          <w:szCs w:val="16"/>
          <w:vertAlign w:val="superscript"/>
        </w:rPr>
        <w:t>[16]</w:t>
      </w:r>
      <w:r>
        <w:t>: I metodi di verifica delle previsioni sulla burocrazia: gli invii inappropriati, attraverso l’analisi dei flussi degli invii ai servizi specialistici; il carico per caso, attraverso le prestazioni e gli adempimenti generati da ciascun caso; i tempi di attesa, attraverso i dati gestionali; la quota al livello appropriato, attraverso la distribuzione dei casi tra i livelli di cura. La verifica si fonda sui dati gestionali del sistema, che consentono il riscontro diretto.</w:t>
      </w:r>
    </w:p>
    <w:p w14:paraId="385D9C78" w14:textId="77777777" w:rsidR="007C4598" w:rsidRDefault="00000000">
      <w:pPr>
        <w:jc w:val="both"/>
      </w:pPr>
      <w:r>
        <w:rPr>
          <w:color w:val="555555"/>
          <w:sz w:val="16"/>
          <w:szCs w:val="16"/>
          <w:vertAlign w:val="superscript"/>
        </w:rPr>
        <w:t>[17]</w:t>
      </w:r>
      <w:r>
        <w:t>: La direzione delle previsioni sulla burocrazia è solida (l’introduzione di un livello mancante riduce i percorsi inappropriati); l’entità è graduata moderata, dipendendo dall’efficacia della funzione di filtro e dalle modalità attuative dei percorsi (delineate dalla quarta parte). Le previsioni sulla burocrazia misurano l’effetto organizzativo, distinto dal suo eventuale valore economico, già computato nei risparmi diretti o nei benefici indiretti, senza duplicazione.</w:t>
      </w:r>
    </w:p>
    <w:p w14:paraId="7A487E6F" w14:textId="77777777" w:rsidR="007C4598" w:rsidRDefault="00000000">
      <w:pPr>
        <w:jc w:val="both"/>
      </w:pPr>
      <w:r>
        <w:rPr>
          <w:color w:val="555555"/>
          <w:sz w:val="16"/>
          <w:szCs w:val="16"/>
          <w:vertAlign w:val="superscript"/>
        </w:rPr>
        <w:t>[18]</w:t>
      </w:r>
      <w:r>
        <w:t>: Le previsioni sui sistemi sanitari misurano, sul piano fisico, gli stessi fenomeni che generano i risparmi diretti (ottava parte): riduzione degli accessi impropri al pronto soccorso ~20% (banda 12–28%), dei ricoveri ~15% (banda 8–22%), della mobilità passiva ~10% (banda 5–18%) a cinque anni, scenario intermedio. Sono il riscontro fisico dei risparmi, espressi in accessi e ricoveri anziché in euro. Le previsioni sono smentite se le riduzioni si collocano sotto le soglie di confutazione.</w:t>
      </w:r>
    </w:p>
    <w:p w14:paraId="4A276D2C" w14:textId="77777777" w:rsidR="007C4598" w:rsidRDefault="00000000">
      <w:pPr>
        <w:jc w:val="both"/>
      </w:pPr>
      <w:r>
        <w:rPr>
          <w:color w:val="555555"/>
          <w:sz w:val="16"/>
          <w:szCs w:val="16"/>
          <w:vertAlign w:val="superscript"/>
        </w:rPr>
        <w:t>[19]</w:t>
      </w:r>
      <w:r>
        <w:t>: I metodi di verifica delle previsioni sui sistemi sanitari: gli accessi, i ricoveri e la mobilità, attraverso i flussi del sistema (accessi al pronto soccorso, schede di dimissione ospedaliera, flussi della mobilità interregionale); la spesa farmaceutica, attraverso i flussi della spesa per psicofarmaci; il carico delle cure primarie, attraverso le consultazioni al medico di medicina generale. La verifica fisica delle previsioni sui sistemi e quella economica delle previsioni sui bilanci convergono sui medesimi fenomeni.</w:t>
      </w:r>
    </w:p>
    <w:p w14:paraId="65940CC5" w14:textId="77777777" w:rsidR="007C4598" w:rsidRDefault="00000000">
      <w:pPr>
        <w:jc w:val="both"/>
      </w:pPr>
      <w:r>
        <w:rPr>
          <w:color w:val="555555"/>
          <w:sz w:val="16"/>
          <w:szCs w:val="16"/>
          <w:vertAlign w:val="superscript"/>
        </w:rPr>
        <w:t>[20]</w:t>
      </w:r>
      <w:r>
        <w:t xml:space="preserve">: La direzione delle previsioni sui sistemi sanitari è solida (l’intercettazione precoce riduce il ricorso ai livelli onerosi); l’entità è graduata moderata e soggetta, per la componente che si traduce in risparmi diretti, al </w:t>
      </w:r>
      <w:proofErr w:type="spellStart"/>
      <w:r>
        <w:t>caveat</w:t>
      </w:r>
      <w:proofErr w:type="spellEnd"/>
      <w:r>
        <w:t xml:space="preserve"> dell’IMPACT trial. Le previsioni sui sistemi misurano gli stessi fenomeni dei risparmi diretti sul piano fisico; il loro valore economico è già computato nei risparmi, senza duplicazione. La loro verifica concorrerà a determinare la realtà dei risparmi diretti.</w:t>
      </w:r>
    </w:p>
    <w:p w14:paraId="7BBACEF5" w14:textId="77777777" w:rsidR="007C4598" w:rsidRDefault="00000000">
      <w:pPr>
        <w:jc w:val="both"/>
      </w:pPr>
      <w:r>
        <w:rPr>
          <w:color w:val="555555"/>
          <w:sz w:val="16"/>
          <w:szCs w:val="16"/>
          <w:vertAlign w:val="superscript"/>
        </w:rPr>
        <w:t>[21]</w:t>
      </w:r>
      <w:r>
        <w:t xml:space="preserve">: Le soglie che modificano la raccomandazione sono i valori dei parametri al di là dei quali la riforma cesserebbe di essere favorevole su una dimensione. Esse rendono falsificabile la raccomandazione complessiva, indicando le condizioni della sua revisione: se i parametri osservati superassero le soglie, la raccomandazione andrebbe rivista. Il margine — la distanza tra valore atteso e punto di ribaltamento — misura la robustezza: ampio per una raccomandazione robusta, ristretto per una fragile. Cfr. </w:t>
      </w:r>
      <w:proofErr w:type="spellStart"/>
      <w:r>
        <w:t>Briggs</w:t>
      </w:r>
      <w:proofErr w:type="spellEnd"/>
      <w:r>
        <w:t xml:space="preserve"> et al. 2006 per l’analisi di soglia.</w:t>
      </w:r>
    </w:p>
    <w:p w14:paraId="48A294B3" w14:textId="77777777" w:rsidR="007C4598" w:rsidRDefault="00000000">
      <w:pPr>
        <w:jc w:val="both"/>
      </w:pPr>
      <w:r>
        <w:rPr>
          <w:color w:val="555555"/>
          <w:sz w:val="16"/>
          <w:szCs w:val="16"/>
          <w:vertAlign w:val="superscript"/>
        </w:rPr>
        <w:t>[22]</w:t>
      </w:r>
      <w:r>
        <w:t>: I margini sulla costo-efficacia sono ampi: poiché il rapporto atteso è ~17.300 €/QALY e la soglia convenzionale ~30.000 €, i guadagni di salute dovrebbero ridursi di ~40% (margine sull’efficacia), o il costo crescere di ~70% (margine sul costo), perché il rapporto raggiungesse la soglia. Alla soglia inferiore dell’intervallo convenzionale (~25.000 €) il margine sull’efficacia è ~30%. I margini ampi sono la traduzione deterministica dell’elevata probabilità di costo-efficacia (~95%).</w:t>
      </w:r>
    </w:p>
    <w:p w14:paraId="202F6F12" w14:textId="77777777" w:rsidR="007C4598" w:rsidRDefault="00000000">
      <w:pPr>
        <w:jc w:val="both"/>
      </w:pPr>
      <w:r>
        <w:rPr>
          <w:color w:val="555555"/>
          <w:sz w:val="16"/>
          <w:szCs w:val="16"/>
          <w:vertAlign w:val="superscript"/>
        </w:rPr>
        <w:t>[23]</w:t>
      </w:r>
      <w:r>
        <w:t xml:space="preserve">: Robustezza della raccomandazione per dimensione: molto robusta sulla costo-efficacia (margini ~40% sull’efficacia, ~70% sul costo); robusta sulla sostenibilità (~100%, raddoppio del costo per raggiungere l’1% del Fondo); robusta sulla copertura (soglia sotto l’intera gamma degli scenari); meno robusta sul rendimento sociale (margine ~12%, poiché il rapporto atteso ~2,6 a 1 è prossimo al margine inferiore della fascia di </w:t>
      </w:r>
      <w:proofErr w:type="spellStart"/>
      <w:r>
        <w:t>Chisholm</w:t>
      </w:r>
      <w:proofErr w:type="spellEnd"/>
      <w:r>
        <w:t xml:space="preserve"> ~2,3 a 1). Anche sotto la fascia, il rendimento resterebbe positivo. Il rendimento sociale è la dimensione su cui la verifica ex-post va condotta con maggiore attenzione.</w:t>
      </w:r>
    </w:p>
    <w:p w14:paraId="56C4C96C" w14:textId="77777777" w:rsidR="007C4598" w:rsidRDefault="00000000">
      <w:pPr>
        <w:jc w:val="both"/>
      </w:pPr>
      <w:r>
        <w:rPr>
          <w:color w:val="555555"/>
          <w:sz w:val="16"/>
          <w:szCs w:val="16"/>
          <w:vertAlign w:val="superscript"/>
        </w:rPr>
        <w:t>[24]</w:t>
      </w:r>
      <w:r>
        <w:t xml:space="preserve">: Il metodo dell’analisi di soglia è solido; i valori delle soglie e dei margini dipendono dalla scelta delle soglie di riferimento (soglia convenzionale di costo-efficacia, fascia di </w:t>
      </w:r>
      <w:proofErr w:type="spellStart"/>
      <w:r>
        <w:t>Chisholm</w:t>
      </w:r>
      <w:proofErr w:type="spellEnd"/>
      <w:r>
        <w:t>, soglia di rilevanza sul Fondo), sicché sono robusti nell’ordine di grandezza e nella graduazione relativa, ma soggetti alla scelta delle soglie di riferimento. La graduazione relativa — margini ampi sulla costo-efficacia e sulla sostenibilità, più ristretto sul rendimento sociale — è solida per ragionevoli variazioni delle soglie.</w:t>
      </w:r>
    </w:p>
    <w:p w14:paraId="567023CD" w14:textId="77777777" w:rsidR="007C4598" w:rsidRDefault="00000000">
      <w:pPr>
        <w:jc w:val="both"/>
      </w:pPr>
      <w:r>
        <w:rPr>
          <w:color w:val="555555"/>
          <w:sz w:val="16"/>
          <w:szCs w:val="16"/>
          <w:vertAlign w:val="superscript"/>
        </w:rPr>
        <w:t>[25]</w:t>
      </w:r>
      <w:r>
        <w:t xml:space="preserve">: L’undicesima parte ha proiettato il saldo economico consolidato della decima parte lungo l’orizzonte decennale, attraverso il modello di </w:t>
      </w:r>
      <w:proofErr w:type="spellStart"/>
      <w:r>
        <w:t>Markov</w:t>
      </w:r>
      <w:proofErr w:type="spellEnd"/>
      <w:r>
        <w:t xml:space="preserve"> e la </w:t>
      </w:r>
      <w:proofErr w:type="spellStart"/>
      <w:r>
        <w:t>microsimulazione</w:t>
      </w:r>
      <w:proofErr w:type="spellEnd"/>
      <w:r>
        <w:t xml:space="preserve">, e ne ha tratto previsioni falsificabili: i guadagni di salute cumulati a dieci anni sono circa il doppio di quelli a cinque anni, per il </w:t>
      </w:r>
      <w:proofErr w:type="spellStart"/>
      <w:r>
        <w:t>ramp</w:t>
      </w:r>
      <w:proofErr w:type="spellEnd"/>
      <w:r>
        <w:t>-up e l’accumulo delle coorti. Le previsioni sono formulate come bande corredate di soglie di confutazione e di metodi di verifica, non come asserzioni di esiti certi. La forma falsificabile espone la riforma alla verifica dei fatti (cfr. Popper 2002).</w:t>
      </w:r>
    </w:p>
    <w:p w14:paraId="271A5B12" w14:textId="77777777" w:rsidR="007C4598" w:rsidRDefault="00000000">
      <w:pPr>
        <w:jc w:val="both"/>
      </w:pPr>
      <w:r>
        <w:rPr>
          <w:color w:val="555555"/>
          <w:sz w:val="16"/>
          <w:szCs w:val="16"/>
          <w:vertAlign w:val="superscript"/>
        </w:rPr>
        <w:t>[26]</w:t>
      </w:r>
      <w:r>
        <w:t>: I quattro ambiti delle previsioni riflettono la struttura causale del valore: la qualità della vita è l’ambito primo (il miglioramento clinico è l’origine di ogni altro effetto); i bilanci, la burocrazia e i sistemi sanitari sono ambiti derivati. Le previsioni mantengono la distinzione tra le dimensioni: salute (qualità della vita), fiscale (bilanci), riscontro fisico dei risparmi (sistemi sanitari, senza duplicazione), effetto organizzativo (burocrazia, distinto dal valore economico già computato altrove).</w:t>
      </w:r>
    </w:p>
    <w:p w14:paraId="39249516" w14:textId="77777777" w:rsidR="007C4598" w:rsidRDefault="00000000">
      <w:pPr>
        <w:jc w:val="both"/>
      </w:pPr>
      <w:r>
        <w:rPr>
          <w:color w:val="555555"/>
          <w:sz w:val="16"/>
          <w:szCs w:val="16"/>
          <w:vertAlign w:val="superscript"/>
        </w:rPr>
        <w:t>[27]</w:t>
      </w:r>
      <w:r>
        <w:t xml:space="preserve">: La proiezione mantiene il </w:t>
      </w:r>
      <w:proofErr w:type="spellStart"/>
      <w:r>
        <w:t>caveat</w:t>
      </w:r>
      <w:proofErr w:type="spellEnd"/>
      <w:r>
        <w:t xml:space="preserve"> dell’IMPACT trial (riflesso nelle distribuzioni dell’analisi di sensibilità e nella duplice formulazione delle previsioni sui bilanci) e la separazione delle tre dimensioni del valore (qualità della vita, bilanci, riscontro fisico dei risparmi), senza somma in un’unica cifra né duplicazione. La separazione delle dimensioni, il </w:t>
      </w:r>
      <w:proofErr w:type="spellStart"/>
      <w:r>
        <w:t>caveat</w:t>
      </w:r>
      <w:proofErr w:type="spellEnd"/>
      <w:r>
        <w:t xml:space="preserve"> e la forma falsificabile fanno della proiezione una proiezione rigorosa, fedele ai principi dello studio.</w:t>
      </w:r>
    </w:p>
    <w:p w14:paraId="4B7834C6" w14:textId="77777777" w:rsidR="007C4598" w:rsidRDefault="00000000">
      <w:pPr>
        <w:jc w:val="both"/>
      </w:pPr>
      <w:r>
        <w:rPr>
          <w:color w:val="555555"/>
          <w:sz w:val="16"/>
          <w:szCs w:val="16"/>
          <w:vertAlign w:val="superscript"/>
        </w:rPr>
        <w:t>[28]</w:t>
      </w:r>
      <w:r>
        <w:t xml:space="preserve">: Le previsioni falsificabili sui quattro ambiti: qualità della vita (guadagni di salute cumulati ~8.500 a cinque anni e ~17.000 a dieci anni nello scenario intermedio, riduzione del disagio non intercettato, restringimento del divario di trattamento); bilanci (traiettoria verso il pareggio, due varianti per il </w:t>
      </w:r>
      <w:proofErr w:type="spellStart"/>
      <w:r>
        <w:t>caveat</w:t>
      </w:r>
      <w:proofErr w:type="spellEnd"/>
      <w:r>
        <w:t xml:space="preserve"> IMPACT, incidenza contenuta sul Fondo); burocrazia (riduzione degli invii inappropriati, dei tempi di attesa); sistemi sanitari (riduzione di accessi, ricoveri, mobilità, spesa farmaceutica). Ciascuna con banda, soglia di confutazione e metodo di verifica, affidato alla quindicesima parte.</w:t>
      </w:r>
    </w:p>
    <w:p w14:paraId="5D8D6A38" w14:textId="77777777" w:rsidR="007C4598" w:rsidRDefault="00000000">
      <w:r>
        <w:br w:type="page"/>
      </w:r>
    </w:p>
    <w:p w14:paraId="1530BB77" w14:textId="77777777" w:rsidR="007C4598" w:rsidRDefault="00000000">
      <w:pPr>
        <w:spacing w:before="1200" w:after="200"/>
        <w:jc w:val="center"/>
      </w:pPr>
      <w:r>
        <w:rPr>
          <w:b/>
          <w:bCs/>
          <w:color w:val="C49A48"/>
          <w:sz w:val="64"/>
          <w:szCs w:val="64"/>
        </w:rPr>
        <w:t>PARTE XII</w:t>
      </w:r>
    </w:p>
    <w:p w14:paraId="099484E6" w14:textId="77777777" w:rsidR="007C4598" w:rsidRDefault="00000000">
      <w:pPr>
        <w:spacing w:after="600"/>
        <w:jc w:val="center"/>
      </w:pPr>
      <w:r>
        <w:rPr>
          <w:b/>
          <w:bCs/>
          <w:color w:val="16264B"/>
          <w:sz w:val="32"/>
          <w:szCs w:val="32"/>
        </w:rPr>
        <w:t>Equità e impatto distributivo</w:t>
      </w:r>
    </w:p>
    <w:p w14:paraId="21BB15AB" w14:textId="77777777" w:rsidR="007C4598" w:rsidRDefault="007C4598">
      <w:pPr>
        <w:pBdr>
          <w:bottom w:val="single" w:sz="6" w:space="1" w:color="C49A48"/>
        </w:pBdr>
        <w:spacing w:after="200"/>
      </w:pPr>
    </w:p>
    <w:p w14:paraId="213AF7BF" w14:textId="77777777" w:rsidR="007C4598" w:rsidRDefault="00000000">
      <w:pPr>
        <w:jc w:val="both"/>
      </w:pPr>
      <w:r>
        <w:t>Studio Integrale Puglia · Parte XII — Equità e impatto distributivo</w:t>
      </w:r>
    </w:p>
    <w:p w14:paraId="6E3F1DD2" w14:textId="77777777" w:rsidR="007C4598" w:rsidRDefault="007C4598"/>
    <w:p w14:paraId="0667ED6A" w14:textId="77777777" w:rsidR="007C4598" w:rsidRDefault="00000000">
      <w:pPr>
        <w:jc w:val="both"/>
      </w:pPr>
      <w:r>
        <w:rPr>
          <w:b/>
          <w:bCs/>
        </w:rPr>
        <w:t>PROGETTO « PSICOLOGO DI BASE » · REGIONE PUGLIA</w:t>
      </w:r>
    </w:p>
    <w:p w14:paraId="5C0BB32E" w14:textId="77777777" w:rsidR="007C4598" w:rsidRDefault="007C4598"/>
    <w:p w14:paraId="47E5C3FA" w14:textId="77777777" w:rsidR="007C4598" w:rsidRDefault="00000000">
      <w:pPr>
        <w:jc w:val="both"/>
      </w:pPr>
      <w:r>
        <w:rPr>
          <w:b/>
          <w:bCs/>
        </w:rPr>
        <w:t>Studio Integrale, Finale e Definitivo</w:t>
      </w:r>
    </w:p>
    <w:p w14:paraId="549C269C" w14:textId="77777777" w:rsidR="007C4598" w:rsidRDefault="007C4598"/>
    <w:p w14:paraId="058211E1" w14:textId="77777777" w:rsidR="007C4598" w:rsidRDefault="00000000">
      <w:pPr>
        <w:jc w:val="both"/>
      </w:pPr>
      <w:r>
        <w:rPr>
          <w:b/>
          <w:bCs/>
        </w:rPr>
        <w:t>Parte XII</w:t>
      </w:r>
    </w:p>
    <w:p w14:paraId="69F4AB18" w14:textId="77777777" w:rsidR="007C4598" w:rsidRDefault="007C4598"/>
    <w:p w14:paraId="6A54A70F" w14:textId="77777777" w:rsidR="007C4598" w:rsidRDefault="00000000">
      <w:pPr>
        <w:jc w:val="both"/>
      </w:pPr>
      <w:proofErr w:type="spellStart"/>
      <w:r>
        <w:rPr>
          <w:b/>
          <w:bCs/>
        </w:rPr>
        <w:t>Equit</w:t>
      </w:r>
      <w:proofErr w:type="spellEnd"/>
      <w:r>
        <w:rPr>
          <w:b/>
          <w:bCs/>
        </w:rPr>
        <w:t>\u00E0 e impatto</w:t>
      </w:r>
    </w:p>
    <w:p w14:paraId="4C99E781" w14:textId="77777777" w:rsidR="007C4598" w:rsidRDefault="007C4598"/>
    <w:p w14:paraId="47531FC5" w14:textId="77777777" w:rsidR="007C4598" w:rsidRDefault="00000000">
      <w:pPr>
        <w:jc w:val="both"/>
      </w:pPr>
      <w:r>
        <w:rPr>
          <w:b/>
          <w:bCs/>
        </w:rPr>
        <w:t>distributivo</w:t>
      </w:r>
    </w:p>
    <w:p w14:paraId="5AF6B596" w14:textId="77777777" w:rsidR="007C4598" w:rsidRDefault="007C4598"/>
    <w:p w14:paraId="45A12058" w14:textId="77777777" w:rsidR="007C4598" w:rsidRDefault="00000000">
      <w:pPr>
        <w:jc w:val="both"/>
      </w:pPr>
      <w:r>
        <w:rPr>
          <w:i/>
          <w:iCs/>
        </w:rPr>
        <w:t>La distribuzione territoriale e tra le popolazioni dei costi e dei benefici della riforma, l\u2019equit\u00E0 di accesso e il rischio di divario digitale, e l\u2019impatto distributivo complessivo, nel rispetto della distinzione tra le dimensioni del valore</w:t>
      </w:r>
    </w:p>
    <w:p w14:paraId="5162BC8A" w14:textId="77777777" w:rsidR="007C4598" w:rsidRDefault="007C4598"/>
    <w:p w14:paraId="53E7DB8A" w14:textId="77777777" w:rsidR="007C4598" w:rsidRDefault="00000000">
      <w:pPr>
        <w:jc w:val="both"/>
      </w:pPr>
      <w:r>
        <w:t xml:space="preserve">Telaio HTA · </w:t>
      </w:r>
      <w:proofErr w:type="spellStart"/>
      <w:r>
        <w:t>Five</w:t>
      </w:r>
      <w:proofErr w:type="spellEnd"/>
      <w:r>
        <w:t xml:space="preserve"> Case Model · CHEERS 2022 · criteri OCSE-DAC</w:t>
      </w:r>
    </w:p>
    <w:p w14:paraId="00DE1C12" w14:textId="77777777" w:rsidR="007C4598" w:rsidRDefault="007C4598"/>
    <w:p w14:paraId="63E79755" w14:textId="77777777" w:rsidR="007C4598" w:rsidRDefault="00000000">
      <w:pPr>
        <w:jc w:val="both"/>
      </w:pPr>
      <w:r>
        <w:t>Cascata gerarchica piramidale dallo Psicologo di Base · perimetro multidisciplinare integrale</w:t>
      </w:r>
    </w:p>
    <w:p w14:paraId="46A58BF2" w14:textId="77777777" w:rsidR="007C4598" w:rsidRDefault="007C4598"/>
    <w:p w14:paraId="57F68FB7" w14:textId="77777777" w:rsidR="007C4598" w:rsidRDefault="00000000">
      <w:pPr>
        <w:jc w:val="both"/>
      </w:pPr>
      <w:r>
        <w:rPr>
          <w:b/>
          <w:bCs/>
        </w:rPr>
        <w:t>Autore intellettuale della riforma: Luigi De Michele</w:t>
      </w:r>
    </w:p>
    <w:p w14:paraId="28F4404A" w14:textId="77777777" w:rsidR="007C4598" w:rsidRDefault="007C4598"/>
    <w:p w14:paraId="3D53246F" w14:textId="77777777" w:rsidR="007C4598" w:rsidRDefault="00000000">
      <w:pPr>
        <w:jc w:val="both"/>
      </w:pPr>
      <w:r>
        <w:t>Codice fiscale DMCLGU82E11Z112C · PEC luigidemichele@legalmail.it</w:t>
      </w:r>
    </w:p>
    <w:p w14:paraId="39A99017" w14:textId="77777777" w:rsidR="007C4598" w:rsidRDefault="007C4598"/>
    <w:p w14:paraId="39098D0F" w14:textId="77777777" w:rsidR="007C4598" w:rsidRDefault="00000000">
      <w:pPr>
        <w:jc w:val="both"/>
      </w:pPr>
      <w:r>
        <w:t>Giugno 2026</w:t>
      </w:r>
    </w:p>
    <w:p w14:paraId="3E7555F6"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9026"/>
      </w:tblGrid>
      <w:tr w:rsidR="007C4598" w14:paraId="70630F9E"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66F8C38" w14:textId="77777777" w:rsidR="007C4598" w:rsidRDefault="00000000">
            <w:pPr>
              <w:spacing w:after="40"/>
            </w:pPr>
            <w:r>
              <w:rPr>
                <w:b/>
                <w:bCs/>
                <w:color w:val="FFFFFF"/>
                <w:sz w:val="18"/>
                <w:szCs w:val="18"/>
              </w:rPr>
              <w:t xml:space="preserve">Avvertenza sui vincoli metodologici invarianti La presente parte studia la distribuzione, tra i territori e tra le popolazioni, dei costi e dei benefici della riforma, di cui le parti precedenti hanno stabilito l’entità e la proiezione complessiva. Essa assume la proiezione del valore della riforma stabilita dall’undicesima parte, e ne studia la ripartizione nello spazio sociale, valutando l’equità territoriale, l’equità tra le popolazioni e l’equità di accesso. L’analisi distributiva non modifica le grandezze stabilite dalle parti precedenti, ma ne studia la ripartizione: essa muove dal valore complessivo della riforma e ne esamina la distribuzione tra le aree della regione e tra i gruppi della popolazione, valutando se la riforma riduca o accentui le diseguaglianze preesistenti. La leva digitale, su cui la riforma si appoggia come strumento abilitante subordinato, è esaminata sotto il profilo dell’equità di accesso, con attenzione al rischio che essa introduca un divario digitale che si sovrapponga ai divari territoriali e sociali; ne è affermato il principio della complementarietà rispetto all’accesso in presenza, sicché i soggetti digitalmente esclusi non siano esclusi dalla riforma. Le tre dimensioni del valore — fiscale diretta, sociale indiretta e di salute — sono mantenute distinte anche nell’analisi distributiva, che ne studia la ripartizione senza somma in un’unica cifra; il duplice intervallo di </w:t>
            </w:r>
            <w:proofErr w:type="spellStart"/>
            <w:r>
              <w:rPr>
                <w:b/>
                <w:bCs/>
                <w:color w:val="FFFFFF"/>
                <w:sz w:val="18"/>
                <w:szCs w:val="18"/>
              </w:rPr>
              <w:t>Chisholm</w:t>
            </w:r>
            <w:proofErr w:type="spellEnd"/>
            <w:r>
              <w:rPr>
                <w:b/>
                <w:bCs/>
                <w:color w:val="FFFFFF"/>
                <w:sz w:val="18"/>
                <w:szCs w:val="18"/>
              </w:rPr>
              <w:t xml:space="preserve"> e il </w:t>
            </w:r>
            <w:proofErr w:type="spellStart"/>
            <w:r>
              <w:rPr>
                <w:b/>
                <w:bCs/>
                <w:color w:val="FFFFFF"/>
                <w:sz w:val="18"/>
                <w:szCs w:val="18"/>
              </w:rPr>
              <w:t>caveat</w:t>
            </w:r>
            <w:proofErr w:type="spellEnd"/>
            <w:r>
              <w:rPr>
                <w:b/>
                <w:bCs/>
                <w:color w:val="FFFFFF"/>
                <w:sz w:val="18"/>
                <w:szCs w:val="18"/>
              </w:rPr>
              <w:t xml:space="preserve"> dell’IMPACT trial sono preservati ove le grandezze economiche sono richiamate. L’impatto distributivo complessivo è formulato come previsione falsificabile, corredata delle condizioni al verificarsi delle quali la riforma risulta favorevole all’equità, e ogni stima è graduata secondo la sua qualità con i criteri GRADE, applicati con il medesimo rigore alle componenti cliniche, economiche e sociali.</w:t>
            </w:r>
          </w:p>
        </w:tc>
      </w:tr>
    </w:tbl>
    <w:p w14:paraId="235B00FC" w14:textId="77777777" w:rsidR="007C4598" w:rsidRDefault="007C4598"/>
    <w:p w14:paraId="75417C44" w14:textId="77777777" w:rsidR="007C4598" w:rsidRDefault="00000000">
      <w:pPr>
        <w:pStyle w:val="Titolo1"/>
        <w:pageBreakBefore/>
      </w:pPr>
      <w:r>
        <w:rPr>
          <w:sz w:val="22"/>
          <w:szCs w:val="22"/>
        </w:rPr>
        <w:t>Premessa</w:t>
      </w:r>
    </w:p>
    <w:p w14:paraId="6C4929CC" w14:textId="77777777" w:rsidR="007C4598" w:rsidRDefault="007C4598"/>
    <w:p w14:paraId="4DD562EE" w14:textId="77777777" w:rsidR="007C4598" w:rsidRDefault="00000000">
      <w:pPr>
        <w:jc w:val="both"/>
      </w:pPr>
      <w:r>
        <w:rPr>
          <w:i/>
          <w:iCs/>
        </w:rPr>
        <w:t>La dodicesima parte studia la distribuzione, tra i territori e tra le popolazioni, dei costi e dei benefici della riforma del Servizio di Psicologia di Base in Puglia. Le parti precedenti ne hanno stabilito l’entità e la proiezione complessiva: la decima ne ha stabilito il saldo economico consolidato, l’undicesima ne ha proiettato le grandezze nel tempo e ne ha tratto le previsioni falsificabili. La dodicesima parte assume questo valore complessivo e ne studia la ripartizione nello spazio sociale, ponendo una domanda che le parti precedenti non hanno posto: non quanto valore la riforma produca, ma a chi quel valore si distribuisca, e se la sua distribuzione riduca o accentui le diseguaglianze preesistenti tra le aree della regione e tra i gruppi della popolazione.</w:t>
      </w:r>
    </w:p>
    <w:p w14:paraId="0E412CFD" w14:textId="77777777" w:rsidR="007C4598" w:rsidRDefault="007C4598"/>
    <w:p w14:paraId="7567A84B" w14:textId="77777777" w:rsidR="007C4598" w:rsidRDefault="00000000">
      <w:pPr>
        <w:jc w:val="both"/>
      </w:pPr>
      <w:r>
        <w:t>La distinzione tra l’entità del valore e la sua distribuzione è la distinzione tra l’efficienza e l’equità, che governa l’intera parte. L’efficienza attiene all’entità complessiva del valore che la riforma produce, ed è l’oggetto delle parti precedenti, che hanno stabilito che la riforma genera un valore complessivo positivo sulle dimensioni di salute e sociale e prossimo al pareggio sulla dimensione fiscale. L’equità attiene alla distribuzione di quel valore tra i soggetti, ed è l’oggetto della presente parte, che studia come il valore complessivo si ripartisca tra le aree e i gruppi. Le due proprietà sono distinte e non si implicano a vicenda: una riforma può essere efficiente senza essere equa, ove il valore che produce si concentri presso le aree e i gruppi già avvantaggiati, lasciando inalterate o accresciute le diseguaglianze; e può essere equa senza essere efficiente, ove distribuisca un valore esiguo in modo uniforme. La presente parte non rimette in discussione l’efficienza della riforma, stabilita dalle parti precedenti, ma ne esamina l’equità, che quelle parti non hanno esaminato; e la esamina perché l’equità è una proprietà autonoma del valore della riforma, non deducibile dalla sua entità, e perché una riforma del primo livello psicologico, destinata a tutta la popolazione, è chiamata a essere non soltanto efficiente ma anche equa, sì da ridurre, e non accentuare, le diseguaglianze nell’accesso alla cura del disagio comune.</w:t>
      </w:r>
      <w:r>
        <w:rPr>
          <w:color w:val="555555"/>
          <w:sz w:val="16"/>
          <w:szCs w:val="16"/>
          <w:vertAlign w:val="superscript"/>
        </w:rPr>
        <w:t>[1]</w:t>
      </w:r>
    </w:p>
    <w:p w14:paraId="24B042E7" w14:textId="77777777" w:rsidR="007C4598" w:rsidRDefault="007C4598"/>
    <w:p w14:paraId="190362ED" w14:textId="77777777" w:rsidR="007C4598" w:rsidRDefault="00000000">
      <w:pPr>
        <w:jc w:val="both"/>
      </w:pPr>
      <w:r>
        <w:t xml:space="preserve">L’analisi distributiva non modifica le grandezze stabilite dalle parti precedenti, ma ne studia la ripartizione, e da questa premessa metodologica discende il suo carattere. Essa muove dal valore complessivo della riforma, quale le parti precedenti lo hanno stabilito, e non lo accresce né lo diminuisce: i guadagni di salute, i risparmi diretti, i benefici indiretti e i costi restano quelli stabiliti, e la presente parte non ne aggiunge di nuovi né ne sottrae. Ciò che la presente parte aggiunge non è una grandezza, ma una ripartizione: essa scompone il valore complessivo secondo le aree della regione e secondo i gruppi della popolazione, e valuta se la scomposizione mostri una distribuzione che riduca o accentui le diseguaglianze. La distinzione è essenziale per intendere la natura della parte: essa non è una nuova valutazione economica, che competerebbe con quelle delle parti precedenti, ma una valutazione distributiva, che le presuppone e ne studia un aspetto ulteriore. Le grandezze che la parte richiama sono perciò quelle già stabilite, e i parametri che impiega sono quelli già fissati; ciò che la parte introduce è la dimensione distributiva, lungo la quale quelle grandezze sono esaminate. La presente parte mantiene, in questo esame, la distinzione tra le tre dimensioni del valore — la fiscale diretta, la sociale indiretta e quella di salute — che le parti precedenti hanno preservato: essa studia la distribuzione di ciascuna dimensione, senza sommarle in un’unica cifra, e preserva il duplice intervallo di </w:t>
      </w:r>
      <w:proofErr w:type="spellStart"/>
      <w:r>
        <w:t>Chisholm</w:t>
      </w:r>
      <w:proofErr w:type="spellEnd"/>
      <w:r>
        <w:t xml:space="preserve"> e il </w:t>
      </w:r>
      <w:proofErr w:type="spellStart"/>
      <w:r>
        <w:t>caveat</w:t>
      </w:r>
      <w:proofErr w:type="spellEnd"/>
      <w:r>
        <w:t xml:space="preserve"> dell’IMPACT trial ove le grandezze economiche sono richiamate.</w:t>
      </w:r>
    </w:p>
    <w:p w14:paraId="31F6CAC2" w14:textId="77777777" w:rsidR="007C4598" w:rsidRDefault="007C4598"/>
    <w:p w14:paraId="63CD31D7" w14:textId="77777777" w:rsidR="007C4598" w:rsidRDefault="00000000">
      <w:pPr>
        <w:pStyle w:val="Titolo1"/>
        <w:pageBreakBefore/>
      </w:pPr>
      <w:r>
        <w:rPr>
          <w:sz w:val="22"/>
          <w:szCs w:val="22"/>
        </w:rPr>
        <w:t>Introduzione</w:t>
      </w:r>
    </w:p>
    <w:p w14:paraId="51FDFC3E" w14:textId="77777777" w:rsidR="007C4598" w:rsidRDefault="007C4598"/>
    <w:p w14:paraId="17C2A906" w14:textId="77777777" w:rsidR="007C4598" w:rsidRDefault="00000000">
      <w:pPr>
        <w:jc w:val="both"/>
      </w:pPr>
      <w:r>
        <w:rPr>
          <w:i/>
          <w:iCs/>
        </w:rPr>
        <w:t>L’introduzione espone l’oggetto, l’articolazione e il metodo della dodicesima parte. La parte studia l’equità della riforma lungo tre dimensioni — l’equità territoriale, l’equità tra le popolazioni e l’equità di accesso — e ne trae l’impatto distributivo complessivo. L’introduzione definisce queste tre dimensioni, ne dichiara l’ordine, illustra il modo in cui la parte le esamina e il rapporto che essa intrattiene con le parti che la precedono e la seguono.</w:t>
      </w:r>
    </w:p>
    <w:p w14:paraId="21DAFE22" w14:textId="77777777" w:rsidR="007C4598" w:rsidRDefault="007C4598"/>
    <w:p w14:paraId="6954259B" w14:textId="77777777" w:rsidR="007C4598" w:rsidRDefault="00000000">
      <w:pPr>
        <w:jc w:val="both"/>
      </w:pPr>
      <w:r>
        <w:t>La parte studia l’equità della riforma lungo tre dimensioni distinte, ciascuna delle quali coglie un aspetto della distribuzione del valore. La prima dimensione è l’equità territoriale, che attiene alla distribuzione del valore tra le aree della regione, e che domanda se la riforma riduca o accentui i divari tra i territori — tra le aree urbane e le aree interne, tra i centri e le periferie, tra le province più e meno dotate di servizi. La seconda dimensione è l’equità tra le popolazioni, che attiene alla distribuzione del valore tra i gruppi della popolazione, e che domanda se la riforma riduca o accentui le diseguaglianze tra i gruppi — tra i generi, tra le età, tra le condizioni socio-economiche, tra le condizioni di fragilità. La terza dimensione è l’equità di accesso, che attiene alla possibilità effettiva di fruire della riforma, e che domanda se la leva digitale, su cui la riforma si appoggia, ampli l’accesso o introduca un divario tra chi dispone degli strumenti e delle competenze digitali e chi ne è privo. Le tre dimensioni sono distinte ma connesse: i divari territoriali, le diseguaglianze tra le popolazioni e le barriere di accesso si sovrappongono, sì che le aree interne sono spesso anche le più anziane e le meno connesse, e le condizioni socio-economiche svantaggiate si accompagnano al minore accesso ai servizi e agli strumenti digitali. La parte esamina le tre dimensioni partitamente, e ne ricompone poi i risultati nell’impatto distributivo complessivo.</w:t>
      </w:r>
    </w:p>
    <w:p w14:paraId="5C33A18B" w14:textId="77777777" w:rsidR="007C4598" w:rsidRDefault="007C4598"/>
    <w:p w14:paraId="43C94376" w14:textId="77777777" w:rsidR="007C4598" w:rsidRDefault="00000000">
      <w:pPr>
        <w:jc w:val="both"/>
      </w:pPr>
      <w:r>
        <w:t>L’ordine delle tre dimensioni procede dalla distribuzione nello spazio fisico a quella nello spazio sociale, e infine alla possibilità di accesso. L’equità territoriale, esaminata per prima, attiene alla distribuzione del valore nello spazio fisico della regione, ed è la dimensione più immediatamente percepibile, perché i divari territoriali sono visibili nella geografia dei servizi. L’equità tra le popolazioni, esaminata in secondo luogo, attiene alla distribuzione del valore nello spazio sociale, tra i gruppi definiti dal genere, dall’età, dalla condizione socio-economica e dalla fragilità, ed è la dimensione che coglie le diseguaglianze sociali nella salute mentale. L’equità di accesso, esaminata in terzo luogo, attiene non alla distribuzione del valore prodotto, ma alla possibilità di fruirne, e si concentra sul rischio che la leva digitale, anziché ampliare l’accesso, lo restringa per i soggetti digitalmente esclusi. L’impatto distributivo complessivo, esaminato da ultimo, ricompone le tre dimensioni e ne trae la valutazione d’insieme della distribuzione del valore della riforma. Quest’ordine corrisponde all’articolazione della parte in quattro voci: la prima dedicata all’equità territoriale, la seconda all’equità tra le popolazioni, la terza all’equità di accesso e alla leva digitale, la quarta all’impatto distributivo complessivo.</w:t>
      </w:r>
    </w:p>
    <w:p w14:paraId="1B2DEA46" w14:textId="77777777" w:rsidR="007C4598" w:rsidRDefault="007C4598"/>
    <w:p w14:paraId="4B814231" w14:textId="77777777" w:rsidR="007C4598" w:rsidRDefault="00000000">
      <w:pPr>
        <w:jc w:val="both"/>
      </w:pPr>
      <w:r>
        <w:t>La parte intrattiene un rapporto definito con le parti che la precedono e la seguono, di cui costituisce lo sviluppo distributivo. Verso le parti precedenti, essa assume la proiezione del valore della riforma stabilita dall’undicesima parte, e ne studia la distribuzione: il valore di cui esamina la ripartizione è quello già stabilito, e i parametri demografici e di scala che impiega sono quelli della seconda e della quarta parte, propri della Puglia. Verso le parti successive, essa consegna la valutazione distributiva alla quattordicesima parte, dedicata all’attuazione, che dovrà tradurre le raccomandazioni per l’equità in misure attuative, e alla quindicesima parte, dedicata al monitoraggio, che dovrà verificare l’impatto distributivo osservato a riforma attuata. La parte si colloca dunque tra la valutazione del valore complessivo, che la precede, e la sua attuazione e verifica, che la seguono, e vi aggiunge la dimensione distributiva, che le altre parti non hanno esaminato. Essa formula l’impatto distributivo come previsione falsificabile, in coerenza con la forma che l’undicesima parte ha dato alle previsioni: non come asserzione che la riforma ridurrà le diseguaglianze, ma come previsione corredata delle condizioni al verificarsi delle quali la riforma risulta favorevole all’equità, sì che la previsione sia controllabile e la sua verifica affidata al monitoraggio. La parte è perciò, nella struttura dello studio, il luogo in cui la valutazione del valore si fa valutazione della giustizia distributiva, e in cui la domanda sull’entità del valore si completa nella domanda sulla sua ripartizione.</w:t>
      </w:r>
    </w:p>
    <w:p w14:paraId="38D52592" w14:textId="77777777" w:rsidR="007C4598" w:rsidRDefault="007C4598"/>
    <w:p w14:paraId="640F2EB9" w14:textId="77777777" w:rsidR="007C4598" w:rsidRDefault="00000000">
      <w:pPr>
        <w:pStyle w:val="Titolo1"/>
        <w:pageBreakBefore/>
      </w:pPr>
      <w:r>
        <w:rPr>
          <w:sz w:val="22"/>
          <w:szCs w:val="22"/>
        </w:rPr>
        <w:t>12.1  L’equità territoriale tra le aree della regione</w:t>
      </w:r>
    </w:p>
    <w:p w14:paraId="3580637F" w14:textId="77777777" w:rsidR="007C4598" w:rsidRDefault="007C4598"/>
    <w:p w14:paraId="1975D562" w14:textId="77777777" w:rsidR="007C4598" w:rsidRDefault="00000000">
      <w:pPr>
        <w:jc w:val="both"/>
      </w:pPr>
      <w:r>
        <w:rPr>
          <w:i/>
          <w:iCs/>
        </w:rPr>
        <w:t>La prima voce studia l’equità territoriale della riforma, ossia la distribuzione del suo valore tra le aree della regione, e domanda se la riforma riduca o accentui i divari tra i territori. La voce espone la logica dell’equità territoriale, descrive i divari territoriali preesistenti nei servizi di salute mentale in Puglia, esamina la distribuzione della riforma secondo il bisogno e il suo effetto sui divari, considera la condizione delle aree interne e il rischio di concentrazione urbana, e gradua infine la qualità delle stime con i criteri GRADE, ne dichiara le bande e ne traccia i confini.</w:t>
      </w:r>
    </w:p>
    <w:p w14:paraId="5887C6B3" w14:textId="77777777" w:rsidR="007C4598" w:rsidRDefault="007C4598"/>
    <w:p w14:paraId="6BDEA069" w14:textId="77777777" w:rsidR="007C4598" w:rsidRDefault="00000000">
      <w:pPr>
        <w:pStyle w:val="Titolo2"/>
        <w:spacing w:before="200" w:after="100"/>
      </w:pPr>
      <w:r>
        <w:rPr>
          <w:sz w:val="22"/>
          <w:szCs w:val="22"/>
        </w:rPr>
        <w:t>12.1.1  La logica dell’equità territoriale</w:t>
      </w:r>
    </w:p>
    <w:p w14:paraId="56BCBEC0" w14:textId="77777777" w:rsidR="007C4598" w:rsidRDefault="007C4598"/>
    <w:p w14:paraId="21EEA717" w14:textId="77777777" w:rsidR="007C4598" w:rsidRDefault="00000000">
      <w:pPr>
        <w:jc w:val="both"/>
      </w:pPr>
      <w:r>
        <w:t>L’equità territoriale è la proprietà per cui il valore di una politica si distribuisce tra le aree di un territorio in modo da ridurre, e non accentuare, i divari preesistenti tra esse. Una regione non è un’entità omogenea, ma un insieme di aree che differiscono per dotazione di servizi, per densità della popolazione, per struttura demografica e per condizione socio-economica; e una politica sanitaria, distribuendo le proprie risorse tra queste aree, può ridurne o accentuarne i divari, a seconda di come la distribuzione si rapporti alla loro condizione di partenza. La logica dell’equità territoriale muove dal riconoscimento che le aree di una regione partono da posizioni diseguali, e che una distribuzione delle risorse proporzionale alla dotazione preesistente — che attribuisca più risorse alle aree già più dotate — accentua i divari, mentre una distribuzione proporzionale al bisogno — che attribuisca più risorse alle aree dove il bisogno è maggiore relativamente alla dotazione — li riduce. L’equità territoriale richiede dunque che la distribuzione delle risorse della riforma sia governata non dalla dotazione preesistente, ma dal bisogno, sì che le aree più sguarnite, dove il bisogno è relativamente maggiore, ricevano una quota di risorse adeguata a colmare, almeno in parte, il loro svantaggio.</w:t>
      </w:r>
    </w:p>
    <w:p w14:paraId="5B8CE0F0" w14:textId="77777777" w:rsidR="007C4598" w:rsidRDefault="007C4598"/>
    <w:p w14:paraId="469E513F" w14:textId="77777777" w:rsidR="007C4598" w:rsidRDefault="00000000">
      <w:pPr>
        <w:jc w:val="both"/>
      </w:pPr>
      <w:r>
        <w:t>La distinzione tra la distribuzione proporzionale alla dotazione e la distribuzione proporzionale al bisogno è il criterio attraverso cui la presente voce valuta l’equità territoriale della riforma. La distribuzione proporzionale alla dotazione tende a perpetuare i divari, perché segue la geografia esistente dei servizi, concentrando le nuove risorse dove i servizi sono già presenti e i professionisti già operano; essa è la distribuzione che si realizza spontaneamente, ove la collocazione delle risorse sia lasciata alle preferenze dei professionisti e alla domanda espressa, entrambe più forti nelle aree urbane e meglio servite. La distribuzione proporzionale al bisogno, per contro, contrasta i divari, perché segue la geografia del bisogno anziché quella dell’offerta, collocando le nuove risorse dove il bisogno è maggiore relativamente alla dotazione, ossia nelle aree più sguarnite; essa non si realizza spontaneamente, ma richiede un criterio esplicito di allocazione, che governi la distribuzione delle risorse secondo il bisogno e contrasti la tendenza spontanea alla concentrazione urbana. La presente voce valuta dunque l’equità territoriale della riforma esaminando se la distribuzione del Servizio di Psicologia di Base sia governata da un criterio proporzionale al bisogno, capace di ridurre i divari, o sia abbandonata alla tendenza spontanea alla concentrazione, che li accentuerebbe; e ne trae la previsione dell’effetto della riforma sui divari territoriali preesistenti.</w:t>
      </w:r>
    </w:p>
    <w:p w14:paraId="429FB39B" w14:textId="77777777" w:rsidR="007C4598" w:rsidRDefault="007C4598"/>
    <w:p w14:paraId="03BA135C" w14:textId="77777777" w:rsidR="007C4598" w:rsidRDefault="00000000">
      <w:pPr>
        <w:jc w:val="both"/>
      </w:pPr>
      <w:r>
        <w:t>La logica dell’equità territoriale assume, nel caso della salute mentale, un rilievo particolare, per la natura del bisogno e per la struttura dell’offerta. Il bisogno di cura del disagio comune è diffuso su tutto il territorio, ma è spesso maggiore, relativamente alla dotazione, nelle aree interne e periferiche, dove la struttura demografica più anziana, l’isolamento sociale e lo svantaggio socio-economico ne accrescono l’incidenza, e dove al tempo stesso l’offerta di servizi è più sguarnita. L’offerta di servizi specialistici di salute mentale, per contro, è concentrata nelle aree urbane, dove i presìdi hanno sede e i professionisti operano, sì che le aree interne sono servite più debolmente, con presìdi più distanti e meno densi. Ne risulta un divario territoriale in cui il bisogno relativo è maggiore dove l’offerta è minore, e in cui la distanza tra il bisogno e l’offerta è massima nelle aree interne e periferiche. La riforma del primo livello psicologico, distribuendo una nuova risorsa su tutto il territorio, ha la possibilità di ridurre questo divario, portando il primo livello nelle aree più sguarnite; ma ha anche il rischio, ove la distribuzione segua la tendenza spontanea, di accentuarlo, concentrando la nuova risorsa nelle aree già più servite. La logica dell’equità territoriale, applicata alla salute mentale, mostra dunque la posta in gioco della distribuzione: essa decide se la riforma riduca o accentui il divario tra il bisogno e l’offerta nelle aree interne, e perciò se la riforma sia, sul piano territoriale, uno strumento di equità o di iniquità.</w:t>
      </w:r>
    </w:p>
    <w:p w14:paraId="14855FEE" w14:textId="77777777" w:rsidR="007C4598" w:rsidRDefault="007C4598"/>
    <w:p w14:paraId="5BBDE714" w14:textId="77777777" w:rsidR="007C4598" w:rsidRDefault="00000000">
      <w:pPr>
        <w:pStyle w:val="Titolo2"/>
        <w:spacing w:before="200" w:after="100"/>
      </w:pPr>
      <w:r>
        <w:rPr>
          <w:sz w:val="22"/>
          <w:szCs w:val="22"/>
        </w:rPr>
        <w:t>12.1.2  I divari territoriali preesistenti nei servizi di salute mentale in Puglia</w:t>
      </w:r>
    </w:p>
    <w:p w14:paraId="1F56DE42" w14:textId="77777777" w:rsidR="007C4598" w:rsidRDefault="007C4598"/>
    <w:p w14:paraId="62994458" w14:textId="77777777" w:rsidR="007C4598" w:rsidRDefault="00000000">
      <w:pPr>
        <w:jc w:val="both"/>
      </w:pPr>
      <w:r>
        <w:t xml:space="preserve">La valutazione dell’equità territoriale della riforma muove dalla descrizione dei divari territoriali preesistenti, che costituiscono la condizione di partenza su cui la riforma interviene. La Puglia è una regione articolata in sei aziende sanitarie locali — Bari, Barletta-Andria-Trani, Brindisi, Foggia, Lecce e Taranto — e in quarantacinque distretti sociosanitari, che costituiscono l’ossatura territoriale dell’assistenza. Le sei aziende differiscono ampiamente per popolazione: l’azienda di Bari, che comprende il capoluogo regionale e la sua area metropolitana, raccoglie circa un terzo della popolazione regionale; le aziende di Lecce, Foggia e Taranto raccolgono ciascuna una quota consistente; le aziende di Barletta-Andria-Trani e di Brindisi raccolgono ciascuna una quota minore. La popolazione regionale, dell’ordine di tre milioni </w:t>
      </w:r>
      <w:proofErr w:type="spellStart"/>
      <w:r>
        <w:t>ottocentosettantasettemila</w:t>
      </w:r>
      <w:proofErr w:type="spellEnd"/>
      <w:r>
        <w:t xml:space="preserve"> residenti, si distribuisce dunque in modo diseguale tra le sei aziende, e in modo ancor più diseguale tra i quarantacinque distretti, che differiscono per ampiezza, per densità e per struttura demografica. Entro questa articolazione, le aree urbane — i capoluoghi di provincia e le loro cinture — concentrano la popolazione e i servizi, mentre le aree interne — il Subappennino </w:t>
      </w:r>
      <w:proofErr w:type="spellStart"/>
      <w:r>
        <w:t>dauno</w:t>
      </w:r>
      <w:proofErr w:type="spellEnd"/>
      <w:r>
        <w:t>, l’Alta Murgia, le aree più distanti dalle coste e dai centri maggiori — presentano una popolazione più rada, più anziana e più distante dai presìdi.</w:t>
      </w:r>
      <w:r>
        <w:rPr>
          <w:color w:val="555555"/>
          <w:sz w:val="16"/>
          <w:szCs w:val="16"/>
          <w:vertAlign w:val="superscript"/>
        </w:rPr>
        <w:t>[2]</w:t>
      </w:r>
    </w:p>
    <w:p w14:paraId="2CDFD0EA" w14:textId="77777777" w:rsidR="007C4598" w:rsidRDefault="007C4598"/>
    <w:p w14:paraId="215E7EE5" w14:textId="77777777" w:rsidR="007C4598" w:rsidRDefault="00000000">
      <w:pPr>
        <w:jc w:val="both"/>
      </w:pPr>
      <w:r>
        <w:t xml:space="preserve">Entro questa articolazione territoriale, l’offerta di servizi di salute mentale presenta divari che corrispondono alla distinzione tra le aree urbane e le aree interne. I servizi specialistici della salute mentale — i centri di salute mentale, i servizi per le dipendenze, le strutture per l’età evolutiva — hanno sede nei centri maggiori, e servono le aree interne attraverso articolazioni periferiche meno dense e meno dotate. La densità dei servizi, misurata in rapporto alla popolazione e al territorio, è perciò maggiore nelle aree urbane e minore nelle aree interne, dove la distanza media dal </w:t>
      </w:r>
      <w:proofErr w:type="spellStart"/>
      <w:r>
        <w:t>presìdio</w:t>
      </w:r>
      <w:proofErr w:type="spellEnd"/>
      <w:r>
        <w:t xml:space="preserve"> più vicino è maggiore e i tempi di accesso più lunghi. A questo divario nell’offerta specialistica si aggiunge un divario nella medicina generale, primo presidio territoriale del disagio: la densità dei medici di medicina generale, anch’essa maggiore nelle aree urbane, è minore nelle aree interne, dove l’invecchiamento della popolazione medica e la difficoltà di ricambio aggravano lo svantaggio. Le aree interne presentano dunque un duplice svantaggio: minore densità di servizi specialistici e minore densità di medicina generale, a fronte di un bisogno che la struttura demografica più anziana e lo svantaggio socio-economico tendono ad accrescere. Il divario territoriale preesistente nei servizi di salute mentale è perciò un divario in cui le aree interne, dove il bisogno relativo è maggiore, dispongono di un’offerta minore, e in cui la distanza tra il bisogno e l’offerta è massima nelle aree più periferiche e rade.</w:t>
      </w:r>
    </w:p>
    <w:p w14:paraId="4136E185" w14:textId="77777777" w:rsidR="007C4598" w:rsidRDefault="007C4598"/>
    <w:p w14:paraId="71768C59" w14:textId="77777777" w:rsidR="007C4598" w:rsidRDefault="00000000">
      <w:pPr>
        <w:jc w:val="both"/>
      </w:pPr>
      <w:r>
        <w:t>Il divario territoriale preesistente è la condizione di partenza che misura lo spazio entro cui la riforma può agire sull’equità territoriale. Esso non è una caratteristica accidentale della geografia regionale, ma il risultato di una struttura dell’offerta che ha seguito la geografia della popolazione e dell’urbanizzazione, concentrando i servizi dove la domanda è più densa e più facilmente raggiungibile. La riforma del primo livello psicologico interviene su questa condizione di partenza, e il suo effetto sull’equità territoriale dipende da come la sua distribuzione si rapporti al divario preesistente: una distribuzione proporzionale al bisogno, che collochi una quota maggiore di risorse nelle aree interne, dove il divario è massimo, riduce il divario preesistente; una distribuzione proporzionale alla dotazione, che segua la geografia esistente dei servizi, lo lascia inalterato o lo accentua. La descrizione del divario preesistente non è dunque fine a sé stessa, ma fornisce il termine di riferimento rispetto al quale la distribuzione della riforma è valutata: è rispetto a questo divario che si misura se la riforma lo riduca o lo accentui, e perciò se essa sia, sul piano territoriale, equa o iniqua. La presente voce assume questo divario come condizione di partenza, e ne valuta la modificazione che la riforma vi apporta, secondo il criterio della distribuzione proporzionale al bisogno.</w:t>
      </w:r>
    </w:p>
    <w:p w14:paraId="6BF314C9" w14:textId="77777777" w:rsidR="007C4598" w:rsidRDefault="007C4598"/>
    <w:p w14:paraId="677156C8" w14:textId="77777777" w:rsidR="007C4598" w:rsidRDefault="00000000">
      <w:pPr>
        <w:pStyle w:val="Titolo2"/>
        <w:spacing w:before="200" w:after="100"/>
      </w:pPr>
      <w:r>
        <w:rPr>
          <w:sz w:val="22"/>
          <w:szCs w:val="22"/>
        </w:rPr>
        <w:t>12.1.3  La distribuzione della riforma secondo il bisogno e l’effetto sui divari</w:t>
      </w:r>
    </w:p>
    <w:p w14:paraId="021B28ED" w14:textId="77777777" w:rsidR="007C4598" w:rsidRDefault="007C4598"/>
    <w:p w14:paraId="66FDBFA5" w14:textId="77777777" w:rsidR="007C4598" w:rsidRDefault="00000000">
      <w:pPr>
        <w:jc w:val="both"/>
      </w:pPr>
      <w:r>
        <w:t>La riforma distribuisce il Servizio di Psicologia di Base su tutto il territorio regionale secondo un dimensionamento che, ove governato dal bisogno, riduce i divari territoriali preesistenti. Il dimensionamento complessivo della riforma, stabilito dalle parti precedenti, prevede un numero di psicologi di base dell’ordine di ottocento-</w:t>
      </w:r>
      <w:proofErr w:type="spellStart"/>
      <w:r>
        <w:t>ottocentottanta</w:t>
      </w:r>
      <w:proofErr w:type="spellEnd"/>
      <w:r>
        <w:t xml:space="preserve"> unità per l’intera regione, corrispondente a un rapporto con la popolazione adeguato a garantire il primo livello psicologico su tutto il territorio. La distribuzione di questo contingente tra le sei aziende e i quarantacinque distretti, ove proporzionale alla popolazione, attribuisce a ciascuna area una quota di psicologi corrispondente alla sua quota di popolazione, sì che il rapporto tra gli psicologi e la popolazione sia uniforme su tutto il territorio. Una distribuzione siffatta, già per il solo fatto di essere proporzionale alla popolazione, riduce i divari preesistenti, perché porta il primo livello psicologico anche nelle aree interne, dove l’offerta specialistica è più sguarnita, garantendovi un rapporto con la popolazione pari a quello delle aree urbane. La tabella che segue illustra la distribuzione del contingente tra le sei aziende sanitarie, proporzionale alla popolazione, nello scenario centrale di circa </w:t>
      </w:r>
      <w:proofErr w:type="spellStart"/>
      <w:r>
        <w:t>ottocentoquaranta</w:t>
      </w:r>
      <w:proofErr w:type="spellEnd"/>
      <w:r>
        <w:t xml:space="preserve"> unità.</w:t>
      </w:r>
      <w:r>
        <w:rPr>
          <w:color w:val="555555"/>
          <w:sz w:val="16"/>
          <w:szCs w:val="16"/>
          <w:vertAlign w:val="superscript"/>
        </w:rPr>
        <w:t>[3]</w:t>
      </w:r>
    </w:p>
    <w:p w14:paraId="2FAE1BF3"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7F983409"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572FF2F" w14:textId="77777777" w:rsidR="007C4598" w:rsidRDefault="00000000">
            <w:pPr>
              <w:spacing w:after="40"/>
            </w:pPr>
            <w:r>
              <w:rPr>
                <w:b/>
                <w:bCs/>
                <w:color w:val="FFFFFF"/>
                <w:sz w:val="18"/>
                <w:szCs w:val="18"/>
              </w:rPr>
              <w:t>Azienda sanitaria locale</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7B499F8" w14:textId="77777777" w:rsidR="007C4598" w:rsidRDefault="00000000">
            <w:pPr>
              <w:spacing w:after="40"/>
            </w:pPr>
            <w:r>
              <w:rPr>
                <w:b/>
                <w:bCs/>
                <w:color w:val="FFFFFF"/>
                <w:sz w:val="18"/>
                <w:szCs w:val="18"/>
              </w:rPr>
              <w:t>Popolazione residente (circa)</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683AE84" w14:textId="77777777" w:rsidR="007C4598" w:rsidRDefault="00000000">
            <w:pPr>
              <w:spacing w:after="40"/>
            </w:pPr>
            <w:r>
              <w:rPr>
                <w:b/>
                <w:bCs/>
                <w:color w:val="FFFFFF"/>
                <w:sz w:val="18"/>
                <w:szCs w:val="18"/>
              </w:rPr>
              <w:t>Quota</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4CAB540" w14:textId="77777777" w:rsidR="007C4598" w:rsidRDefault="00000000">
            <w:pPr>
              <w:spacing w:after="40"/>
            </w:pPr>
            <w:r>
              <w:rPr>
                <w:b/>
                <w:bCs/>
                <w:color w:val="FFFFFF"/>
                <w:sz w:val="18"/>
                <w:szCs w:val="18"/>
              </w:rPr>
              <w:t>Psicologi di base (allocazione proporzionale, scenario centrale)</w:t>
            </w:r>
          </w:p>
        </w:tc>
      </w:tr>
      <w:tr w:rsidR="007C4598" w14:paraId="7F1003F0"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D112AAB" w14:textId="77777777" w:rsidR="007C4598" w:rsidRDefault="00000000">
            <w:pPr>
              <w:spacing w:after="40"/>
            </w:pPr>
            <w:r>
              <w:t>ASL Bari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69E9D16" w14:textId="77777777" w:rsidR="007C4598" w:rsidRDefault="00000000">
            <w:pPr>
              <w:spacing w:after="40"/>
            </w:pPr>
            <w:r>
              <w:t>~1.175.000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DFD5352" w14:textId="77777777" w:rsidR="007C4598" w:rsidRDefault="00000000">
            <w:pPr>
              <w:spacing w:after="40"/>
            </w:pPr>
            <w:r>
              <w:t>~30%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A725412" w14:textId="77777777" w:rsidR="007C4598" w:rsidRDefault="00000000">
            <w:pPr>
              <w:spacing w:after="40"/>
            </w:pPr>
            <w:r>
              <w:t>~255</w:t>
            </w:r>
          </w:p>
        </w:tc>
      </w:tr>
      <w:tr w:rsidR="007C4598" w14:paraId="1BE0F857"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4740061" w14:textId="77777777" w:rsidR="007C4598" w:rsidRDefault="00000000">
            <w:pPr>
              <w:spacing w:after="40"/>
            </w:pPr>
            <w:r>
              <w:t>ASL Lecce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13F5C30" w14:textId="77777777" w:rsidR="007C4598" w:rsidRDefault="00000000">
            <w:pPr>
              <w:spacing w:after="40"/>
            </w:pPr>
            <w:r>
              <w:t>~785.000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6C053D6" w14:textId="77777777" w:rsidR="007C4598" w:rsidRDefault="00000000">
            <w:pPr>
              <w:spacing w:after="40"/>
            </w:pPr>
            <w:r>
              <w:t>~20%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B5D0DA2" w14:textId="77777777" w:rsidR="007C4598" w:rsidRDefault="00000000">
            <w:pPr>
              <w:spacing w:after="40"/>
            </w:pPr>
            <w:r>
              <w:t>~170</w:t>
            </w:r>
          </w:p>
        </w:tc>
      </w:tr>
      <w:tr w:rsidR="007C4598" w14:paraId="5F125E9A"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0A3D815" w14:textId="77777777" w:rsidR="007C4598" w:rsidRDefault="00000000">
            <w:pPr>
              <w:spacing w:after="40"/>
            </w:pPr>
            <w:r>
              <w:t>ASL Foggia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8A55321" w14:textId="77777777" w:rsidR="007C4598" w:rsidRDefault="00000000">
            <w:pPr>
              <w:spacing w:after="40"/>
            </w:pPr>
            <w:r>
              <w:t>~600.000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972E6FE" w14:textId="77777777" w:rsidR="007C4598" w:rsidRDefault="00000000">
            <w:pPr>
              <w:spacing w:after="40"/>
            </w:pPr>
            <w:r>
              <w:t>~16%</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8145520" w14:textId="77777777" w:rsidR="007C4598" w:rsidRDefault="00000000">
            <w:pPr>
              <w:spacing w:after="40"/>
            </w:pPr>
            <w:r>
              <w:t>~130</w:t>
            </w:r>
          </w:p>
        </w:tc>
      </w:tr>
      <w:tr w:rsidR="007C4598" w14:paraId="23A0CAF3"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EC419B4" w14:textId="77777777" w:rsidR="007C4598" w:rsidRDefault="00000000">
            <w:pPr>
              <w:spacing w:after="40"/>
            </w:pPr>
            <w:r>
              <w:t>ASL Taranto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41AED7A" w14:textId="77777777" w:rsidR="007C4598" w:rsidRDefault="00000000">
            <w:pPr>
              <w:spacing w:after="40"/>
            </w:pPr>
            <w:r>
              <w:t>~560.000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815280E" w14:textId="77777777" w:rsidR="007C4598" w:rsidRDefault="00000000">
            <w:pPr>
              <w:spacing w:after="40"/>
            </w:pPr>
            <w:r>
              <w:t>~14%</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EAE668C" w14:textId="77777777" w:rsidR="007C4598" w:rsidRDefault="00000000">
            <w:pPr>
              <w:spacing w:after="40"/>
            </w:pPr>
            <w:r>
              <w:t>~120</w:t>
            </w:r>
          </w:p>
        </w:tc>
      </w:tr>
      <w:tr w:rsidR="007C4598" w14:paraId="61D26F60"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A9687B1" w14:textId="77777777" w:rsidR="007C4598" w:rsidRDefault="00000000">
            <w:pPr>
              <w:spacing w:after="40"/>
            </w:pPr>
            <w:r>
              <w:t>ASL Barletta-Andria-Trani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BE09314" w14:textId="77777777" w:rsidR="007C4598" w:rsidRDefault="00000000">
            <w:pPr>
              <w:spacing w:after="40"/>
            </w:pPr>
            <w:r>
              <w:t>~380.000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17730D1" w14:textId="77777777" w:rsidR="007C4598" w:rsidRDefault="00000000">
            <w:pPr>
              <w:spacing w:after="40"/>
            </w:pPr>
            <w:r>
              <w:t>~10%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498B7DD" w14:textId="77777777" w:rsidR="007C4598" w:rsidRDefault="00000000">
            <w:pPr>
              <w:spacing w:after="40"/>
            </w:pPr>
            <w:r>
              <w:t>~82</w:t>
            </w:r>
          </w:p>
        </w:tc>
      </w:tr>
      <w:tr w:rsidR="007C4598" w14:paraId="3582F84F"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107AAC3" w14:textId="77777777" w:rsidR="007C4598" w:rsidRDefault="00000000">
            <w:pPr>
              <w:spacing w:after="40"/>
            </w:pPr>
            <w:r>
              <w:t>ASL Brindisi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E2EE276" w14:textId="77777777" w:rsidR="007C4598" w:rsidRDefault="00000000">
            <w:pPr>
              <w:spacing w:after="40"/>
            </w:pPr>
            <w:r>
              <w:t>~377.000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7B2D116" w14:textId="77777777" w:rsidR="007C4598" w:rsidRDefault="00000000">
            <w:pPr>
              <w:spacing w:after="40"/>
            </w:pPr>
            <w:r>
              <w:t>~10%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20C1B5F" w14:textId="77777777" w:rsidR="007C4598" w:rsidRDefault="00000000">
            <w:pPr>
              <w:spacing w:after="40"/>
            </w:pPr>
            <w:r>
              <w:t>~82</w:t>
            </w:r>
          </w:p>
        </w:tc>
      </w:tr>
      <w:tr w:rsidR="007C4598" w14:paraId="523480A7"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C7CBEA5" w14:textId="77777777" w:rsidR="007C4598" w:rsidRDefault="00000000">
            <w:pPr>
              <w:spacing w:after="40"/>
            </w:pPr>
            <w:r>
              <w:t>Puglia (totale)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8AAB8E0" w14:textId="77777777" w:rsidR="007C4598" w:rsidRDefault="00000000">
            <w:pPr>
              <w:spacing w:after="40"/>
            </w:pPr>
            <w:r>
              <w:t>~3.877.395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88349A9" w14:textId="77777777" w:rsidR="007C4598" w:rsidRDefault="00000000">
            <w:pPr>
              <w:spacing w:after="40"/>
            </w:pPr>
            <w:r>
              <w:t>100%</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FAD9B88" w14:textId="77777777" w:rsidR="007C4598" w:rsidRDefault="00000000">
            <w:pPr>
              <w:spacing w:after="40"/>
            </w:pPr>
            <w:r>
              <w:t>~840</w:t>
            </w:r>
          </w:p>
        </w:tc>
      </w:tr>
    </w:tbl>
    <w:p w14:paraId="4338751D" w14:textId="77777777" w:rsidR="007C4598" w:rsidRDefault="007C4598"/>
    <w:p w14:paraId="67F1A955" w14:textId="77777777" w:rsidR="007C4598" w:rsidRDefault="00000000">
      <w:pPr>
        <w:jc w:val="both"/>
      </w:pPr>
      <w:r>
        <w:rPr>
          <w:i/>
          <w:iCs/>
        </w:rPr>
        <w:t xml:space="preserve">Tabella 12.1 — Distribuzione illustrativa del contingente di psicologi di base tra le sei aziende sanitarie locali della Puglia, proporzionale alla popolazione residente, nello scenario centrale di circa </w:t>
      </w:r>
      <w:proofErr w:type="spellStart"/>
      <w:r>
        <w:rPr>
          <w:i/>
          <w:iCs/>
        </w:rPr>
        <w:t>ottocentoquaranta</w:t>
      </w:r>
      <w:proofErr w:type="spellEnd"/>
      <w:r>
        <w:rPr>
          <w:i/>
          <w:iCs/>
        </w:rPr>
        <w:t xml:space="preserve"> unità. Le cifre sono approssimative e illustrative del criterio di distribuzione proporzionale; la ripartizione di dettaglio tra i quarantacinque distretti è determinata in sede di attuazione. La distribuzione proporzionale alla popolazione garantisce un rapporto uniforme tra gli psicologi e la popolazione su tutto il territorio, riducendo i divari preesistenti.</w:t>
      </w:r>
    </w:p>
    <w:p w14:paraId="3CFA0CE1" w14:textId="77777777" w:rsidR="007C4598" w:rsidRDefault="007C4598"/>
    <w:p w14:paraId="5FCCD5E6" w14:textId="77777777" w:rsidR="007C4598" w:rsidRDefault="00000000">
      <w:pPr>
        <w:jc w:val="both"/>
      </w:pPr>
      <w:r>
        <w:t>La distribuzione proporzionale alla popolazione, illustrata nella tabella, riduce i divari preesistenti, ma una distribuzione proporzionale al bisogno li riduce in misura maggiore. La distribuzione proporzionale alla popolazione garantisce un rapporto uniforme tra gli psicologi e la popolazione, e perciò porta il primo livello psicologico anche nelle aree interne con la medesima intensità con cui lo porta nelle aree urbane; ma essa non tiene conto del fatto che il bisogno, nelle aree interne, è relativamente maggiore, per la struttura demografica più anziana e lo svantaggio socio-economico, e che l’offerta specialistica preesistente, nelle aree interne, è relativamente minore. Una distribuzione che tenesse conto di questi fattori — che attribuisse alle aree interne una quota di psicologi più che proporzionale alla loro popolazione, in ragione del maggiore bisogno e della minore dotazione preesistente — ridurrebbe i divari in misura maggiore della distribuzione semplicemente proporzionale alla popolazione, perché compenserebbe non solo la distribuzione della popolazione, ma anche lo svantaggio relativo delle aree interne. La distribuzione proporzionale al bisogno richiede perciò un criterio di allocazione che corregga la proporzione alla popolazione in ragione di indicatori del bisogno relativo — la struttura demografica, lo svantaggio socio-economico, la dotazione preesistente di servizi — sì che le aree dove la distanza tra il bisogno e l’offerta è massima ricevano una quota adeguata a colmarla. La presente voce raccomanda che la distribuzione del contingente sia governata da un criterio di questo genere, proporzionale al bisogno e non alla sola popolazione, come condizione perché la riforma riduca i divari territoriali in misura piena.</w:t>
      </w:r>
    </w:p>
    <w:p w14:paraId="5036C14E" w14:textId="77777777" w:rsidR="007C4598" w:rsidRDefault="007C4598"/>
    <w:p w14:paraId="5FA2A4A0" w14:textId="77777777" w:rsidR="007C4598" w:rsidRDefault="00000000">
      <w:pPr>
        <w:jc w:val="both"/>
      </w:pPr>
      <w:r>
        <w:t>L’effetto della riforma sui divari territoriali dipende dunque dal criterio di distribuzione, e si dispiega lungo una gamma che va dalla riduzione piena alla riduzione parziale. Nell’ipotesi favorevole, in cui la distribuzione sia governata da un criterio proporzionale al bisogno, la riforma riduce i divari in misura piena, portando una quota più che proporzionale di risorse nelle aree interne e compensando il loro svantaggio relativo; in tal caso, la riforma è uno strumento di equità territoriale, che restringe la distanza tra il bisogno e l’offerta nelle aree più sguarnite. Nell’ipotesi intermedia, in cui la distribuzione sia proporzionale alla sola popolazione, la riforma riduce i divari in misura parziale, garantendo un rapporto uniforme tra gli psicologi e la popolazione ma non compensando lo svantaggio relativo delle aree interne; in tal caso, la riforma riduce il divario nell’offerta del primo livello, ma non quello nel bisogno relativo. Nell’ipotesi sfavorevole, in cui la distribuzione sia abbandonata alla tendenza spontanea alla concentrazione urbana, la riforma riduce i divari in misura minima o li accentua, concentrando le risorse nelle aree già più servite; in tal caso, la riforma non è uno strumento di equità territoriale. La gamma degli effetti possibili mostra che l’equità territoriale della riforma non è una proprietà data, ma una proprietà condizionata dal criterio di distribuzione, e che la sua realizzazione richiede un criterio esplicito, proporzionale al bisogno, che governi la distribuzione del contingente.</w:t>
      </w:r>
    </w:p>
    <w:p w14:paraId="7D927F6A"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38002C9C"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82EF7EC" w14:textId="77777777" w:rsidR="007C4598" w:rsidRDefault="00000000">
            <w:pPr>
              <w:spacing w:after="40"/>
            </w:pPr>
            <w:r>
              <w:rPr>
                <w:b/>
                <w:bCs/>
                <w:color w:val="FFFFFF"/>
                <w:sz w:val="18"/>
                <w:szCs w:val="18"/>
              </w:rPr>
              <w:t xml:space="preserve">◆ SEGNAPOSTO INFOGRAFICA — 12.A · DA INSERIRE A POSTERIORI Titolo previsto: Distribuzione territoriale del contingente e riduzione dei divari CODICE CANVA-FRIENDLY (scheda di generazione) Tipo di grafico: Grafico a barre orizzontali delle sei aziende sanitarie locali (Bari, Lecce, Foggia, Taranto, Barletta-Andria-Trani, Brindisi), con due serie affiancate per ciascuna azienda: la quota di popolazione e la quota di contingente nell’allocazione proporzionale; affiancato, un cartogramma stilizzato della regione che distingue le aree urbane e le aree interne con intensità cromatica. Lettura: La corrispondenza tra la quota di popolazione e la quota di contingente illustra la distribuzione proporzionale; il cartogramma evidenzia le aree interne, dove la distribuzione proporzionale al bisogno attribuirebbe una quota più che proporzionale. Palette: Barre della popolazione in blu medio #244272; barre del contingente in oro #C49A48; aree urbane del cartogramma in blu #2E5AA0, aree interne in blu chiaro #5B7BB0; griglia in grigio #D8D8D8. Sfondo: Bianco con gradiente impercettibile verso il crema #F3EAD6 (85% / 15%).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per i titoli;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Light per le etichette e i valori. Dimensioni: 1920 × 1080 </w:t>
            </w:r>
            <w:proofErr w:type="spellStart"/>
            <w:r>
              <w:rPr>
                <w:b/>
                <w:bCs/>
                <w:color w:val="FFFFFF"/>
                <w:sz w:val="18"/>
                <w:szCs w:val="18"/>
              </w:rPr>
              <w:t>px</w:t>
            </w:r>
            <w:proofErr w:type="spellEnd"/>
            <w:r>
              <w:rPr>
                <w:b/>
                <w:bCs/>
                <w:color w:val="FFFFFF"/>
                <w:sz w:val="18"/>
                <w:szCs w:val="18"/>
              </w:rPr>
              <w:t>. Valori da rappresentare: Bari ~30% / ~255; Lecce ~20% / ~170; Foggia ~16% / ~130; Taranto ~14% / ~120; BAT ~10% / ~82; Brindisi ~10% / ~82; totale ~840. Variante 3D (consigliata): Barre con leggera estrusione e cartogramma con lieve rilievo delle aree interne; ombre tenui, nessun effetto che alteri la leggibilità delle proporzioni. Fonte (piè di figura): Elaborazione su parametri demografici regionali (seconda e quarta parte) e dimensionamento del contingente; cifre approssimative e illustrative del criterio di distribuzione proporzionale. Figura 12.A — Distribuzione territoriale del contingente di psicologi di base tra le sei aziende sanitarie locali, con il confronto tra la quota di popolazione e la quota di contingente, e l’evidenziazione delle aree interne dove la distribuzione proporzionale al bisogno attribuirebbe una quota più che proporzionale.</w:t>
            </w:r>
          </w:p>
          <w:p w14:paraId="3CEA00A9" w14:textId="77777777" w:rsidR="007C4598" w:rsidRDefault="00000000">
            <w:pPr>
              <w:spacing w:before="120" w:after="60"/>
              <w:jc w:val="center"/>
            </w:pPr>
            <w:r>
              <w:rPr>
                <w:noProof/>
              </w:rPr>
              <w:drawing>
                <wp:inline distT="0" distB="0" distL="0" distR="0" wp14:anchorId="19F2F32D" wp14:editId="1867CCAF">
                  <wp:extent cx="8229600" cy="4629150"/>
                  <wp:effectExtent l="0" t="0" r="0" b="0"/>
                  <wp:docPr id="168" name="Infografica68" descr="Distribuzione territoriale del contingente per AS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Infografica68"/>
                          <pic:cNvPicPr>
                            <a:picLocks noChangeAspect="1" noChangeArrowheads="1"/>
                          </pic:cNvPicPr>
                        </pic:nvPicPr>
                        <pic:blipFill>
                          <a:blip r:embed="rId125">
                            <a:extLst>
                              <a:ext uri="{96DAC541-7B7A-43D3-8B79-37D633B846F1}">
                                <asvg:svgBlip xmlns:asvg="http://schemas.microsoft.com/office/drawing/2016/SVG/main" r:embed="rId126"/>
                              </a:ext>
                            </a:extLst>
                          </a:blip>
                          <a:stretch>
                            <a:fillRect/>
                          </a:stretch>
                        </pic:blipFill>
                        <pic:spPr bwMode="auto">
                          <a:xfrm>
                            <a:off x="0" y="0"/>
                            <a:ext cx="8229600" cy="4629150"/>
                          </a:xfrm>
                          <a:prstGeom prst="rect">
                            <a:avLst/>
                          </a:prstGeom>
                          <a:noFill/>
                          <a:ln>
                            <a:noFill/>
                          </a:ln>
                        </pic:spPr>
                      </pic:pic>
                    </a:graphicData>
                  </a:graphic>
                </wp:inline>
              </w:drawing>
            </w:r>
          </w:p>
          <w:p w14:paraId="78282AD5" w14:textId="77777777" w:rsidR="007C4598" w:rsidRDefault="00000000">
            <w:pPr>
              <w:spacing w:before="40" w:after="200"/>
              <w:jc w:val="center"/>
            </w:pPr>
            <w:r>
              <w:rPr>
                <w:i/>
                <w:color w:val="2E5A8F"/>
                <w:sz w:val="16"/>
                <w:szCs w:val="16"/>
              </w:rPr>
              <w:t>Fig. 12.A — Distribuzione territoriale del contingente per ASL. Elaborazione dello studio · Luigi De Michele · Giugno 2026.</w:t>
            </w:r>
          </w:p>
        </w:tc>
      </w:tr>
    </w:tbl>
    <w:p w14:paraId="79BC207B" w14:textId="77777777" w:rsidR="007C4598" w:rsidRDefault="007C4598"/>
    <w:p w14:paraId="4136F749" w14:textId="77777777" w:rsidR="007C4598" w:rsidRDefault="00000000">
      <w:pPr>
        <w:pStyle w:val="Titolo2"/>
        <w:spacing w:before="200" w:after="100"/>
      </w:pPr>
      <w:r>
        <w:rPr>
          <w:sz w:val="22"/>
          <w:szCs w:val="22"/>
        </w:rPr>
        <w:t>12.1.4  Le aree interne e il rischio di concentrazione urbana</w:t>
      </w:r>
    </w:p>
    <w:p w14:paraId="74B974DF" w14:textId="77777777" w:rsidR="007C4598" w:rsidRDefault="007C4598"/>
    <w:p w14:paraId="09C5888D" w14:textId="77777777" w:rsidR="007C4598" w:rsidRDefault="00000000">
      <w:pPr>
        <w:jc w:val="both"/>
      </w:pPr>
      <w:r>
        <w:t>Le aree interne costituiscono il banco di prova dell’equità territoriale della riforma, perché in esse la distanza tra il bisogno e l’offerta è massima e il rischio di concentrazione urbana più insidioso. Le aree interne sono i territori distanti dai centri maggiori e dai servizi essenziali, caratterizzati da una popolazione rada e in calo, da una struttura demografica anziana, da un’accessibilità ridotta e da uno svantaggio socio-economico; esse sono l’oggetto, sul piano nazionale, di una strategia dedicata, che ne riconosce la condizione di svantaggio e ne persegue il riequilibrio attraverso il rafforzamento dei servizi essenziali, tra cui la salute. Nelle aree interne, il bisogno di cura del disagio comune è accresciuto dall’isolamento, dall’invecchiamento e dalla deprivazione, mentre l’offerta di servizi è ridotta dalla distanza e dalla rarefazione dei presìdi; la distanza tra il bisogno e l’offerta è perciò, nelle aree interne, massima, e in esse si misura, più che altrove, la capacità della riforma di ridurre i divari territoriali. La riforma del primo livello psicologico, ove distribuita secondo il bisogno, potrebbe portare nelle aree interne una risorsa che vi è oggi quasi assente, riducendo la distanza tra il bisogno e l’offerta dove essa è massima; ma proprio nelle aree interne il rischio di concentrazione urbana è più insidioso, perché la collocazione dei professionisti nelle aree distanti e rade è più difficile.</w:t>
      </w:r>
      <w:r>
        <w:rPr>
          <w:color w:val="555555"/>
          <w:sz w:val="16"/>
          <w:szCs w:val="16"/>
          <w:vertAlign w:val="superscript"/>
        </w:rPr>
        <w:t>[4]</w:t>
      </w:r>
    </w:p>
    <w:p w14:paraId="7A142E29" w14:textId="77777777" w:rsidR="007C4598" w:rsidRDefault="007C4598"/>
    <w:p w14:paraId="733BC9C9" w14:textId="77777777" w:rsidR="007C4598" w:rsidRDefault="00000000">
      <w:pPr>
        <w:jc w:val="both"/>
      </w:pPr>
      <w:r>
        <w:t>Il rischio di concentrazione urbana deriva dalla tendenza dei professionisti a collocarsi nelle aree urbane, che minaccia di vanificare la distribuzione proporzionale al bisogno. La collocazione degli psicologi di base sul territorio non è interamente governabile dall’alto, ma dipende anche dalle preferenze dei professionisti, che tendono a prediligere le aree urbane, dove le condizioni di vita e di lavoro sono ritenute più favorevoli, e a evitare le aree interne, dove la distanza, la rarefazione dei servizi e l’isolamento professionale rendono l’esercizio più gravoso. Questa tendenza, ove non contrastata, minaccia di concentrare gli psicologi nelle aree urbane anche là dove il criterio di distribuzione preveda una quota per le aree interne, perché i posti nelle aree interne potrebbero restare scoperti per difetto di candidati, mentre i posti nelle aree urbane sarebbero rapidamente coperti. Il rischio di concentrazione urbana non è dunque un rischio del criterio di distribuzione, che può ben prevedere una quota per le aree interne, ma un rischio della sua realizzazione, che dipende dalla disponibilità dei professionisti a collocarsi nelle aree interne. La presente voce identifica in questo rischio il principale ostacolo all’equità territoriale della riforma: non l’assenza di un criterio di distribuzione proporzionale al bisogno, che può essere stabilito, ma la difficoltà di realizzarlo a fronte della tendenza dei professionisti alla concentrazione urbana, che può lasciare scoperti i posti nelle aree interne e vanificare la distribuzione prevista.</w:t>
      </w:r>
    </w:p>
    <w:p w14:paraId="57B91DA1" w14:textId="77777777" w:rsidR="007C4598" w:rsidRDefault="007C4598"/>
    <w:p w14:paraId="73B27BD5" w14:textId="77777777" w:rsidR="007C4598" w:rsidRDefault="00000000">
      <w:pPr>
        <w:jc w:val="both"/>
      </w:pPr>
      <w:r>
        <w:t>Il contrasto al rischio di concentrazione urbana richiede misure attuative che rendano effettiva la distribuzione proporzionale al bisogno nelle aree interne. Tali misure attengono alla sede dell’attuazione, e la presente voce le indica come condizioni dell’equità territoriale, rimettendone la determinazione alla quattordicesima parte. Esse comprendono gli incentivi alla collocazione nelle aree interne, che compensino il maggiore gravame dell’esercizio in tali aree e rendano i posti ivi previsti competitivi con quelli delle aree urbane; l’ancoraggio territoriale dello psicologo di base al distretto, che leghi il professionista all’area di assegnazione e ne contrasti la migrazione verso le aree urbane; il sostegno all’esercizio nelle aree interne attraverso la rete dei servizi e la connessione con i presìdi, che riduca l’isolamento professionale; e l’eventuale ricorso alla leva digitale come complemento, che consenta allo psicologo di base di servire le aree più rade senza esservi fisicamente presente in ogni momento, fermo il principio della complementarità che la terza voce esaminerà. Queste misure non sono oggetto della presente parte, che non tratta dell’attuazione, ma sono da essa indicate come le condizioni al verificarsi delle quali la distribuzione proporzionale al bisogno si realizza effettivamente nelle aree interne, e il rischio di concentrazione urbana è contrastato. La presente voce conclude perciò che l’equità territoriale della riforma è possibile, ove la distribuzione sia governata da un criterio proporzionale al bisogno e il rischio di concentrazione urbana sia contrastato da misure attuative adeguate, e che la sua realizzazione dipende dal concorso di questi due elementi, il criterio e le misure.</w:t>
      </w:r>
    </w:p>
    <w:p w14:paraId="21458C1F" w14:textId="77777777" w:rsidR="007C4598" w:rsidRDefault="007C4598"/>
    <w:p w14:paraId="041D50C4" w14:textId="77777777" w:rsidR="007C4598" w:rsidRDefault="00000000">
      <w:pPr>
        <w:pStyle w:val="Titolo2"/>
        <w:spacing w:before="200" w:after="100"/>
      </w:pPr>
      <w:r>
        <w:rPr>
          <w:sz w:val="22"/>
          <w:szCs w:val="22"/>
        </w:rPr>
        <w:t>12.1.5  La gradazione della qualità, le bande prudenziali e i confini della voce</w:t>
      </w:r>
    </w:p>
    <w:p w14:paraId="73B017F6" w14:textId="77777777" w:rsidR="007C4598" w:rsidRDefault="007C4598"/>
    <w:p w14:paraId="45943160" w14:textId="77777777" w:rsidR="007C4598" w:rsidRDefault="00000000">
      <w:pPr>
        <w:jc w:val="both"/>
      </w:pPr>
      <w:r>
        <w:t>La valutazione dell’equità territoriale della riforma è graduata, secondo i criteri GRADE, a un livello moderato, che riflette la solidità del criterio distributivo e l’incertezza della sua realizzazione. Il criterio della distribuzione proporzionale al bisogno è solido, perché fondato su un principio consolidato dell’equità territoriale e su parametri demografici e di dotazione documentabili; e la riduzione dei divari che esso produce, ove realizzato, è una conseguenza necessaria della sua applicazione. L’incertezza non attiene dunque al criterio, ma alla sua realizzazione, che dipende dal contrasto al rischio di concentrazione urbana e dalla disponibilità dei professionisti a collocarsi nelle aree interne, entrambi non interamente governabili. La gradazione moderata riflette questa duplice natura della valutazione: solida nel criterio, incerta nella realizzazione. Essa avverte che la riduzione dei divari territoriali non è un esito garantito della riforma, ma un esito condizionato dalla realizzazione del criterio distributivo, e che la valutazione dell’equità territoriale è perciò una valutazione condizionale, che afferma la possibilità della riduzione dei divari a determinate condizioni, e non la sua certezza incondizionata.</w:t>
      </w:r>
      <w:r>
        <w:rPr>
          <w:color w:val="555555"/>
          <w:sz w:val="16"/>
          <w:szCs w:val="16"/>
          <w:vertAlign w:val="superscript"/>
        </w:rPr>
        <w:t>[5]</w:t>
      </w:r>
    </w:p>
    <w:p w14:paraId="61371733" w14:textId="77777777" w:rsidR="007C4598" w:rsidRDefault="007C4598"/>
    <w:p w14:paraId="1981EBE0" w14:textId="77777777" w:rsidR="007C4598" w:rsidRDefault="00000000">
      <w:pPr>
        <w:jc w:val="both"/>
      </w:pPr>
      <w:r>
        <w:t>La valutazione dell’equità territoriale è formulata in bande prudenziali, che esprimono la gamma degli effetti possibili sui divari territoriali. La banda inferiore corrisponde all’ipotesi sfavorevole, in cui la distribuzione sia abbandonata alla tendenza spontanea alla concentrazione urbana e i divari siano ridotti in misura minima o accentuati; la banda centrale corrisponde all’ipotesi intermedia, in cui la distribuzione sia proporzionale alla popolazione e i divari nell’offerta del primo livello siano ridotti, ma non quelli nel bisogno relativo; la banda superiore corrisponde all’ipotesi favorevole, in cui la distribuzione sia proporzionale al bisogno e i divari siano ridotti in misura piena. La banda non è dunque un intervallo di stima di una grandezza, ma una gamma di esiti distributivi, ciascuno condizionato da un’ipotesi sul criterio di distribuzione e sul contrasto al rischio di concentrazione urbana. La soglia di confutazione della valutazione è collocata nell’ipotesi che la riforma accentui i divari territoriali: ove si osservasse, a riforma attuata, che la distribuzione degli psicologi ha seguito la geografia esistente dei servizi, concentrandosi nelle aree urbane e lasciando scoperte le aree interne, la valutazione favorevole dell’equità territoriale sarebbe smentita, e la riforma si rivelerebbe, sul piano territoriale, iniqua. Il metodo di verifica è il monitoraggio della distribuzione effettiva degli psicologi tra le aree, affidato alla quindicesima parte, che confronterà la distribuzione osservata con quella proporzionale al bisogno e dichiarerà se l’equità territoriale si sia realizzata.</w:t>
      </w:r>
    </w:p>
    <w:p w14:paraId="2842BCE1" w14:textId="77777777" w:rsidR="007C4598" w:rsidRDefault="007C4598"/>
    <w:p w14:paraId="2354C8AD" w14:textId="77777777" w:rsidR="007C4598" w:rsidRDefault="00000000">
      <w:pPr>
        <w:jc w:val="both"/>
      </w:pPr>
      <w:r>
        <w:t>I confini della voce ne delimitano la portata e ne rimettono taluni aspetti alle parti successive. La voce valuta l’equità territoriale della riforma, ossia la distribuzione del suo valore tra le aree della regione, e non l’equità tra le popolazioni né l’equità di accesso, che sono oggetto delle voci successive; essa considera la distribuzione territoriale del contingente, e non la composizione socio-economica o demografica delle popolazioni servite, che la seconda voce esaminerà. La voce indica le misure attuative necessarie a contrastare il rischio di concentrazione urbana — gli incentivi, l’ancoraggio territoriale, il sostegno all’esercizio nelle aree interne — ma non le determina, rimettendone la determinazione alla quattordicesima parte, dedicata all’attuazione; essa indica il monitoraggio della distribuzione effettiva come metodo di verifica, ma non lo conduce, rimettendolo alla quindicesima parte, dedicata al monitoraggio. La tabella e la figura della voce illustrano la distribuzione proporzionale del contingente con cifre approssimative, fondate sui parametri demografici regionali, e non costituiscono la ripartizione di dettaglio tra i distretti, che è determinata in sede di attuazione. Entro questi confini, la voce stabilisce che la riforma può ridurre i divari territoriali preesistenti, ove la distribuzione sia governata da un criterio proporzionale al bisogno e il rischio di concentrazione urbana sia contrastato, e che la sua equità territoriale è perciò una proprietà condizionata, la cui realizzazione dipende dal criterio di distribuzione e dalle misure attuative, e la cui verifica è affidata al monitoraggio.</w:t>
      </w:r>
    </w:p>
    <w:p w14:paraId="06A34C86" w14:textId="77777777" w:rsidR="007C4598" w:rsidRDefault="007C4598"/>
    <w:p w14:paraId="41BB6295" w14:textId="77777777" w:rsidR="007C4598" w:rsidRDefault="00000000">
      <w:pPr>
        <w:pStyle w:val="Titolo1"/>
        <w:pageBreakBefore/>
      </w:pPr>
      <w:r>
        <w:rPr>
          <w:sz w:val="22"/>
          <w:szCs w:val="22"/>
        </w:rPr>
        <w:t>12.2  L’equità tra le popolazioni e i gruppi sociali</w:t>
      </w:r>
    </w:p>
    <w:p w14:paraId="4CC1C6EB" w14:textId="77777777" w:rsidR="007C4598" w:rsidRDefault="007C4598"/>
    <w:p w14:paraId="40F90894" w14:textId="77777777" w:rsidR="007C4598" w:rsidRDefault="00000000">
      <w:pPr>
        <w:jc w:val="both"/>
      </w:pPr>
      <w:r>
        <w:rPr>
          <w:i/>
          <w:iCs/>
        </w:rPr>
        <w:t>La seconda voce studia l’equità tra le popolazioni, ossia la distribuzione del valore della riforma tra i gruppi della popolazione definiti dal genere, dall’età, dalla condizione socio-economica e dalla fragilità, e domanda se la riforma riduca o accentui le diseguaglianze sociali nella salute mentale. La voce espone la logica dell’equità tra le popolazioni, descrive la distribuzione differenziale del bisogno tra i gruppi, esamina l’effetto della riforma sull’accesso dei gruppi svantaggiati, considera il rischio dell’iniquità inversa e individua i gruppi di particolare attenzione, e gradua infine la qualità delle stime, ne dichiara le bande e ne traccia i confini.</w:t>
      </w:r>
    </w:p>
    <w:p w14:paraId="2CCADC20" w14:textId="77777777" w:rsidR="007C4598" w:rsidRDefault="007C4598"/>
    <w:p w14:paraId="7D6B809A" w14:textId="77777777" w:rsidR="007C4598" w:rsidRDefault="00000000">
      <w:pPr>
        <w:pStyle w:val="Titolo2"/>
        <w:spacing w:before="200" w:after="100"/>
      </w:pPr>
      <w:r>
        <w:rPr>
          <w:sz w:val="22"/>
          <w:szCs w:val="22"/>
        </w:rPr>
        <w:t>12.2.1  La logica dell’equità tra le popolazioni</w:t>
      </w:r>
    </w:p>
    <w:p w14:paraId="20319101" w14:textId="77777777" w:rsidR="007C4598" w:rsidRDefault="007C4598"/>
    <w:p w14:paraId="28948CFC" w14:textId="77777777" w:rsidR="007C4598" w:rsidRDefault="00000000">
      <w:pPr>
        <w:jc w:val="both"/>
      </w:pPr>
      <w:r>
        <w:t>L’equità tra le popolazioni è la proprietà per cui il valore di una politica si distribuisce tra i gruppi sociali in modo da ridurre, e non accentuare, le diseguaglianze preesistenti nella salute. I gruppi che compongono una popolazione differiscono per la prevalenza del bisogno e per l’accesso ai servizi, e queste due dimensioni non sono indipendenti: vi sono gruppi nei quali il bisogno è maggiore e l’accesso minore, e gruppi nei quali il bisogno è minore e l’accesso maggiore. Una politica sanitaria, distribuendo le proprie risorse tra i gruppi, può ridurre o accentuare le diseguaglianze, a seconda di come la distribuzione si rapporti alla loro condizione di partenza: se essa raggiunge prevalentemente i gruppi che già accedono ai servizi, accentua le diseguaglianze, perché aggiunge accesso a chi già ne dispone; se raggiunge i gruppi che oggi non accedono, le riduce, perché estende l’accesso a chi ne è privo. La logica dell’equità tra le popolazioni muove dal riconoscimento che i gruppi partono da posizioni diseguali quanto al rapporto tra il bisogno e l’accesso, e che una politica equa è quella che riduce la diseguaglianza in questo rapporto, raggiungendo i gruppi nei quali il bisogno eccede l’accesso, ossia i gruppi svantaggiati. L’equità tra le popolazioni richiede dunque che la riforma raggiunga non indistintamente la popolazione, ma in particolare i gruppi nei quali il bisogno è maggiore e l’accesso minore, sì da ridurre la diseguaglianza nell’accesso alla cura del disagio comune.</w:t>
      </w:r>
    </w:p>
    <w:p w14:paraId="65F16D2C" w14:textId="77777777" w:rsidR="007C4598" w:rsidRDefault="007C4598"/>
    <w:p w14:paraId="79F611B7" w14:textId="77777777" w:rsidR="007C4598" w:rsidRDefault="00000000">
      <w:pPr>
        <w:jc w:val="both"/>
      </w:pPr>
      <w:r>
        <w:t>La logica dell’equità tra le popolazioni è illuminata da due principi che la ricerca sui servizi sanitari ha consolidato, e che orientano la valutazione della presente voce. Il primo è il principio per cui la disponibilità di assistenza tende a variare in ragione inversa al bisogno della popolazione servita, sì che i gruppi nei quali il bisogno è maggiore ricevono, a parità di condizioni, un’assistenza minore. Questo principio descrive una tendenza dei sistemi sanitari, per cui l’assistenza si distribuisce non secondo il bisogno, ma secondo fattori che si associano al minore bisogno — la condizione socio-economica più favorevole, la maggiore prossimità ai servizi, la maggiore capacità di esprimere la domanda — sì che i gruppi più bisognosi, che difettano di questi fattori, ricevono un’assistenza inferiore al loro bisogno. Il secondo principio è quello per cui le nuove politiche sanitarie tendono a beneficiare dapprima i gruppi avvantaggiati, e solo successivamente i gruppi svantaggiati, sì che le diseguaglianze possono dapprima ampliarsi, prima di restringersi. Questi due principi avvertono che una riforma, anche concepita per l’intera popolazione, può, ove non attivamente orientata a raggiungere i gruppi svantaggiati, riprodurre la tendenza per cui l’assistenza segue i fattori associati al minore bisogno, beneficiando i gruppi avvantaggiati e lasciando indietro i gruppi svantaggiati. La presente voce assume questi due principi come monito, e ne trae il criterio per valutare l’equità tra le popolazioni della riforma: non se la riforma raggiunga la popolazione, ma se la raggiunga in modo da contrastare la tendenza all’iniquità, raggiungendo in particolare i gruppi svantaggiati.</w:t>
      </w:r>
      <w:r>
        <w:rPr>
          <w:color w:val="555555"/>
          <w:sz w:val="16"/>
          <w:szCs w:val="16"/>
          <w:vertAlign w:val="superscript"/>
        </w:rPr>
        <w:t>[6]</w:t>
      </w:r>
    </w:p>
    <w:p w14:paraId="7012866C" w14:textId="77777777" w:rsidR="007C4598" w:rsidRDefault="007C4598"/>
    <w:p w14:paraId="11BBE17C" w14:textId="77777777" w:rsidR="007C4598" w:rsidRDefault="00000000">
      <w:pPr>
        <w:jc w:val="both"/>
      </w:pPr>
      <w:r>
        <w:t>La logica dell’equità tra le popolazioni assume, nel caso della salute mentale, un rilievo specifico, per la natura sociale del bisogno e per le barriere all’accesso. Il bisogno di cura del disagio comune presenta un gradiente sociale, per cui la prevalenza dei disturbi è maggiore nei gruppi socio-economicamente svantaggiati, in ragione dei determinanti sociali del disagio — la deprivazione materiale, l’insicurezza, l’isolamento, le condizioni di vita e di lavoro avverse — che si concentrano in tali gruppi. L’accesso ai servizi di salute mentale, per contro, presenta barriere che colpiscono più intensamente i gruppi svantaggiati — la barriera economica, ove i servizi siano onerosi; la barriera informativa, ove l’accesso richieda la conoscenza dei percorsi; la barriera dello stigma, che grava più intensamente sui gruppi nei quali il disagio mentale è meno riconosciuto e più temuto; la barriera della distanza, che colpisce i gruppi residenti nelle aree più sguarnite. Ne risulta che, nella salute mentale, il bisogno è maggiore e l’accesso minore proprio nei gruppi svantaggiati, e che la distanza tra il bisogno e l’accesso è massima in tali gruppi. La riforma del primo livello psicologico, abbattendo talune di queste barriere — l’economica, attraverso la gratuità; l’informativa, attraverso l’integrazione con le cure primarie; la dello stigma, attraverso la collocazione del servizio in un contesto non specialistico — ha la possibilità di raggiungere i gruppi svantaggiati e di ridurre la diseguaglianza; ma ha anche il rischio, ove non attivamente orientata, di raggiungere prevalentemente i gruppi avvantaggiati, che meglio sanno fruire dei servizi, e di accentuare la diseguaglianza. La logica dell’equità tra le popolazioni, applicata alla salute mentale, mostra dunque la posta in gioco: la riforma decide se ridurre o accentuare la diseguaglianza sociale nell’accesso alla cura del disagio comune.</w:t>
      </w:r>
    </w:p>
    <w:p w14:paraId="6FC61C73" w14:textId="77777777" w:rsidR="007C4598" w:rsidRDefault="007C4598"/>
    <w:p w14:paraId="1E3E4FC8" w14:textId="77777777" w:rsidR="007C4598" w:rsidRDefault="00000000">
      <w:pPr>
        <w:pStyle w:val="Titolo2"/>
        <w:spacing w:before="200" w:after="100"/>
      </w:pPr>
      <w:r>
        <w:rPr>
          <w:sz w:val="22"/>
          <w:szCs w:val="22"/>
        </w:rPr>
        <w:t>12.2.2  La distribuzione differenziale del bisogno tra le popolazioni</w:t>
      </w:r>
    </w:p>
    <w:p w14:paraId="578763A0" w14:textId="77777777" w:rsidR="007C4598" w:rsidRDefault="007C4598"/>
    <w:p w14:paraId="0005E545" w14:textId="77777777" w:rsidR="007C4598" w:rsidRDefault="00000000">
      <w:pPr>
        <w:jc w:val="both"/>
      </w:pPr>
      <w:r>
        <w:t xml:space="preserve">La valutazione dell’equità tra le popolazioni muove dalla descrizione della distribuzione differenziale del bisogno, che mostra come la prevalenza del disagio comune vari tra i gruppi della popolazione. La prevalenza dei disturbi mentali comuni — la depressione, i disturbi d’ansia, i disturbi correlati allo stress — non è uniforme nella popolazione, ma varia secondo il genere, l’età, la condizione socio-economica e la condizione di fragilità, in ragione dei determinanti sociali e biologici che si distribuiscono </w:t>
      </w:r>
      <w:proofErr w:type="spellStart"/>
      <w:r>
        <w:t>diseguamente</w:t>
      </w:r>
      <w:proofErr w:type="spellEnd"/>
      <w:r>
        <w:t xml:space="preserve"> tra i gruppi. Secondo il genere, la prevalenza dei disturbi depressivi e d’ansia è maggiore nelle donne, in ragione di fattori biologici, sociali e di esposizione differenziale ai fattori di stress, ferma la minore espressione del disagio negli uomini, che ne ritarda il riconoscimento. Secondo l’età, la prevalenza presenta una distribuzione articolata, con l’esordio frequente dei disturbi nella giovinezza e nella prima età adulta, una persistenza nell’età adulta e una ripresa nell’età anziana, ove la depressione si associa all’isolamento, alla perdita e alla </w:t>
      </w:r>
      <w:proofErr w:type="spellStart"/>
      <w:r>
        <w:t>comorbilità</w:t>
      </w:r>
      <w:proofErr w:type="spellEnd"/>
      <w:r>
        <w:t xml:space="preserve"> somatica. Secondo la condizione socio-economica, la prevalenza presenta un gradiente, per cui essa è maggiore nei gruppi svantaggiati, in ragione della deprivazione, dell’insicurezza e delle condizioni di vita avverse. Secondo la condizione di fragilità, la prevalenza è maggiore nei gruppi gravati da patologia cronica, da disabilità o da ruolo di cura, ove il disagio mentale si associa al carico della condizione. La distribuzione differenziale del bisogno mostra dunque che il disagio comune si concentra in taluni gruppi — le donne, i giovani e gli anziani in talune fasi, i gruppi socio-economicamente svantaggiati, i gruppi fragili — nei quali la prevalenza è maggiore.</w:t>
      </w:r>
      <w:r>
        <w:rPr>
          <w:color w:val="555555"/>
          <w:sz w:val="16"/>
          <w:szCs w:val="16"/>
          <w:vertAlign w:val="superscript"/>
        </w:rPr>
        <w:t>[7]</w:t>
      </w:r>
    </w:p>
    <w:p w14:paraId="7D392A01" w14:textId="77777777" w:rsidR="007C4598" w:rsidRDefault="007C4598"/>
    <w:p w14:paraId="150D736F" w14:textId="77777777" w:rsidR="007C4598" w:rsidRDefault="00000000">
      <w:pPr>
        <w:jc w:val="both"/>
      </w:pPr>
      <w:r>
        <w:t>La distribuzione differenziale del bisogno si accompagna a una distribuzione differenziale dell’accesso, che è spesso inversa, sì che i gruppi più bisognosi accedono meno. L’accesso ai servizi di salute mentale, come si è osservato, presenta barriere che colpiscono più intensamente i gruppi svantaggiati; e queste barriere fanno sì che l’accesso sia minore proprio nei gruppi nei quali il bisogno è maggiore. I gruppi socio-economicamente svantaggiati, nei quali la prevalenza è maggiore, accedono meno ai servizi, perché le barriere economica, informativa e dello stigma li colpiscono più intensamente; ne risulta che in tali gruppi la distanza tra il bisogno e l’accesso è massima. I giovani, nei quali i disturbi esordiscono, accedono meno, perché la soglia di accesso ai servizi specialistici è elevata e il riconoscimento del disagio è ostacolato dallo stigma e dalla difficoltà di chiedere aiuto; ne risulta che il disagio giovanile resta in larga parte non intercettato, nella finestra in cui l’intervento precoce sarebbe più efficace. Gli anziani, nei quali la depressione si associa all’isolamento, accedono meno, perché il disagio è sotto-riconosciuto, confuso con la condizione dell’età, e l’accesso ai servizi è ostacolato dalla ridotta mobilità e dall’isolamento; ne risulta che il disagio anziano resta in larga parte sotto-rilevato. La distribuzione differenziale dell’accesso, inversa rispetto a quella del bisogno, mostra dunque che la diseguaglianza nella salute mentale non è soltanto una diseguaglianza nel bisogno, ma una diseguaglianza nel rapporto tra il bisogno e l’accesso, massima nei gruppi svantaggiati, giovani, anziani e fragili, nei quali il bisogno eccede l’accesso.</w:t>
      </w:r>
    </w:p>
    <w:p w14:paraId="40122F62"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5CA4F092"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4B09613" w14:textId="77777777" w:rsidR="007C4598" w:rsidRDefault="00000000">
            <w:pPr>
              <w:spacing w:after="40"/>
            </w:pPr>
            <w:r>
              <w:rPr>
                <w:b/>
                <w:bCs/>
                <w:color w:val="FFFFFF"/>
                <w:sz w:val="18"/>
                <w:szCs w:val="18"/>
              </w:rPr>
              <w:t xml:space="preserve">◆ SEGNAPOSTO INFOGRAFICA — 12.B · DA INSERIRE A POSTERIORI Titolo previsto: Distribuzione differenziale del bisogno e dell’accesso tra le popolazioni CODICE CANVA-FRIENDLY (scheda di generazione) Tipo di grafico: Grafico a colonne raggruppate per gruppi della popolazione (donne; condizioni socio-economiche svantaggiate; giovani; anziani; popolazioni fragili), con due colonne per gruppo: il livello relativo del bisogno e il livello relativo dell’accesso ai servizi esistenti, su scala qualitativa; sovrapposta, una linea che evidenzia la distanza tra il bisogno e l’accesso. Lettura: L’altezza maggiore della colonna del bisogno rispetto a quella dell’accesso, e la distanza evidenziata dalla linea, illustrano il divario tra il bisogno e l’accesso, massimo nei gruppi svantaggiati, giovani e anziani. Palette: Colonne del bisogno in blu </w:t>
            </w:r>
            <w:proofErr w:type="spellStart"/>
            <w:r>
              <w:rPr>
                <w:b/>
                <w:bCs/>
                <w:color w:val="FFFFFF"/>
                <w:sz w:val="18"/>
                <w:szCs w:val="18"/>
              </w:rPr>
              <w:t>navy</w:t>
            </w:r>
            <w:proofErr w:type="spellEnd"/>
            <w:r>
              <w:rPr>
                <w:b/>
                <w:bCs/>
                <w:color w:val="FFFFFF"/>
                <w:sz w:val="18"/>
                <w:szCs w:val="18"/>
              </w:rPr>
              <w:t xml:space="preserve"> #16264B; colonne dell’accesso in blu chiaro #5B7BB0; linea della distanza in oro #C49A48; griglia in grigio #D8D8D8. Sfondo: Bianco con gradiente impercettibile verso il crema #F3EAD6 (85% / 15%).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per i titoli;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Light per le etichette e i valori. Dimensioni: 1920 × 1080 </w:t>
            </w:r>
            <w:proofErr w:type="spellStart"/>
            <w:r>
              <w:rPr>
                <w:b/>
                <w:bCs/>
                <w:color w:val="FFFFFF"/>
                <w:sz w:val="18"/>
                <w:szCs w:val="18"/>
              </w:rPr>
              <w:t>px</w:t>
            </w:r>
            <w:proofErr w:type="spellEnd"/>
            <w:r>
              <w:rPr>
                <w:b/>
                <w:bCs/>
                <w:color w:val="FFFFFF"/>
                <w:sz w:val="18"/>
                <w:szCs w:val="18"/>
              </w:rPr>
              <w:t>. Valori da rappresentare: Scala qualitativa a tre livelli (basso, medio, elevato): donne (bisogno elevato / accesso medio); svantaggio socio-economico (bisogno elevato / accesso basso); giovani (bisogno medio-elevato / accesso basso); anziani (bisogno medio-elevato / accesso basso); fragili (bisogno elevato / accesso medio-basso). Variante 3D (consigliata): Colonne con leggera estrusione e linea della distanza in rilievo; ombre tenui, senza alterazione dei rapporti tra i livelli. Fonte (piè di figura): Rappresentazione qualitativa fondata sull’evidenza sui determinanti sociali della salute mentale e sulle barriere all’accesso; i livelli sono illustrativi e non quantitativi. Figura 12.B — Distribuzione differenziale del bisogno e dell’accesso ai servizi esistenti tra i gruppi della popolazione, con l’evidenziazione della distanza tra il bisogno e l’accesso, massima nei gruppi socio-economicamente svantaggiati, nei giovani e negli anziani.</w:t>
            </w:r>
          </w:p>
          <w:p w14:paraId="557A17B7" w14:textId="77777777" w:rsidR="007C4598" w:rsidRDefault="00000000">
            <w:pPr>
              <w:spacing w:before="120" w:after="60"/>
              <w:jc w:val="center"/>
            </w:pPr>
            <w:r>
              <w:rPr>
                <w:noProof/>
              </w:rPr>
              <w:drawing>
                <wp:inline distT="0" distB="0" distL="0" distR="0" wp14:anchorId="6124060D" wp14:editId="3E090E91">
                  <wp:extent cx="8229600" cy="4629150"/>
                  <wp:effectExtent l="0" t="0" r="0" b="0"/>
                  <wp:docPr id="169" name="Infografica69" descr="Distribuzione differenziale del bisogno e dell'acces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Infografica69"/>
                          <pic:cNvPicPr>
                            <a:picLocks noChangeAspect="1" noChangeArrowheads="1"/>
                          </pic:cNvPicPr>
                        </pic:nvPicPr>
                        <pic:blipFill>
                          <a:blip r:embed="rId127">
                            <a:extLst>
                              <a:ext uri="{96DAC541-7B7A-43D3-8B79-37D633B846F1}">
                                <asvg:svgBlip xmlns:asvg="http://schemas.microsoft.com/office/drawing/2016/SVG/main" r:embed="rId128"/>
                              </a:ext>
                            </a:extLst>
                          </a:blip>
                          <a:stretch>
                            <a:fillRect/>
                          </a:stretch>
                        </pic:blipFill>
                        <pic:spPr bwMode="auto">
                          <a:xfrm>
                            <a:off x="0" y="0"/>
                            <a:ext cx="8229600" cy="4629150"/>
                          </a:xfrm>
                          <a:prstGeom prst="rect">
                            <a:avLst/>
                          </a:prstGeom>
                          <a:noFill/>
                          <a:ln>
                            <a:noFill/>
                          </a:ln>
                        </pic:spPr>
                      </pic:pic>
                    </a:graphicData>
                  </a:graphic>
                </wp:inline>
              </w:drawing>
            </w:r>
          </w:p>
          <w:p w14:paraId="47ECA5E4" w14:textId="77777777" w:rsidR="007C4598" w:rsidRDefault="00000000">
            <w:pPr>
              <w:spacing w:before="40" w:after="200"/>
              <w:jc w:val="center"/>
            </w:pPr>
            <w:r>
              <w:rPr>
                <w:i/>
                <w:color w:val="2E5A8F"/>
                <w:sz w:val="16"/>
                <w:szCs w:val="16"/>
              </w:rPr>
              <w:t>Fig. 12.B — Distribuzione differenziale del bisogno e dell'accesso. Elaborazione dello studio · Luigi De Michele · Giugno 2026.</w:t>
            </w:r>
          </w:p>
        </w:tc>
      </w:tr>
    </w:tbl>
    <w:p w14:paraId="3EADFB96" w14:textId="77777777" w:rsidR="007C4598" w:rsidRDefault="007C4598"/>
    <w:p w14:paraId="33998E92" w14:textId="77777777" w:rsidR="007C4598" w:rsidRDefault="00000000">
      <w:pPr>
        <w:pStyle w:val="Titolo2"/>
        <w:spacing w:before="200" w:after="100"/>
      </w:pPr>
      <w:r>
        <w:rPr>
          <w:sz w:val="22"/>
          <w:szCs w:val="22"/>
        </w:rPr>
        <w:t>12.2.3  L’effetto della riforma sull’accesso dei gruppi svantaggiati</w:t>
      </w:r>
    </w:p>
    <w:p w14:paraId="24FF5227" w14:textId="77777777" w:rsidR="007C4598" w:rsidRDefault="007C4598"/>
    <w:p w14:paraId="71FF7735" w14:textId="77777777" w:rsidR="007C4598" w:rsidRDefault="00000000">
      <w:pPr>
        <w:jc w:val="both"/>
      </w:pPr>
      <w:r>
        <w:t>La riforma del primo livello psicologico incide sulla diseguaglianza tra le popolazioni attraverso l’abbattimento delle barriere all’accesso, che può raggiungere i gruppi svantaggiati. Le barriere che ostacolano l’accesso dei gruppi svantaggiati ai servizi di salute mentale — l’economica, l’informativa, dello stigma e della distanza — sono in parte abbattute dalla riforma, per le caratteristiche del Servizio di Psicologia di Base. La barriera economica è abbattuta dalla gratuità del servizio, che rende l’accesso indipendente dalla capacità di spesa, e perciò raggiunge i gruppi socio-economicamente svantaggiati, per i quali il costo di un servizio privato sarebbe proibitivo. La barriera informativa è abbattuta dall’integrazione con le cure primarie, che colloca l’accesso al primo livello psicologico entro un percorso già noto — quello della medicina generale — anziché richiedere la conoscenza dei percorsi specialistici, e perciò raggiunge i gruppi che difettano dell’informazione necessaria a orientarsi nei servizi specialistici. La barriera dello stigma è attenuata dalla collocazione del servizio in un contesto non specialistico, prossimo alle cure primarie, che riduce la connotazione del ricorso allo psicologo come segno di una condizione grave, e perciò raggiunge i gruppi nei quali lo stigma del disagio mentale è più intenso. La riforma ha dunque la potenzialità di raggiungere i gruppi svantaggiati, abbattendo le barriere che oggi ne ostacolano l’accesso, e di ridurre la diseguaglianza tra il bisogno e l’accesso, massima in tali gruppi.</w:t>
      </w:r>
      <w:r>
        <w:rPr>
          <w:color w:val="555555"/>
          <w:sz w:val="16"/>
          <w:szCs w:val="16"/>
          <w:vertAlign w:val="superscript"/>
        </w:rPr>
        <w:t>[8]</w:t>
      </w:r>
    </w:p>
    <w:p w14:paraId="708D32AC" w14:textId="77777777" w:rsidR="007C4598" w:rsidRDefault="007C4598"/>
    <w:p w14:paraId="73DDEB70" w14:textId="77777777" w:rsidR="007C4598" w:rsidRDefault="00000000">
      <w:pPr>
        <w:jc w:val="both"/>
      </w:pPr>
      <w:r>
        <w:t>La potenzialità della riforma di raggiungere i gruppi svantaggiati non si realizza tuttavia automaticamente, ma richiede che la riforma sia attivamente orientata a tali gruppi. L’abbattimento delle barriere economica, informativa e dello stigma è una condizione necessaria, ma non sufficiente, perché la riforma raggiunga i gruppi svantaggiati: esso rimuove gli ostacoli all’accesso, ma non garantisce che i gruppi svantaggiati accedano effettivamente, perché l’accesso dipende anche dalla capacità di esprimere la domanda, che è minore nei gruppi svantaggiati, e dalla prossimità del servizio, che può essere minore nelle aree dove tali gruppi risiedono. Ove la riforma si limiti a rendere il servizio disponibile, senza attivamente raggiungere i gruppi svantaggiati, essa rischia di essere fruita prevalentemente dai gruppi avvantaggiati, che meglio sanno esprimere la domanda e fruire dei servizi, secondo la tendenza descritta dai due principi richiamati; in tal caso, la riforma raggiungerebbe i gruppi che già accedono, e accentuerebbe la diseguaglianza, anziché ridurla. Perché la riforma raggiunga i gruppi svantaggiati, occorre dunque che essa sia attivamente orientata a tali gruppi, attraverso modalità che ne intercettino il bisogno là dove esso si manifesta — nei contesti della medicina generale che servono i gruppi svantaggiati, nei servizi sociali, nei contesti scolastici per i giovani, nei contesti domiciliari per gli anziani — e che ne sollecitino l’accesso, anziché attenderne la domanda spontanea. La presente voce identifica in questo orientamento attivo la condizione perché la potenzialità della riforma si realizzi, e raccomanda che la riforma sia concepita e attuata in modo da raggiungere attivamente i gruppi svantaggiati, e non meramente da rendersi disponibile.</w:t>
      </w:r>
    </w:p>
    <w:p w14:paraId="239E2ABD" w14:textId="77777777" w:rsidR="007C4598" w:rsidRDefault="007C4598"/>
    <w:p w14:paraId="05DA62AA" w14:textId="77777777" w:rsidR="007C4598" w:rsidRDefault="00000000">
      <w:pPr>
        <w:jc w:val="both"/>
      </w:pPr>
      <w:r>
        <w:t>L’effetto della riforma sulla diseguaglianza tra le popolazioni dipende dunque dall’orientamento della riforma, e si dispiega lungo una gamma che va dalla riduzione all’accentuazione della diseguaglianza. Nell’ipotesi favorevole, in cui la riforma sia attivamente orientata a raggiungere i gruppi svantaggiati, essa riduce la diseguaglianza, estendendo l’accesso ai gruppi nei quali il bisogno eccede l’accesso e restringendo la distanza tra il bisogno e l’accesso in tali gruppi; in tal caso, la riforma è uno strumento di equità tra le popolazioni. Nell’ipotesi intermedia, in cui la riforma si renda disponibile senza orientarsi attivamente ai gruppi svantaggiati, essa riduce la diseguaglianza in misura parziale, raggiungendo alcuni gruppi svantaggiati attraverso l’abbattimento delle barriere, ma raggiungendone altri solo debolmente, e beneficiando in parte i gruppi avvantaggiati; in tal caso, l’effetto sulla diseguaglianza è incerto. Nell’ipotesi sfavorevole, in cui la riforma sia fruita prevalentemente dai gruppi avvantaggiati, essa accentua la diseguaglianza, aggiungendo accesso a chi già ne dispone; in tal caso, la riforma non è uno strumento di equità tra le popolazioni. La gamma degli effetti possibili mostra che l’equità tra le popolazioni della riforma non è una proprietà data, ma una proprietà condizionata dall’orientamento della riforma, e che la sua realizzazione richiede un orientamento attivo verso i gruppi svantaggiati, che ne intercetti il bisogno e ne sollecitino l’accesso.</w:t>
      </w:r>
    </w:p>
    <w:p w14:paraId="2607CA9B" w14:textId="77777777" w:rsidR="007C4598" w:rsidRDefault="007C4598"/>
    <w:p w14:paraId="13F474A7" w14:textId="77777777" w:rsidR="007C4598" w:rsidRDefault="00000000">
      <w:pPr>
        <w:pStyle w:val="Titolo2"/>
        <w:spacing w:before="200" w:after="100"/>
      </w:pPr>
      <w:r>
        <w:rPr>
          <w:sz w:val="22"/>
          <w:szCs w:val="22"/>
        </w:rPr>
        <w:t>12.2.4  Il rischio dell’iniquità inversa e i gruppi di particolare attenzione</w:t>
      </w:r>
    </w:p>
    <w:p w14:paraId="242BE411" w14:textId="77777777" w:rsidR="007C4598" w:rsidRDefault="007C4598"/>
    <w:p w14:paraId="42D918E6" w14:textId="77777777" w:rsidR="007C4598" w:rsidRDefault="00000000">
      <w:pPr>
        <w:jc w:val="both"/>
      </w:pPr>
      <w:r>
        <w:t>Il rischio dell’iniquità inversa è il rischio che la riforma benefici dapprima i gruppi avvantaggiati, ampliando temporaneamente la diseguaglianza prima di restringerla, e merita una considerazione specifica. Il principio per cui le nuove politiche sanitarie tendono a beneficiare dapprima i gruppi avvantaggiati descrive un percorso temporale della diseguaglianza, per cui l’introduzione di una nuova politica può, nella fase iniziale, ampliare la diseguaglianza, perché i gruppi avvantaggiati, che meglio sanno fruire delle novità, ne beneficiano per primi, mentre i gruppi svantaggiati ne beneficiano più tardi; la diseguaglianza si restringe poi, quando la politica raggiunge anche i gruppi svantaggiati. Questo percorso temporale avverte che l’effetto della riforma sulla diseguaglianza può variare nel tempo, e che una valutazione condotta nella fase iniziale potrebbe registrare un ampliamento della diseguaglianza, che non è il segno di un fallimento della riforma, ma di un suo dispiegamento ancora incompiuto. Il rischio dell’iniquità inversa non è dunque un argomento contro la riforma, ma un monito a non interpretare l’eventuale ampliamento iniziale della diseguaglianza come un esito definitivo, e a orientare la riforma in modo da accelerare il raggiungimento dei gruppi svantaggiati, sì da abbreviare la fase in cui la diseguaglianza si amplia e da anticipare quella in cui essa si restringe. La presente voce assume questo rischio come monito metodologico, e ne trae l’indicazione che la valutazione dell’equità tra le popolazioni deve considerare il percorso temporale della diseguaglianza, e non soltanto il suo livello in un dato momento.</w:t>
      </w:r>
      <w:r>
        <w:rPr>
          <w:color w:val="555555"/>
          <w:sz w:val="16"/>
          <w:szCs w:val="16"/>
          <w:vertAlign w:val="superscript"/>
        </w:rPr>
        <w:t>[9]</w:t>
      </w:r>
    </w:p>
    <w:p w14:paraId="1D9CF64A" w14:textId="77777777" w:rsidR="007C4598" w:rsidRDefault="007C4598"/>
    <w:p w14:paraId="29A13A58" w14:textId="77777777" w:rsidR="007C4598" w:rsidRDefault="00000000">
      <w:pPr>
        <w:jc w:val="both"/>
      </w:pPr>
      <w:r>
        <w:t>Il rischio dell’iniquità inversa e la distribuzione differenziale del bisogno individuano i gruppi di particolare attenzione, verso i quali la riforma deve essere orientata. Tali gruppi sono quelli nei quali il bisogno è maggiore e l’accesso minore, e nei quali perciò il rischio che la riforma non li raggiunga è più grave. La tabella che segue individua i gruppi di particolare attenzione, ne descrive il profilo del bisogno e dell’accesso, e ne trae l’implicazione per l’equità, indicando per ciascuno la ragione per cui la riforma deve essere orientata a raggiungerlo.</w:t>
      </w:r>
    </w:p>
    <w:p w14:paraId="2948040F"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589ADE4C"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AD06EDE" w14:textId="77777777" w:rsidR="007C4598" w:rsidRDefault="00000000">
            <w:pPr>
              <w:spacing w:after="40"/>
            </w:pPr>
            <w:r>
              <w:rPr>
                <w:b/>
                <w:bCs/>
                <w:color w:val="FFFFFF"/>
                <w:sz w:val="18"/>
                <w:szCs w:val="18"/>
              </w:rPr>
              <w:t>Gruppo di particolare attenzione</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93A1610" w14:textId="77777777" w:rsidR="007C4598" w:rsidRDefault="00000000">
            <w:pPr>
              <w:spacing w:after="40"/>
            </w:pPr>
            <w:r>
              <w:rPr>
                <w:b/>
                <w:bCs/>
                <w:color w:val="FFFFFF"/>
                <w:sz w:val="18"/>
                <w:szCs w:val="18"/>
              </w:rPr>
              <w:t>Profilo del bisogno</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46D2E5F" w14:textId="77777777" w:rsidR="007C4598" w:rsidRDefault="00000000">
            <w:pPr>
              <w:spacing w:after="40"/>
            </w:pPr>
            <w:r>
              <w:rPr>
                <w:b/>
                <w:bCs/>
                <w:color w:val="FFFFFF"/>
                <w:sz w:val="18"/>
                <w:szCs w:val="18"/>
              </w:rPr>
              <w:t>Profilo dell’accesso ai servizi esistenti</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B989BB8" w14:textId="77777777" w:rsidR="007C4598" w:rsidRDefault="00000000">
            <w:pPr>
              <w:spacing w:after="40"/>
            </w:pPr>
            <w:r>
              <w:rPr>
                <w:b/>
                <w:bCs/>
                <w:color w:val="FFFFFF"/>
                <w:sz w:val="18"/>
                <w:szCs w:val="18"/>
              </w:rPr>
              <w:t>Implicazione per l’equità</w:t>
            </w:r>
          </w:p>
        </w:tc>
      </w:tr>
      <w:tr w:rsidR="007C4598" w14:paraId="358FD029"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84EFE92" w14:textId="77777777" w:rsidR="007C4598" w:rsidRDefault="00000000">
            <w:pPr>
              <w:spacing w:after="40"/>
            </w:pPr>
            <w:r>
              <w:t>Donne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98915A3" w14:textId="77777777" w:rsidR="007C4598" w:rsidRDefault="00000000">
            <w:pPr>
              <w:spacing w:after="40"/>
            </w:pPr>
            <w:r>
              <w:t>Prevalenza più elevata dei disturbi depressivi e d’ansia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B0FC596" w14:textId="77777777" w:rsidR="007C4598" w:rsidRDefault="00000000">
            <w:pPr>
              <w:spacing w:after="40"/>
            </w:pPr>
            <w:r>
              <w:t>Accesso relativamente maggiore, ma con barriere specifiche legate al ruolo di cura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71BEE3F" w14:textId="77777777" w:rsidR="007C4598" w:rsidRDefault="00000000">
            <w:pPr>
              <w:spacing w:after="40"/>
            </w:pPr>
            <w:r>
              <w:t>Bisogno elevato; attenzione alle barriere connesse al carico di cura</w:t>
            </w:r>
          </w:p>
        </w:tc>
      </w:tr>
      <w:tr w:rsidR="007C4598" w14:paraId="7FAFCFEC"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9319699" w14:textId="77777777" w:rsidR="007C4598" w:rsidRDefault="00000000">
            <w:pPr>
              <w:spacing w:after="40"/>
            </w:pPr>
            <w:r>
              <w:t>Condizioni socio-economiche svantaggiate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E6B6664" w14:textId="77777777" w:rsidR="007C4598" w:rsidRDefault="00000000">
            <w:pPr>
              <w:spacing w:after="40"/>
            </w:pPr>
            <w:r>
              <w:t>Prevalenza più elevata, secondo il gradiente sociale del disagio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943D900" w14:textId="77777777" w:rsidR="007C4598" w:rsidRDefault="00000000">
            <w:pPr>
              <w:spacing w:after="40"/>
            </w:pPr>
            <w:r>
              <w:t>Accesso più basso, per le barriere economica, informativa e dello stigma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AE8CA8F" w14:textId="77777777" w:rsidR="007C4598" w:rsidRDefault="00000000">
            <w:pPr>
              <w:spacing w:after="40"/>
            </w:pPr>
            <w:r>
              <w:t>Massima distanza tra bisogno e accesso; priorità dell’orientamento attivo</w:t>
            </w:r>
          </w:p>
        </w:tc>
      </w:tr>
      <w:tr w:rsidR="007C4598" w14:paraId="3B97D498"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6C89A3B" w14:textId="77777777" w:rsidR="007C4598" w:rsidRDefault="00000000">
            <w:pPr>
              <w:spacing w:after="40"/>
            </w:pPr>
            <w:r>
              <w:t>Giovani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8D188E6" w14:textId="77777777" w:rsidR="007C4598" w:rsidRDefault="00000000">
            <w:pPr>
              <w:spacing w:after="40"/>
            </w:pPr>
            <w:r>
              <w:t>Esordio frequente dei disturbi; associazione con la dispersione scolastica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97DB3A1" w14:textId="77777777" w:rsidR="007C4598" w:rsidRDefault="00000000">
            <w:pPr>
              <w:spacing w:after="40"/>
            </w:pPr>
            <w:r>
              <w:t>Accesso basso, per l’elevata soglia di accesso e lo stigma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660D352" w14:textId="77777777" w:rsidR="007C4598" w:rsidRDefault="00000000">
            <w:pPr>
              <w:spacing w:after="40"/>
            </w:pPr>
            <w:r>
              <w:t>Finestra di intercettazione precoce; necessità di raggiungerli nei contesti scolastici</w:t>
            </w:r>
          </w:p>
        </w:tc>
      </w:tr>
      <w:tr w:rsidR="007C4598" w14:paraId="393F8A9D"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AC3A2F6" w14:textId="77777777" w:rsidR="007C4598" w:rsidRDefault="00000000">
            <w:pPr>
              <w:spacing w:after="40"/>
            </w:pPr>
            <w:r>
              <w:t>Anziani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E4F85BE" w14:textId="77777777" w:rsidR="007C4598" w:rsidRDefault="00000000">
            <w:pPr>
              <w:spacing w:after="40"/>
            </w:pPr>
            <w:r>
              <w:t xml:space="preserve">Depressione associata a isolamento, perdita e </w:t>
            </w:r>
            <w:proofErr w:type="spellStart"/>
            <w:r>
              <w:t>comorbilità</w:t>
            </w:r>
            <w:proofErr w:type="spellEnd"/>
            <w:r>
              <w:t xml:space="preserve"> somatica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BCAA3B6" w14:textId="77777777" w:rsidR="007C4598" w:rsidRDefault="00000000">
            <w:pPr>
              <w:spacing w:after="40"/>
            </w:pPr>
            <w:r>
              <w:t>Accesso basso, per il sotto-riconoscimento e la ridotta mobilità</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7F76738" w14:textId="77777777" w:rsidR="007C4598" w:rsidRDefault="00000000">
            <w:pPr>
              <w:spacing w:after="40"/>
            </w:pPr>
            <w:r>
              <w:t xml:space="preserve">Bisogno sotto-rilevato; attenzione alla </w:t>
            </w:r>
            <w:proofErr w:type="spellStart"/>
            <w:r>
              <w:t>domiciliarità</w:t>
            </w:r>
            <w:proofErr w:type="spellEnd"/>
            <w:r>
              <w:t xml:space="preserve"> e al riconoscimento</w:t>
            </w:r>
          </w:p>
        </w:tc>
      </w:tr>
      <w:tr w:rsidR="007C4598" w14:paraId="278177B1"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5B57683" w14:textId="77777777" w:rsidR="007C4598" w:rsidRDefault="00000000">
            <w:pPr>
              <w:spacing w:after="40"/>
            </w:pPr>
            <w:r>
              <w:t>Popolazioni fragili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D905263" w14:textId="77777777" w:rsidR="007C4598" w:rsidRDefault="00000000">
            <w:pPr>
              <w:spacing w:after="40"/>
            </w:pPr>
            <w:r>
              <w:t>Disagio associato a patologia cronica, disabilità o ruolo di cura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4B56ECB" w14:textId="77777777" w:rsidR="007C4598" w:rsidRDefault="00000000">
            <w:pPr>
              <w:spacing w:after="40"/>
            </w:pPr>
            <w:r>
              <w:t>Accesso frammentato tra servizi diversi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F681886" w14:textId="77777777" w:rsidR="007C4598" w:rsidRDefault="00000000">
            <w:pPr>
              <w:spacing w:after="40"/>
            </w:pPr>
            <w:r>
              <w:t>Bisogno composito; necessità di integrazione tra i servizi</w:t>
            </w:r>
          </w:p>
        </w:tc>
      </w:tr>
    </w:tbl>
    <w:p w14:paraId="2CD97ED2" w14:textId="77777777" w:rsidR="007C4598" w:rsidRDefault="007C4598"/>
    <w:p w14:paraId="2EE2F6A3" w14:textId="77777777" w:rsidR="007C4598" w:rsidRDefault="00000000">
      <w:pPr>
        <w:jc w:val="both"/>
      </w:pPr>
      <w:r>
        <w:rPr>
          <w:i/>
          <w:iCs/>
        </w:rPr>
        <w:t>Tabella 12.2 — Gruppi di particolare attenzione per l’equità tra le popolazioni, con il profilo del bisogno, il profilo dell’accesso ai servizi esistenti e l’implicazione per l’equità. La distanza tra il bisogno e l’accesso è massima nei gruppi socio-economicamente svantaggiati; in ciascun gruppo, la riforma deve essere orientata a raggiungere il bisogno là dove esso si manifesta.</w:t>
      </w:r>
    </w:p>
    <w:p w14:paraId="541C9578" w14:textId="77777777" w:rsidR="007C4598" w:rsidRDefault="007C4598"/>
    <w:p w14:paraId="679EF6A8" w14:textId="77777777" w:rsidR="007C4598" w:rsidRDefault="00000000">
      <w:pPr>
        <w:jc w:val="both"/>
      </w:pPr>
      <w:r>
        <w:t xml:space="preserve">I gruppi di particolare attenzione individuati nella tabella definiscono l’ambito verso cui l’orientamento attivo della riforma deve indirizzarsi. Essi non esauriscono la popolazione che la riforma serve, ma individuano i gruppi nei quali la distanza tra il bisogno e l’accesso è massima, e verso i quali perciò l’orientamento attivo della riforma è più necessario. I gruppi socio-economicamente svantaggiati costituiscono la priorità, perché in essi la distanza tra il bisogno e l’accesso è massima, e perché su di essi gravano congiuntamente le barriere economica, informativa e dello stigma; raggiungerli richiede di intercettarne il bisogno nei contesti della medicina generale e dei servizi sociali che li servono. I giovani costituiscono una priorità per la finestra di intercettazione precoce che la riforma può cogliere, raggiungendoli nei contesti scolastici, dove il disagio esordisce e dove l’intervento precoce sarebbe più efficace. Gli anziani costituiscono una priorità per il bisogno sotto-rilevato, raggiungendoli attraverso il riconoscimento del disagio nei contesti della medicina generale e attraverso l’attenzione alla </w:t>
      </w:r>
      <w:proofErr w:type="spellStart"/>
      <w:r>
        <w:t>domiciliarità</w:t>
      </w:r>
      <w:proofErr w:type="spellEnd"/>
      <w:r>
        <w:t>, che la leva digitale e l’organizzazione dei percorsi possono sostenere. Le donne e le popolazioni fragili costituiscono gruppi di attenzione per le barriere specifiche che li gravano — il carico di cura per le prime, la frammentazione dei servizi per le seconde. La presente voce raccomanda che la riforma sia orientata a raggiungere questi gruppi, attraverso modalità specifiche per ciascuno, e che il monitoraggio dell’equità tra le popolazioni rilevi l’accesso effettivo di tali gruppi, sì da verificare se la riforma li raggiunga e riduca la diseguaglianza.</w:t>
      </w:r>
    </w:p>
    <w:p w14:paraId="5869719B" w14:textId="77777777" w:rsidR="007C4598" w:rsidRDefault="007C4598"/>
    <w:p w14:paraId="60383AB2" w14:textId="77777777" w:rsidR="007C4598" w:rsidRDefault="00000000">
      <w:pPr>
        <w:pStyle w:val="Titolo2"/>
        <w:spacing w:before="200" w:after="100"/>
      </w:pPr>
      <w:r>
        <w:rPr>
          <w:sz w:val="22"/>
          <w:szCs w:val="22"/>
        </w:rPr>
        <w:t>12.2.5  La gradazione della qualità, le bande prudenziali e i confini della voce</w:t>
      </w:r>
    </w:p>
    <w:p w14:paraId="6830B460" w14:textId="77777777" w:rsidR="007C4598" w:rsidRDefault="007C4598"/>
    <w:p w14:paraId="2F84AE6D" w14:textId="77777777" w:rsidR="007C4598" w:rsidRDefault="00000000">
      <w:pPr>
        <w:jc w:val="both"/>
      </w:pPr>
      <w:r>
        <w:t>La valutazione dell’equità tra le popolazioni è graduata, secondo i criteri GRADE, a un livello moderato, che riflette la solidità dell’evidenza sul bisogno differenziale e l’incertezza sull’effetto della riforma. L’evidenza sulla distribuzione differenziale del bisogno e dell’accesso è solida, perché fondata su una vasta ricerca sui determinanti sociali della salute mentale e sulle barriere all’accesso, che documenta il gradiente sociale del disagio e la distribuzione inversa dell’accesso. La potenzialità della riforma di abbattere le barriere economica, informativa e dello stigma è anch’essa solida, perché deriva direttamente dalle caratteristiche del Servizio di Psicologia di Base. L’incertezza attiene all’effetto della riforma sulla diseguaglianza, che dipende dall’orientamento attivo verso i gruppi svantaggiati, non interamente governabile, e dal percorso temporale della diseguaglianza, soggetto al rischio dell’iniquità inversa. La gradazione moderata riflette questa duplice natura: solida nell’evidenza sul bisogno e sulla potenzialità della riforma, incerta nell’effetto sulla diseguaglianza. Essa avverte che la riduzione della diseguaglianza tra le popolazioni non è un esito garantito della riforma, ma un esito condizionato dall’orientamento attivo verso i gruppi svantaggiati, e che la valutazione dell’equità tra le popolazioni è perciò una valutazione condizionale, che afferma la possibilità della riduzione della diseguaglianza a determinate condizioni.</w:t>
      </w:r>
      <w:r>
        <w:rPr>
          <w:color w:val="555555"/>
          <w:sz w:val="16"/>
          <w:szCs w:val="16"/>
          <w:vertAlign w:val="superscript"/>
        </w:rPr>
        <w:t>[10]</w:t>
      </w:r>
    </w:p>
    <w:p w14:paraId="1024667D" w14:textId="77777777" w:rsidR="007C4598" w:rsidRDefault="007C4598"/>
    <w:p w14:paraId="5F7C898C" w14:textId="77777777" w:rsidR="007C4598" w:rsidRDefault="00000000">
      <w:pPr>
        <w:jc w:val="both"/>
      </w:pPr>
      <w:r>
        <w:t>La valutazione dell’equità tra le popolazioni è formulata in bande prudenziali, che esprimono la gamma degli effetti possibili sulla diseguaglianza. La banda inferiore corrisponde all’ipotesi sfavorevole, in cui la riforma sia fruita prevalentemente dai gruppi avvantaggiati e la diseguaglianza sia accentuata; la banda centrale corrisponde all’ipotesi intermedia, in cui la riforma si renda disponibile senza orientarsi attivamente ai gruppi svantaggiati e l’effetto sulla diseguaglianza sia incerto; la banda superiore corrisponde all’ipotesi favorevole, in cui la riforma sia attivamente orientata ai gruppi svantaggiati e la diseguaglianza sia ridotta. La banda esprime, anche qui, una gamma di esiti distributivi, ciascuno condizionato da un’ipotesi sull’orientamento della riforma. La soglia di confutazione della valutazione è collocata nell’ipotesi che la riforma accentui la diseguaglianza tra le popolazioni: ove si osservasse, a riforma attuata, che l’accesso al primo livello psicologico è stato fruito prevalentemente dai gruppi avvantaggiati, lasciando indietro i gruppi svantaggiati, la valutazione favorevole dell’equità tra le popolazioni sarebbe smentita, e la riforma si rivelerebbe, sul piano delle popolazioni, iniqua. Il metodo di verifica è il monitoraggio dell’accesso effettivo dei gruppi di particolare attenzione, affidato alla quindicesima parte, che rileverà la composizione socio-economica, demografica e di fragilità della popolazione servita e dichiarerà se la riforma abbia raggiunto i gruppi svantaggiati e ridotto la diseguaglianza, considerando anche il percorso temporale, sì da non confondere l’eventuale ampliamento iniziale con un esito definitivo.</w:t>
      </w:r>
    </w:p>
    <w:p w14:paraId="47B5AC48" w14:textId="77777777" w:rsidR="007C4598" w:rsidRDefault="007C4598"/>
    <w:p w14:paraId="1F9F19A1" w14:textId="77777777" w:rsidR="007C4598" w:rsidRDefault="00000000">
      <w:pPr>
        <w:jc w:val="both"/>
      </w:pPr>
      <w:r>
        <w:t>I confini della voce ne delimitano la portata e ne rimettono taluni aspetti alle parti successive. La voce valuta l’equità tra le popolazioni della riforma, ossia la distribuzione del suo valore tra i gruppi sociali, e non l’equità territoriale né l’equità di accesso, che sono oggetto delle altre voci; essa considera la composizione dei gruppi serviti, e non la loro distribuzione territoriale, che la prima voce ha esaminato. La voce descrive la distribuzione differenziale del bisogno e dell’accesso con una rappresentazione qualitativa, fondata sull’evidenza sui determinanti sociali e sulle barriere, e non con una quantificazione della prevalenza per gruppo, che eccederebbe il suo oggetto; i livelli che essa indica sono illustrativi del divario tra il bisogno e l’accesso, e non misure quantitative. La voce indica le modalità dell’orientamento attivo verso i gruppi svantaggiati — l’intercettazione del bisogno nei contesti che servono tali gruppi — ma non le determina, rimettendone la determinazione alla quattordicesima parte, dedicata all’attuazione; essa indica il monitoraggio dell’accesso effettivo dei gruppi come metodo di verifica, ma non lo conduce, rimettendolo alla quindicesima parte. Entro questi confini, la voce stabilisce che la riforma può ridurre la diseguaglianza tra le popolazioni, ove sia attivamente orientata a raggiungere i gruppi svantaggiati, e che la sua equità tra le popolazioni è perciò una proprietà condizionata, la cui realizzazione dipende dall’orientamento della riforma e la cui verifica è affidata al monitoraggio.</w:t>
      </w:r>
    </w:p>
    <w:p w14:paraId="35A6F64D" w14:textId="77777777" w:rsidR="007C4598" w:rsidRDefault="007C4598"/>
    <w:p w14:paraId="6143C661" w14:textId="77777777" w:rsidR="007C4598" w:rsidRDefault="00000000">
      <w:pPr>
        <w:pStyle w:val="Titolo1"/>
        <w:pageBreakBefore/>
      </w:pPr>
      <w:r>
        <w:rPr>
          <w:sz w:val="22"/>
          <w:szCs w:val="22"/>
        </w:rPr>
        <w:t>12.3  L’equità di accesso e la leva digitale</w:t>
      </w:r>
    </w:p>
    <w:p w14:paraId="001E725A" w14:textId="77777777" w:rsidR="007C4598" w:rsidRDefault="007C4598"/>
    <w:p w14:paraId="2B158485" w14:textId="77777777" w:rsidR="007C4598" w:rsidRDefault="00000000">
      <w:pPr>
        <w:jc w:val="both"/>
      </w:pPr>
      <w:r>
        <w:rPr>
          <w:i/>
          <w:iCs/>
        </w:rPr>
        <w:t xml:space="preserve">La terza voce studia l’equità di accesso, ossia la possibilità effettiva di fruire della riforma, con specifica attenzione alla leva digitale, su cui la riforma si appoggia come strumento abilitante subordinato. La voce domanda se la leva digitale ampli l’accesso o introduca un divario tra chi dispone degli strumenti e delle competenze digitali e chi ne è privo. Essa espone la logica dell’equità di accesso, esamina la leva digitale come fattore di accesso e il rischio di divario digitale, descrive il divario digitale in Puglia e la sua sovrapposizione ai divari territoriali e sociali, afferma il principio della complementarità e la </w:t>
      </w:r>
      <w:proofErr w:type="spellStart"/>
      <w:r>
        <w:rPr>
          <w:i/>
          <w:iCs/>
        </w:rPr>
        <w:t>governance</w:t>
      </w:r>
      <w:proofErr w:type="spellEnd"/>
      <w:r>
        <w:rPr>
          <w:i/>
          <w:iCs/>
        </w:rPr>
        <w:t xml:space="preserve"> per l’equità, e gradua infine la qualità delle stime, ne dichiara le bande e ne traccia i confini.</w:t>
      </w:r>
    </w:p>
    <w:p w14:paraId="7389A108" w14:textId="77777777" w:rsidR="007C4598" w:rsidRDefault="007C4598"/>
    <w:p w14:paraId="01F39969" w14:textId="77777777" w:rsidR="007C4598" w:rsidRDefault="00000000">
      <w:pPr>
        <w:pStyle w:val="Titolo2"/>
        <w:spacing w:before="200" w:after="100"/>
      </w:pPr>
      <w:r>
        <w:rPr>
          <w:sz w:val="22"/>
          <w:szCs w:val="22"/>
        </w:rPr>
        <w:t>12.3.1  La logica dell’equità di accesso e della leva digitale</w:t>
      </w:r>
    </w:p>
    <w:p w14:paraId="7950FB07" w14:textId="77777777" w:rsidR="007C4598" w:rsidRDefault="007C4598"/>
    <w:p w14:paraId="32BB29FE" w14:textId="77777777" w:rsidR="007C4598" w:rsidRDefault="00000000">
      <w:pPr>
        <w:jc w:val="both"/>
      </w:pPr>
      <w:r>
        <w:t xml:space="preserve">L’equità di accesso è la proprietà per cui la possibilità di fruire di una politica si distribuisce tra i soggetti in modo da non escludere i gruppi svantaggiati, indipendentemente dalle modalità attraverso cui la politica è erogata. Essa si distingue dall’equità territoriale e dall’equità tra le popolazioni, esaminate nelle voci precedenti, perché non attiene alla distribuzione del valore prodotto, ma alla possibilità di accedere al servizio: una politica può distribuire le proprie risorse equamente tra le aree e tra i gruppi, e tuttavia escludere taluni soggetti dall’accesso, ove le modalità di erogazione presuppongano requisiti che essi non possiedono. La logica dell’equità di accesso muove dal riconoscimento che le modalità di erogazione di una politica non sono neutre rispetto alla possibilità di accesso, ma possono favorire taluni soggetti ed escluderne altri, a seconda dei requisiti che presuppongono. Una modalità di erogazione che presupponga la disponibilità di uno strumento o di una competenza favorisce i soggetti che ne dispongono ed esclude quelli che ne sono privi; e ove lo strumento o la competenza si distribuiscano </w:t>
      </w:r>
      <w:proofErr w:type="spellStart"/>
      <w:r>
        <w:t>diseguamente</w:t>
      </w:r>
      <w:proofErr w:type="spellEnd"/>
      <w:r>
        <w:t xml:space="preserve"> nella popolazione, la modalità di erogazione introduce un divario di accesso, che si aggiunge ai divari preesistenti. L’equità di accesso richiede dunque che le modalità di erogazione della riforma non presuppongano requisiti che escludano i gruppi svantaggiati, e che, ove talune modalità presuppongano tali requisiti, esse siano affiancate da modalità che ne prescindano, sì che nessun soggetto sia escluso dall’accesso per difetto dei requisiti.</w:t>
      </w:r>
    </w:p>
    <w:p w14:paraId="5146B5A3" w14:textId="77777777" w:rsidR="007C4598" w:rsidRDefault="007C4598"/>
    <w:p w14:paraId="20B3092E" w14:textId="77777777" w:rsidR="007C4598" w:rsidRDefault="00000000">
      <w:pPr>
        <w:jc w:val="both"/>
      </w:pPr>
      <w:r>
        <w:t xml:space="preserve">La leva digitale, su cui la riforma si appoggia come strumento abilitante subordinato, è il fattore che rende l’equità di accesso un oggetto di specifica attenzione nella presente riforma. La leva digitale comprende gli strumenti digitali che la quarta parte ha collocato lungo il ciclo assistenziale come strumenti abilitanti subordinati alla supervisione umana — la </w:t>
      </w:r>
      <w:proofErr w:type="spellStart"/>
      <w:r>
        <w:t>teleconsultazione</w:t>
      </w:r>
      <w:proofErr w:type="spellEnd"/>
      <w:r>
        <w:t>, le terapie digitali, la terapia cognitivo-comportamentale erogata attraverso la rete, il monitoraggio remoto — i quali presuppongono, per essere fruiti, la disponibilità di uno strumento di connessione e di una competenza nel suo uso. Questi strumenti, ove impiegati come modalità di erogazione del servizio, presuppongono dunque requisiti — la connessione e la competenza digitale — che non si distribuiscono uniformemente nella popolazione, ma sono minori nei gruppi svantaggiati, anziani e residenti nelle aree meno connesse. La leva digitale rende perciò l’equità di accesso un oggetto di specifica attenzione, perché essa è, al tempo stesso, un fattore che può ampliare l’accesso, raggiungendo soggetti che le modalità tradizionali non raggiungono, e un fattore che può restringerlo, escludendo i soggetti privi dei requisiti che essa presuppone. La logica dell’equità di accesso, applicata alla leva digitale, domanda dunque se la leva digitale, nel suo impiego nella riforma, ampli l’accesso o lo restringa, e a quali condizioni essa ampli l’accesso senza escludere i gruppi svantaggiati.</w:t>
      </w:r>
      <w:r>
        <w:rPr>
          <w:color w:val="555555"/>
          <w:sz w:val="16"/>
          <w:szCs w:val="16"/>
          <w:vertAlign w:val="superscript"/>
        </w:rPr>
        <w:t>[11]</w:t>
      </w:r>
    </w:p>
    <w:p w14:paraId="0F73F0D2" w14:textId="77777777" w:rsidR="007C4598" w:rsidRDefault="007C4598"/>
    <w:p w14:paraId="6DEA6A39" w14:textId="77777777" w:rsidR="007C4598" w:rsidRDefault="00000000">
      <w:pPr>
        <w:jc w:val="both"/>
      </w:pPr>
      <w:r>
        <w:t xml:space="preserve">La posizione della leva digitale nella riforma, quale la quarta parte l’ha stabilita, orienta la valutazione dell’equità di accesso e ne circoscrive la posta in gioco. La leva digitale non è, nella riforma, l’oggetto centrale né la modalità principale di erogazione, ma uno strumento abilitante subordinato, che affianca la relazione clinica in presenza senza sostituirla, e che è impiegato sotto la supervisione umana e la </w:t>
      </w:r>
      <w:proofErr w:type="spellStart"/>
      <w:r>
        <w:t>governance</w:t>
      </w:r>
      <w:proofErr w:type="spellEnd"/>
      <w:r>
        <w:t xml:space="preserve"> prudenziale. Questa posizione subordinata della leva digitale è essenziale per la valutazione dell’equità di accesso, perché essa implica che il servizio non è erogato primariamente attraverso il canale digitale, ma attraverso la relazione in presenza, che il canale digitale affianca; e ciò circoscrive il rischio di esclusione, perché i soggetti privi dei requisiti digitali non sono esclusi dal servizio, ma soltanto da una delle sue modalità accessorie, ferma la fruizione attraverso il canale in presenza. La posta in gioco dell’equità di accesso non è dunque, nella presente riforma, l’esclusione dei soggetti digitalmente esclusi dal servizio nel suo complesso, che la posizione subordinata della leva digitale previene, ma il rischio che la leva digitale, ove impiegata oltre la sua posizione subordinata, divenga una modalità di erogazione che presuppone i requisiti digitali e che esclude i soggetti privi; e la valutazione dell’equità di accesso consiste nel verificare che la leva digitale resti entro la sua posizione subordinata, complementare e non sostitutiva, sì che essa ampli l’accesso senza divenire un requisito che ne esclude i gruppi svantaggiati. La presente voce assume questa posizione subordinata della leva digitale come premessa, e ne trae il criterio per valutare l’equità di accesso: non se la leva digitale sia impiegata, ma se essa resti complementare all’accesso in presenza, sì da ampliarlo senza escludere.</w:t>
      </w:r>
    </w:p>
    <w:p w14:paraId="54FA06EA" w14:textId="77777777" w:rsidR="007C4598" w:rsidRDefault="007C4598"/>
    <w:p w14:paraId="16E822BD" w14:textId="77777777" w:rsidR="007C4598" w:rsidRDefault="00000000">
      <w:pPr>
        <w:pStyle w:val="Titolo2"/>
        <w:spacing w:before="200" w:after="100"/>
      </w:pPr>
      <w:r>
        <w:rPr>
          <w:sz w:val="22"/>
          <w:szCs w:val="22"/>
        </w:rPr>
        <w:t>12.3.2  La leva digitale come fattore di accesso e il rischio di divario digitale</w:t>
      </w:r>
    </w:p>
    <w:p w14:paraId="62897D6E" w14:textId="77777777" w:rsidR="007C4598" w:rsidRDefault="007C4598"/>
    <w:p w14:paraId="4F9DDDD2" w14:textId="77777777" w:rsidR="007C4598" w:rsidRDefault="00000000">
      <w:pPr>
        <w:jc w:val="both"/>
      </w:pPr>
      <w:r>
        <w:t xml:space="preserve">La leva digitale è, nella riforma, un fattore che può ampliare l’accesso, raggiungendo soggetti e situazioni che le modalità tradizionali raggiungono con difficoltà. L’ampliamento dell’accesso che la leva digitale consente si dispiega lungo più direzioni. Nella direzione territoriale, la leva digitale consente di raggiungere i soggetti residenti nelle aree interne e periferiche, dove la distanza dai presìdi ostacola l’accesso in presenza, attraverso la </w:t>
      </w:r>
      <w:proofErr w:type="spellStart"/>
      <w:r>
        <w:t>teleconsultazione</w:t>
      </w:r>
      <w:proofErr w:type="spellEnd"/>
      <w:r>
        <w:t xml:space="preserve"> e il monitoraggio remoto, che riducono la necessità di spostamento; essa può perciò estendere la portata dello psicologo di base nelle aree più rade, ove la collocazione di un presidio in presenza non sia sostenibile per la rarefazione della popolazione. Nella direzione temporale, la leva digitale consente di mantenere la continuità della presa in carico tra gli incontri in presenza, attraverso strumenti di monitoraggio e di sostegno che accompagnano il soggetto nell’intervallo, e di intervenire tempestivamente ove il monitoraggio segnali un peggioramento. Nella direzione della modalità, la leva digitale consente di offrire forme di intervento che taluni soggetti preferiscono o tollerano meglio — la terapia erogata attraverso la rete, che alcuni soggetti, segnatamente i più giovani, fruiscono con minore resistenza di quella in presenza. La leva digitale è dunque, in queste direzioni, un fattore che amplia l’accesso, raggiungendo soggetti e situazioni che le modalità tradizionali raggiungono con difficoltà, e che perciò può contribuire all’equità di accesso, estendendo la possibilità di fruizione del servizio.</w:t>
      </w:r>
    </w:p>
    <w:p w14:paraId="76539A9A" w14:textId="77777777" w:rsidR="007C4598" w:rsidRDefault="007C4598"/>
    <w:p w14:paraId="005EF392" w14:textId="77777777" w:rsidR="007C4598" w:rsidRDefault="00000000">
      <w:pPr>
        <w:jc w:val="both"/>
      </w:pPr>
      <w:r>
        <w:t>La leva digitale è, al tempo stesso, un fattore che può restringere l’accesso, escludendo i soggetti privi degli strumenti e delle competenze digitali. Il rischio di divario digitale deriva dal fatto che gli strumenti digitali presuppongono, per essere fruiti, requisiti che non si distribuiscono uniformemente nella popolazione: la disponibilità di uno strumento di connessione, che richiede la copertura della rete e il possesso di un dispositivo; e la competenza nel suo uso, che richiede l’alfabetizzazione digitale. Questi requisiti sono minori nei gruppi svantaggiati, anziani e residenti nelle aree meno connesse, sì che la leva digitale, ove impiegata come modalità di erogazione che presuppone tali requisiti, esclude proprio i soggetti che la riforma dovrebbe raggiungere. Il rischio di divario digitale è dunque il rischio che la leva digitale, anziché ampliare l’accesso, lo restringa per i soggetti digitalmente esclusi, e che essa, lungi dal contribuire all’equità di accesso, vi rechi pregiudizio, escludendo i gruppi svantaggiati dalle modalità che la presuppongono. Questo rischio è tanto più grave quanto più la leva digitale fosse impiegata oltre la sua posizione subordinata, come modalità principale di erogazione: ove il servizio fosse erogato primariamente attraverso il canale digitale, i soggetti digitalmente esclusi sarebbero esclusi dal servizio nel suo complesso, e il divario digitale si tradurrebbe in un divario di accesso al servizio. La leva digitale presenta dunque una duplice valenza per l’equità di accesso: essa può ampliare l’accesso, ma può anche restringerlo; e la sua valenza dipende dal modo in cui è impiegata, complementare o sostitutivo rispetto all’accesso in presenza.</w:t>
      </w:r>
    </w:p>
    <w:p w14:paraId="55B2D1A0" w14:textId="77777777" w:rsidR="007C4598" w:rsidRDefault="007C4598"/>
    <w:p w14:paraId="4820B9B3" w14:textId="77777777" w:rsidR="007C4598" w:rsidRDefault="00000000">
      <w:pPr>
        <w:jc w:val="both"/>
      </w:pPr>
      <w:r>
        <w:t>La duplice valenza della leva digitale per l’equità di accesso pone l’esigenza di un criterio che ne governi l’impiego, sì che essa ampli l’accesso senza restringerlo. La leva digitale non è, in sé, un fattore di equità o di iniquità, ma diviene l’uno o l’altro a seconda del modo in cui è impiegata: impiegata come complemento dell’accesso in presenza, essa amplia l’accesso, raggiungendo soggetti e situazioni che le modalità tradizionali non raggiungono, senza escludere i soggetti privi dei requisiti digitali, che fruiscono del servizio attraverso il canale in presenza; impiegata come sostituto dell’accesso in presenza, essa restringe l’accesso, escludendo i soggetti privi dei requisiti digitali, che non possono fruire del servizio attraverso il canale digitale. Il criterio che governa l’impiego della leva digitale per l’equità di accesso è dunque il criterio della complementarità: la leva digitale deve essere impiegata come complemento dell’accesso in presenza, e non come suo sostituto, sì che essa ampli l’accesso senza divenire un requisito che ne esclude i gruppi svantaggiati. Questo criterio, che la presente voce esaminerà nel suo fondamento e nella sua attuazione, è la condizione perché la leva digitale contribuisca all’equità di accesso anziché recarvi pregiudizio; e la valutazione dell’equità di accesso consiste nel verificare che esso sia rispettato, sì che la leva digitale resti entro la sua posizione subordinata e complementare.</w:t>
      </w:r>
    </w:p>
    <w:p w14:paraId="2A80D056" w14:textId="77777777" w:rsidR="007C4598" w:rsidRDefault="007C4598"/>
    <w:p w14:paraId="2AC53196" w14:textId="77777777" w:rsidR="007C4598" w:rsidRDefault="00000000">
      <w:pPr>
        <w:pStyle w:val="Titolo2"/>
        <w:spacing w:before="200" w:after="100"/>
      </w:pPr>
      <w:r>
        <w:rPr>
          <w:sz w:val="22"/>
          <w:szCs w:val="22"/>
        </w:rPr>
        <w:t>12.3.3  Il divario digitale in Puglia e la sua sovrapposizione ai divari territoriali e sociali</w:t>
      </w:r>
    </w:p>
    <w:p w14:paraId="6A0BFFC3" w14:textId="77777777" w:rsidR="007C4598" w:rsidRDefault="007C4598"/>
    <w:p w14:paraId="695FC57D" w14:textId="77777777" w:rsidR="007C4598" w:rsidRDefault="00000000">
      <w:pPr>
        <w:jc w:val="both"/>
      </w:pPr>
      <w:r>
        <w:t>Il divario digitale è la diseguale distribuzione, nella popolazione, della disponibilità degli strumenti di connessione e della competenza nel loro uso, e presenta in Puglia dimensioni che corrispondono ai divari territoriali e sociali. Il divario digitale si articola in più dimensioni, ciascuna delle quali coglie un aspetto della diseguale distribuzione dei requisiti digitali. La dimensione territoriale del divario digitale attiene alla diseguale copertura della rete, minore nelle aree interne e periferiche, dove l’infrastruttura della banda larga è meno estesa, sì che i soggetti ivi residenti dispongono di una connessione meno affidabile o ne sono privi. La dimensione anagrafica del divario digitale attiene alla diseguale competenza digitale tra le età, minore nella popolazione anziana, che ha avuto minore familiarità con gli strumenti digitali, sì che gli anziani difettano più spesso della competenza necessaria a fruirne. La dimensione socio-economica del divario digitale attiene al diseguale accesso ai dispositivi e alle competenze tra i gruppi socio-economici, minore nei gruppi svantaggiati, che dispongono meno spesso dei dispositivi e della formazione necessaria, sì che i gruppi svantaggiati difettano più spesso degli strumenti e delle competenze. La tabella che segue descrive le tre dimensioni del divario digitale in Puglia, la loro sovrapposizione ai divari preesistenti e l’implicazione per l’equità di accesso.</w:t>
      </w:r>
      <w:r>
        <w:rPr>
          <w:color w:val="555555"/>
          <w:sz w:val="16"/>
          <w:szCs w:val="16"/>
          <w:vertAlign w:val="superscript"/>
        </w:rPr>
        <w:t>[12]</w:t>
      </w:r>
    </w:p>
    <w:p w14:paraId="1A282A99"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374986E7"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1F6EF6D" w14:textId="77777777" w:rsidR="007C4598" w:rsidRDefault="00000000">
            <w:pPr>
              <w:spacing w:after="40"/>
            </w:pPr>
            <w:r>
              <w:rPr>
                <w:b/>
                <w:bCs/>
                <w:color w:val="FFFFFF"/>
                <w:sz w:val="18"/>
                <w:szCs w:val="18"/>
              </w:rPr>
              <w:t>Dimensione del divario digitale</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94BD2C8" w14:textId="77777777" w:rsidR="007C4598" w:rsidRDefault="00000000">
            <w:pPr>
              <w:spacing w:after="40"/>
            </w:pPr>
            <w:r>
              <w:rPr>
                <w:b/>
                <w:bCs/>
                <w:color w:val="FFFFFF"/>
                <w:sz w:val="18"/>
                <w:szCs w:val="18"/>
              </w:rPr>
              <w:t>Manifestazione in Puglia</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CE2269B" w14:textId="77777777" w:rsidR="007C4598" w:rsidRDefault="00000000">
            <w:pPr>
              <w:spacing w:after="40"/>
            </w:pPr>
            <w:r>
              <w:rPr>
                <w:b/>
                <w:bCs/>
                <w:color w:val="FFFFFF"/>
                <w:sz w:val="18"/>
                <w:szCs w:val="18"/>
              </w:rPr>
              <w:t>Sovrapposizione ai divari preesistenti</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AF0145A" w14:textId="77777777" w:rsidR="007C4598" w:rsidRDefault="00000000">
            <w:pPr>
              <w:spacing w:after="40"/>
            </w:pPr>
            <w:r>
              <w:rPr>
                <w:b/>
                <w:bCs/>
                <w:color w:val="FFFFFF"/>
                <w:sz w:val="18"/>
                <w:szCs w:val="18"/>
              </w:rPr>
              <w:t>Implicazione per l’equità di accesso</w:t>
            </w:r>
          </w:p>
        </w:tc>
      </w:tr>
      <w:tr w:rsidR="007C4598" w14:paraId="53722859"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AC92D54" w14:textId="77777777" w:rsidR="007C4598" w:rsidRDefault="00000000">
            <w:pPr>
              <w:spacing w:after="40"/>
            </w:pPr>
            <w:r>
              <w:t>Dimensione territoriale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2DCA816" w14:textId="77777777" w:rsidR="007C4598" w:rsidRDefault="00000000">
            <w:pPr>
              <w:spacing w:after="40"/>
            </w:pPr>
            <w:r>
              <w:t>Minore copertura della banda larga nelle aree interne e periferiche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6293326" w14:textId="77777777" w:rsidR="007C4598" w:rsidRDefault="00000000">
            <w:pPr>
              <w:spacing w:after="40"/>
            </w:pPr>
            <w:r>
              <w:t>Si sovrappone al divario territoriale (aree interne meno servite dai presìdi)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59C2CDF" w14:textId="77777777" w:rsidR="007C4598" w:rsidRDefault="00000000">
            <w:pPr>
              <w:spacing w:after="40"/>
            </w:pPr>
            <w:r>
              <w:t>Le aree interne rischiano una doppia esclusione: dai presìdi e dal canale digitale</w:t>
            </w:r>
          </w:p>
        </w:tc>
      </w:tr>
      <w:tr w:rsidR="007C4598" w14:paraId="79518049"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D82C728" w14:textId="77777777" w:rsidR="007C4598" w:rsidRDefault="00000000">
            <w:pPr>
              <w:spacing w:after="40"/>
            </w:pPr>
            <w:r>
              <w:t>Dimensione anagrafica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D1F27CA" w14:textId="77777777" w:rsidR="007C4598" w:rsidRDefault="00000000">
            <w:pPr>
              <w:spacing w:after="40"/>
            </w:pPr>
            <w:r>
              <w:t>Minore competenza digitale nella popolazione anziana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F465D8E" w14:textId="77777777" w:rsidR="007C4598" w:rsidRDefault="00000000">
            <w:pPr>
              <w:spacing w:after="40"/>
            </w:pPr>
            <w:r>
              <w:t>Si sovrappone al divario tra le età (anziani con accesso minore ai servizi)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97FDD17" w14:textId="77777777" w:rsidR="007C4598" w:rsidRDefault="00000000">
            <w:pPr>
              <w:spacing w:after="40"/>
            </w:pPr>
            <w:r>
              <w:t>Gli anziani rischiano l’esclusione dal canale digitale, ove esso sostituisca l’accesso in presenza</w:t>
            </w:r>
          </w:p>
        </w:tc>
      </w:tr>
      <w:tr w:rsidR="007C4598" w14:paraId="4D493199"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6B374EB" w14:textId="77777777" w:rsidR="007C4598" w:rsidRDefault="00000000">
            <w:pPr>
              <w:spacing w:after="40"/>
            </w:pPr>
            <w:r>
              <w:t>Dimensione socio-economica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D9933B6" w14:textId="77777777" w:rsidR="007C4598" w:rsidRDefault="00000000">
            <w:pPr>
              <w:spacing w:after="40"/>
            </w:pPr>
            <w:r>
              <w:t>Minore accesso ai dispositivi e alle competenze nei gruppi svantaggiati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961ACE1" w14:textId="77777777" w:rsidR="007C4598" w:rsidRDefault="00000000">
            <w:pPr>
              <w:spacing w:after="40"/>
            </w:pPr>
            <w:r>
              <w:t>Si sovrappone al gradiente sociale (gruppi svantaggiati con accesso minore)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331EC76" w14:textId="77777777" w:rsidR="007C4598" w:rsidRDefault="00000000">
            <w:pPr>
              <w:spacing w:after="40"/>
            </w:pPr>
            <w:r>
              <w:t>I gruppi svantaggiati rischiano l’esclusione dal canale digitale, che aggraverebbe la diseguaglianza</w:t>
            </w:r>
          </w:p>
        </w:tc>
      </w:tr>
    </w:tbl>
    <w:p w14:paraId="0C00A668" w14:textId="77777777" w:rsidR="007C4598" w:rsidRDefault="007C4598"/>
    <w:p w14:paraId="0FFCA5DF" w14:textId="77777777" w:rsidR="007C4598" w:rsidRDefault="00000000">
      <w:pPr>
        <w:jc w:val="both"/>
      </w:pPr>
      <w:r>
        <w:rPr>
          <w:i/>
          <w:iCs/>
        </w:rPr>
        <w:t>Tabella 12.3 — Le tre dimensioni del divario digitale in Puglia, la loro sovrapposizione ai divari territoriali e sociali, e l’implicazione per l’equità di accesso. Le dimensioni del divario digitale si sovrappongono ai divari preesistenti, sì che i soggetti digitalmente esclusi sono in larga parte i medesimi che la riforma dovrebbe raggiungere: i residenti nelle aree interne, gli anziani e i gruppi socio-economicamente svantaggiati.</w:t>
      </w:r>
    </w:p>
    <w:p w14:paraId="6A74176D" w14:textId="77777777" w:rsidR="007C4598" w:rsidRDefault="007C4598"/>
    <w:p w14:paraId="02B3B261" w14:textId="77777777" w:rsidR="007C4598" w:rsidRDefault="00000000">
      <w:pPr>
        <w:jc w:val="both"/>
      </w:pPr>
      <w:r>
        <w:t>La sovrapposizione del divario digitale ai divari territoriali e sociali è la circostanza che rende il rischio di divario digitale particolarmente grave per l’equità della riforma. Le tre dimensioni del divario digitale non colpiscono soggetti casuali, ma si sovrappongono ai divari territoriali e sociali esaminati nelle voci precedenti, sì che i soggetti digitalmente esclusi sono in larga parte i medesimi che la riforma dovrebbe raggiungere. La dimensione territoriale del divario digitale colpisce i residenti nelle aree interne, che sono i medesimi soggetti che il divario territoriale nei servizi penalizza, sì che le aree interne rischiano una doppia esclusione: dai presìdi in presenza, per la distanza, e dal canale digitale, per la minore copertura della rete. La dimensione anagrafica del divario digitale colpisce gli anziani, che sono i medesimi soggetti il cui disagio è sotto-rilevato e il cui accesso ai servizi è minore, sì che gli anziani rischiano di essere esclusi anche dal canale digitale, ove esso sostituisca l’accesso in presenza. La dimensione socio-economica del divario digitale colpisce i gruppi svantaggiati, che sono i medesimi soggetti nei quali il bisogno è maggiore e l’accesso minore, sì che i gruppi svantaggiati rischiano di vedere aggravata la loro diseguaglianza dall’esclusione dal canale digitale. La sovrapposizione del divario digitale ai divari territoriali e sociali implica dunque che la leva digitale, ove impiegata come sostituto dell’accesso in presenza, escluderebbe proprio i soggetti che la riforma dovrebbe raggiungere, e accentuerebbe i divari territoriali e sociali anziché ridurli; e ciò rende il rispetto del criterio della complementarità non una cautela accessoria, ma la condizione perché la leva digitale non vanifichi l’equità territoriale e l’equità tra le popolazioni, escludendo i medesimi soggetti che quelle dimensioni dell’equità mirano a raggiungere.</w:t>
      </w:r>
    </w:p>
    <w:p w14:paraId="42CED76E"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3AB7A842"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42B668A" w14:textId="77777777" w:rsidR="007C4598" w:rsidRDefault="00000000">
            <w:pPr>
              <w:spacing w:after="40"/>
            </w:pPr>
            <w:r>
              <w:rPr>
                <w:b/>
                <w:bCs/>
                <w:color w:val="FFFFFF"/>
                <w:sz w:val="18"/>
                <w:szCs w:val="18"/>
              </w:rPr>
              <w:t xml:space="preserve">◆ SEGNAPOSTO INFOGRAFICA — 12.C · DA INSERIRE A POSTERIORI Titolo previsto: Il divario digitale e la sua sovrapposizione ai divari territoriali e sociali CODICE CANVA-FRIENDLY (scheda di generazione) Tipo di grafico: Diagramma a tre cerchi parzialmente sovrapposti, ciascuno corrispondente a un gruppo a rischio (aree interne; anziani; gruppi socio-economicamente svantaggiati); l’area di sovrapposizione centrale rappresenta i soggetti gravati da più divari; per ciascun cerchio, un’icona del divario digitale corrispondente (copertura della rete; competenza digitale; accesso ai dispositivi). Lettura: La sovrapposizione dei cerchi illustra che i soggetti digitalmente esclusi sono in larga parte i medesimi che la riforma dovrebbe raggiungere; l’area centrale evidenzia i soggetti gravati congiuntamente dal divario territoriale, anagrafico e socio-economico. Palette: Cerchio delle aree interne in blu medio #244272; cerchio degli anziani in blu #2E5AA0; cerchio dei gruppi svantaggiati in blu chiaro #5B7BB0; area di sovrapposizione centrale in oro #C49A48; icone e didascalie in </w:t>
            </w:r>
            <w:proofErr w:type="spellStart"/>
            <w:r>
              <w:rPr>
                <w:b/>
                <w:bCs/>
                <w:color w:val="FFFFFF"/>
                <w:sz w:val="18"/>
                <w:szCs w:val="18"/>
              </w:rPr>
              <w:t>navy</w:t>
            </w:r>
            <w:proofErr w:type="spellEnd"/>
            <w:r>
              <w:rPr>
                <w:b/>
                <w:bCs/>
                <w:color w:val="FFFFFF"/>
                <w:sz w:val="18"/>
                <w:szCs w:val="18"/>
              </w:rPr>
              <w:t xml:space="preserve"> #16264B. Sfondo: Bianco con gradiente impercettibile verso il crema #F3EAD6 (85% / 15%).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per i titoli;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Light per le etichette. Dimensioni: 1920 × 1080 </w:t>
            </w:r>
            <w:proofErr w:type="spellStart"/>
            <w:r>
              <w:rPr>
                <w:b/>
                <w:bCs/>
                <w:color w:val="FFFFFF"/>
                <w:sz w:val="18"/>
                <w:szCs w:val="18"/>
              </w:rPr>
              <w:t>px</w:t>
            </w:r>
            <w:proofErr w:type="spellEnd"/>
            <w:r>
              <w:rPr>
                <w:b/>
                <w:bCs/>
                <w:color w:val="FFFFFF"/>
                <w:sz w:val="18"/>
                <w:szCs w:val="18"/>
              </w:rPr>
              <w:t>. Valori da rappresentare: Tre gruppi a rischio (aree interne: minore copertura della rete; anziani: minore competenza digitale; gruppi svantaggiati: minore accesso ai dispositivi); area di sovrapposizione: soggetti gravati da più divari. Variante 3D (consigliata): Cerchi con leggera trasparenza e rilievo, area di sovrapposizione in evidenza; ombre tenui, senza compromissione della leggibilità delle sovrapposizioni. Fonte (piè di figura): Rappresentazione qualitativa fondata sui dati sul divario digitale in Italia (copertura della banda larga, competenze digitali per età e condizione socio-economica); le sovrapposizioni sono illustrative. Figura 12.C — Il divario digitale e la sua sovrapposizione ai divari territoriali e sociali: i soggetti digitalmente esclusi — residenti nelle aree interne, anziani, gruppi socio-economicamente svantaggiati — sono in larga parte i medesimi che la riforma dovrebbe raggiungere, e l’area di sovrapposizione evidenzia i soggetti gravati congiuntamente da più divari.</w:t>
            </w:r>
          </w:p>
          <w:p w14:paraId="600982DD" w14:textId="77777777" w:rsidR="007C4598" w:rsidRDefault="00000000">
            <w:pPr>
              <w:spacing w:before="120" w:after="60"/>
              <w:jc w:val="center"/>
            </w:pPr>
            <w:r>
              <w:rPr>
                <w:noProof/>
              </w:rPr>
              <w:drawing>
                <wp:inline distT="0" distB="0" distL="0" distR="0" wp14:anchorId="7C80B573" wp14:editId="70BE08BE">
                  <wp:extent cx="8229600" cy="4629150"/>
                  <wp:effectExtent l="0" t="0" r="0" b="0"/>
                  <wp:docPr id="170" name="Infografica70" descr="Il divario digitale e la sovrapposizione ai divari territoriali e soci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Infografica70"/>
                          <pic:cNvPicPr>
                            <a:picLocks noChangeAspect="1" noChangeArrowheads="1"/>
                          </pic:cNvPicPr>
                        </pic:nvPicPr>
                        <pic:blipFill>
                          <a:blip r:embed="rId129">
                            <a:extLst>
                              <a:ext uri="{96DAC541-7B7A-43D3-8B79-37D633B846F1}">
                                <asvg:svgBlip xmlns:asvg="http://schemas.microsoft.com/office/drawing/2016/SVG/main" r:embed="rId130"/>
                              </a:ext>
                            </a:extLst>
                          </a:blip>
                          <a:stretch>
                            <a:fillRect/>
                          </a:stretch>
                        </pic:blipFill>
                        <pic:spPr bwMode="auto">
                          <a:xfrm>
                            <a:off x="0" y="0"/>
                            <a:ext cx="8229600" cy="4629150"/>
                          </a:xfrm>
                          <a:prstGeom prst="rect">
                            <a:avLst/>
                          </a:prstGeom>
                          <a:noFill/>
                          <a:ln>
                            <a:noFill/>
                          </a:ln>
                        </pic:spPr>
                      </pic:pic>
                    </a:graphicData>
                  </a:graphic>
                </wp:inline>
              </w:drawing>
            </w:r>
          </w:p>
          <w:p w14:paraId="67EE441B" w14:textId="77777777" w:rsidR="007C4598" w:rsidRDefault="00000000">
            <w:pPr>
              <w:spacing w:before="40" w:after="200"/>
              <w:jc w:val="center"/>
            </w:pPr>
            <w:r>
              <w:rPr>
                <w:i/>
                <w:color w:val="2E5A8F"/>
                <w:sz w:val="16"/>
                <w:szCs w:val="16"/>
              </w:rPr>
              <w:t>Fig. 12.C — Il divario digitale e la sovrapposizione ai divari territoriali e sociali. Elaborazione dello studio · Luigi De Michele · Giugno 2026.</w:t>
            </w:r>
          </w:p>
        </w:tc>
      </w:tr>
    </w:tbl>
    <w:p w14:paraId="32BECDC2" w14:textId="77777777" w:rsidR="007C4598" w:rsidRDefault="007C4598"/>
    <w:p w14:paraId="5CE866E3" w14:textId="77777777" w:rsidR="007C4598" w:rsidRDefault="00000000">
      <w:pPr>
        <w:pStyle w:val="Titolo2"/>
        <w:spacing w:before="200" w:after="100"/>
      </w:pPr>
      <w:r>
        <w:rPr>
          <w:sz w:val="22"/>
          <w:szCs w:val="22"/>
        </w:rPr>
        <w:t xml:space="preserve">12.3.4  Il principio della complementarità e la </w:t>
      </w:r>
      <w:proofErr w:type="spellStart"/>
      <w:r>
        <w:rPr>
          <w:sz w:val="22"/>
          <w:szCs w:val="22"/>
        </w:rPr>
        <w:t>governance</w:t>
      </w:r>
      <w:proofErr w:type="spellEnd"/>
      <w:r>
        <w:rPr>
          <w:sz w:val="22"/>
          <w:szCs w:val="22"/>
        </w:rPr>
        <w:t xml:space="preserve"> per l’equità</w:t>
      </w:r>
    </w:p>
    <w:p w14:paraId="5AC00361" w14:textId="77777777" w:rsidR="007C4598" w:rsidRDefault="007C4598"/>
    <w:p w14:paraId="134E962E" w14:textId="77777777" w:rsidR="007C4598" w:rsidRDefault="00000000">
      <w:pPr>
        <w:jc w:val="both"/>
      </w:pPr>
      <w:r>
        <w:t>Il principio della complementarità stabilisce che la leva digitale deve affiancare l’accesso in presenza senza sostituirlo, sì che essa ampli l’accesso senza escludere i soggetti digitalmente esclusi. Esso è la traduzione, sul piano dell’equità di accesso, della posizione subordinata che la quarta parte ha assegnato alla leva digitale lungo il ciclo assistenziale: come la leva digitale è subordinata alla relazione clinica e alla supervisione umana sul piano clinico, così essa è complementare all’accesso in presenza sul piano dell’equità di accesso. Il principio della complementarità implica che la leva digitale non sia mai l’unica modalità di accesso al servizio, ma sempre una modalità che si aggiunge a quella in presenza, sì che il soggetto possa accedere al servizio attraverso il canale in presenza, indipendentemente dalla disponibilità degli strumenti e delle competenze digitali. Esso implica, inoltre, che la leva digitale sia impiegata là dove essa amplia l’accesso senza escludere — per estendere la portata nelle aree rade, per mantenere la continuità tra gli incontri, per offrire forme di intervento che taluni soggetti preferiscono — e non là dove essa lo restringerebbe, sostituendo l’accesso in presenza per i soggetti che ne difettano dei requisiti. Il principio della complementarità è dunque la garanzia che la leva digitale contribuisca all’equità di accesso anziché recarvi pregiudizio: esso consente alla leva digitale di ampliare l’accesso, raggiungendo soggetti e situazioni che le modalità tradizionali non raggiungono, e al tempo stesso preserva l’accesso in presenza per i soggetti digitalmente esclusi, sì che nessuno sia escluso dal servizio per difetto dei requisiti digitali.</w:t>
      </w:r>
      <w:r>
        <w:rPr>
          <w:color w:val="555555"/>
          <w:sz w:val="16"/>
          <w:szCs w:val="16"/>
          <w:vertAlign w:val="superscript"/>
        </w:rPr>
        <w:t>[13]</w:t>
      </w:r>
    </w:p>
    <w:p w14:paraId="48E41271" w14:textId="77777777" w:rsidR="007C4598" w:rsidRDefault="007C4598"/>
    <w:p w14:paraId="70A44793" w14:textId="77777777" w:rsidR="007C4598" w:rsidRDefault="00000000">
      <w:pPr>
        <w:jc w:val="both"/>
      </w:pPr>
      <w:r>
        <w:t xml:space="preserve">Il principio della complementarità si attua attraverso una </w:t>
      </w:r>
      <w:proofErr w:type="spellStart"/>
      <w:r>
        <w:t>governance</w:t>
      </w:r>
      <w:proofErr w:type="spellEnd"/>
      <w:r>
        <w:t xml:space="preserve"> della leva digitale orientata all’equità, che ne disciplini l’impiego sì da prevenire l’esclusione. Tale </w:t>
      </w:r>
      <w:proofErr w:type="spellStart"/>
      <w:r>
        <w:t>governance</w:t>
      </w:r>
      <w:proofErr w:type="spellEnd"/>
      <w:r>
        <w:t xml:space="preserve">, che la quarta parte ha delineato sul piano della sicurezza, dell’equità e della supervisione umana, si specifica, sul piano dell’equità di accesso, in alcune esigenze. La prima è che il servizio sia sempre accessibile attraverso il canale in presenza, sì che la leva digitale non divenga un requisito di accesso: il soggetto che non disponga degli strumenti o delle competenze digitali deve poter accedere al servizio attraverso il canale in presenza, senza che la sua esclusione digitale si traduca in esclusione dal servizio. La seconda è che l’impiego della leva digitale sia commisurato alla disponibilità degli strumenti e delle competenze del soggetto, sì che essa sia impiegata là dove il soggetto può fruirne e non là dove egli ne difetta: l’offerta delle modalità digitali deve tenere conto della condizione digitale del soggetto, e non presumere una disponibilità uniforme. La terza è che la leva digitale sia accompagnata, ove opportuno, da misure che ne riducano le barriere — il sostegno all’alfabetizzazione digitale, la messa a disposizione di strumenti, l’assistenza nell’uso — sì che essa raggiunga anche soggetti che ne difetterebbero altrimenti dei requisiti, ampliando la platea che può fruirne. Queste esigenze della </w:t>
      </w:r>
      <w:proofErr w:type="spellStart"/>
      <w:r>
        <w:t>governance</w:t>
      </w:r>
      <w:proofErr w:type="spellEnd"/>
      <w:r>
        <w:t xml:space="preserve"> per l’equità non sono oggetto della presente parte, che non tratta dell’attuazione, ma sono da essa indicate come le condizioni attraverso cui il principio della complementarità si attua, e la cui determinazione è rimessa alla quattordicesima parte. La presente voce stabilisce che il principio della complementarità, attuato attraverso una </w:t>
      </w:r>
      <w:proofErr w:type="spellStart"/>
      <w:r>
        <w:t>governance</w:t>
      </w:r>
      <w:proofErr w:type="spellEnd"/>
      <w:r>
        <w:t xml:space="preserve"> orientata all’equità, è la condizione perché la leva digitale ampli l’accesso senza escludere i soggetti digitalmente esclusi, e perché essa non vanifichi l’equità territoriale e l’equità tra le popolazioni.</w:t>
      </w:r>
    </w:p>
    <w:p w14:paraId="695ABA07" w14:textId="77777777" w:rsidR="007C4598" w:rsidRDefault="007C4598"/>
    <w:p w14:paraId="589F8079" w14:textId="77777777" w:rsidR="007C4598" w:rsidRDefault="00000000">
      <w:pPr>
        <w:pStyle w:val="Titolo2"/>
        <w:spacing w:before="200" w:after="100"/>
      </w:pPr>
      <w:r>
        <w:rPr>
          <w:sz w:val="22"/>
          <w:szCs w:val="22"/>
        </w:rPr>
        <w:t>12.3.5  La gradazione della qualità, le bande prudenziali e i confini della voce</w:t>
      </w:r>
    </w:p>
    <w:p w14:paraId="7A108B4E" w14:textId="77777777" w:rsidR="007C4598" w:rsidRDefault="007C4598"/>
    <w:p w14:paraId="67BD1802" w14:textId="77777777" w:rsidR="007C4598" w:rsidRDefault="00000000">
      <w:pPr>
        <w:jc w:val="both"/>
      </w:pPr>
      <w:r>
        <w:t xml:space="preserve">La valutazione dell’equità di accesso è graduata, secondo i criteri GRADE, a un livello moderato, che riflette la solidità della duplice valenza della leva digitale e l’incertezza del suo impiego. La duplice valenza della leva digitale — fattore che può ampliare l’accesso e fattore che può restringerlo — è solida, perché fondata sulla natura degli strumenti digitali, che presuppongono requisiti </w:t>
      </w:r>
      <w:proofErr w:type="spellStart"/>
      <w:r>
        <w:t>diseguamente</w:t>
      </w:r>
      <w:proofErr w:type="spellEnd"/>
      <w:r>
        <w:t xml:space="preserve"> distribuiti, e sulla documentata sovrapposizione del divario digitale ai divari territoriali e sociali. Il principio della complementarità, che governa l’impiego della leva digitale per l’equità di accesso, è anch’esso solido, perché deriva dalla posizione subordinata che la leva digitale occupa nella riforma. L’incertezza attiene all’impiego effettivo della leva digitale, che dipende dal rispetto del principio della complementarità e dall’attuazione della </w:t>
      </w:r>
      <w:proofErr w:type="spellStart"/>
      <w:r>
        <w:t>governance</w:t>
      </w:r>
      <w:proofErr w:type="spellEnd"/>
      <w:r>
        <w:t xml:space="preserve"> per l’equità, non interamente governabili. La gradazione moderata riflette questa duplice natura: solida nella valenza della leva digitale e nel principio della complementarità, incerta nell’impiego effettivo. Essa avverte che l’ampliamento dell’accesso senza esclusione non è un esito garantito della leva digitale, ma un esito condizionato dal rispetto del principio della complementarità, e che la valutazione dell’equità di accesso è perciò una valutazione condizionale, che afferma la possibilità dell’ampliamento dell’accesso senza esclusione a determinate condizioni.</w:t>
      </w:r>
      <w:r>
        <w:rPr>
          <w:color w:val="555555"/>
          <w:sz w:val="16"/>
          <w:szCs w:val="16"/>
          <w:vertAlign w:val="superscript"/>
        </w:rPr>
        <w:t>[14]</w:t>
      </w:r>
    </w:p>
    <w:p w14:paraId="5C4EFB7D" w14:textId="77777777" w:rsidR="007C4598" w:rsidRDefault="007C4598"/>
    <w:p w14:paraId="5D12C06D" w14:textId="77777777" w:rsidR="007C4598" w:rsidRDefault="00000000">
      <w:pPr>
        <w:jc w:val="both"/>
      </w:pPr>
      <w:r>
        <w:t>La valutazione dell’equità di accesso è formulata in bande prudenziali, che esprimono la gamma degli effetti possibili della leva digitale sull’accesso. La banda inferiore corrisponde all’ipotesi sfavorevole, in cui la leva digitale sia impiegata come sostituto dell’accesso in presenza e i soggetti digitalmente esclusi siano esclusi dal servizio, con accentuazione dei divari; la banda centrale corrisponde all’ipotesi intermedia, in cui la leva digitale sia impiegata in modo non interamente conforme al principio della complementarità, con un ampliamento dell’accesso accompagnato da una parziale esclusione; la banda superiore corrisponde all’ipotesi favorevole, in cui la leva digitale sia impiegata come complemento dell’accesso in presenza e l’accesso sia ampliato senza esclusione. La banda esprime una gamma di esiti, ciascuno condizionato da un’ipotesi sull’impiego della leva digitale. La soglia di confutazione della valutazione è collocata nell’ipotesi che la leva digitale escluda i soggetti digitalmente esclusi: ove si osservasse, a riforma attuata, che l’accesso al servizio è stato precluso ai soggetti privi degli strumenti o delle competenze digitali, la valutazione favorevole dell’equità di accesso sarebbe smentita, e la leva digitale si rivelerebbe un fattore di esclusione. Il metodo di verifica è il monitoraggio dell’accessibilità del servizio attraverso il canale in presenza e dell’impiego della leva digitale, affidato alla quindicesima parte, che rileverà se il servizio sia stato accessibile indipendentemente dalla condizione digitale e se la leva digitale sia stata impiegata come complemento.</w:t>
      </w:r>
    </w:p>
    <w:p w14:paraId="336D0385" w14:textId="77777777" w:rsidR="007C4598" w:rsidRDefault="007C4598"/>
    <w:p w14:paraId="782CCAB2" w14:textId="77777777" w:rsidR="007C4598" w:rsidRDefault="00000000">
      <w:pPr>
        <w:jc w:val="both"/>
      </w:pPr>
      <w:r>
        <w:t xml:space="preserve">I confini della voce ne delimitano la portata e ne rimettono taluni aspetti alle altre parti. La voce valuta l’equità di accesso della riforma, con specifica attenzione alla leva digitale, e non l’equità territoriale né l’equità tra le popolazioni, esaminate nelle voci precedenti; essa considera la possibilità di accesso al servizio in rapporto alla leva digitale, e non la distribuzione del valore tra le aree e i gruppi, già esaminata. La voce descrive il divario digitale in Puglia con una rappresentazione fondata sui dati sul divario digitale in Italia, e non con una quantificazione specifica della sua entità nella regione, che eccederebbe il suo oggetto; le dimensioni del divario che essa indica sono descritte nella loro sovrapposizione ai divari preesistenti, e non misurate quantitativamente. La voce assume la posizione subordinata della leva digitale stabilita dalla quarta parte, e ne trae il principio della complementarità, ma non determina le misure attuative della </w:t>
      </w:r>
      <w:proofErr w:type="spellStart"/>
      <w:r>
        <w:t>governance</w:t>
      </w:r>
      <w:proofErr w:type="spellEnd"/>
      <w:r>
        <w:t xml:space="preserve"> per l’equità — l’accessibilità attraverso il canale in presenza, la commisurazione dell’impiego digitale, il sostegno all’alfabetizzazione — rimettendone la determinazione alla quattordicesima parte; essa indica il monitoraggio dell’accessibilità e dell’impiego della leva digitale come metodo di verifica, ma non lo conduce, rimettendolo alla quindicesima parte. Entro questi confini, la voce stabilisce che la leva digitale può ampliare l’accesso senza escludere i soggetti digitalmente esclusi, ove sia impiegata come complemento dell’accesso in presenza secondo il principio della complementarità, e che l’equità di accesso è perciò una proprietà condizionata, la cui realizzazione dipende dal rispetto di tale principio e la cui verifica è affidata al monitoraggio.</w:t>
      </w:r>
    </w:p>
    <w:p w14:paraId="69691682" w14:textId="77777777" w:rsidR="007C4598" w:rsidRDefault="007C4598"/>
    <w:p w14:paraId="7F915F33" w14:textId="77777777" w:rsidR="007C4598" w:rsidRDefault="00000000">
      <w:pPr>
        <w:pStyle w:val="Titolo1"/>
        <w:pageBreakBefore/>
      </w:pPr>
      <w:r>
        <w:rPr>
          <w:sz w:val="22"/>
          <w:szCs w:val="22"/>
        </w:rPr>
        <w:t>12.4  L’impatto distributivo complessivo della riforma</w:t>
      </w:r>
    </w:p>
    <w:p w14:paraId="06FE2FE7" w14:textId="77777777" w:rsidR="007C4598" w:rsidRDefault="007C4598"/>
    <w:p w14:paraId="60805482" w14:textId="77777777" w:rsidR="007C4598" w:rsidRDefault="00000000">
      <w:pPr>
        <w:jc w:val="both"/>
      </w:pPr>
      <w:r>
        <w:rPr>
          <w:i/>
          <w:iCs/>
        </w:rPr>
        <w:t>La quarta voce ricompone le tre dimensioni dell’equità esaminate nelle voci precedenti, e ne trae l’impatto distributivo complessivo della riforma. Essa espone la logica dell’impatto distributivo complessivo, compone le tre dimensioni dell’equità in una valutazione d’insieme, individua le condizioni dell’impatto distributivo favorevole, formula l’impatto distributivo come previsione falsificabile e ne trae le raccomandazioni per l’equità, e gradua infine la qualità della valutazione, ne dichiara le bande, ne traccia i confini e ne dispone il raccordo con le parti successive.</w:t>
      </w:r>
    </w:p>
    <w:p w14:paraId="3636E3C8" w14:textId="77777777" w:rsidR="007C4598" w:rsidRDefault="007C4598"/>
    <w:p w14:paraId="72CD405A" w14:textId="77777777" w:rsidR="007C4598" w:rsidRDefault="00000000">
      <w:pPr>
        <w:pStyle w:val="Titolo2"/>
        <w:spacing w:before="200" w:after="100"/>
      </w:pPr>
      <w:r>
        <w:rPr>
          <w:sz w:val="22"/>
          <w:szCs w:val="22"/>
        </w:rPr>
        <w:t>12.4.1  La logica dell’impatto distributivo complessivo</w:t>
      </w:r>
    </w:p>
    <w:p w14:paraId="472AAE96" w14:textId="77777777" w:rsidR="007C4598" w:rsidRDefault="007C4598"/>
    <w:p w14:paraId="4B788DED" w14:textId="77777777" w:rsidR="007C4598" w:rsidRDefault="00000000">
      <w:pPr>
        <w:jc w:val="both"/>
      </w:pPr>
      <w:r>
        <w:t>L’impatto distributivo complessivo è la valutazione d’insieme della distribuzione del valore della riforma, che ricompone le tre dimensioni dell’equità esaminate partitamente nelle voci precedenti. Le tre dimensioni — l’equità territoriale, l’equità tra le popolazioni e l’equità di accesso — colgono ciascuna un aspetto della distribuzione del valore, ma non lo esauriscono singolarmente: la distribuzione del valore tra i soggetti dipende congiuntamente dalla distribuzione tra le aree, dalla distribuzione tra i gruppi e dalla possibilità di accesso, e nessuna delle tre dimensioni, presa isolatamente, ne dà una valutazione completa. L’impatto distributivo complessivo ricompone le tre dimensioni, e ne trae la valutazione d’insieme della distribuzione del valore: esso domanda se la riforma, considerate congiuntamente le tre dimensioni, riduca o accentui le diseguaglianze tra i soggetti. La logica dell’impatto distributivo complessivo muove dal riconoscimento che le tre dimensioni dell’equità sono connesse, e che la valutazione d’insieme non è la semplice somma delle valutazioni parziali, ma la loro composizione, che tiene conto delle connessioni tra le dimensioni. La connessione tra le dimensioni è essenziale per la valutazione complessiva: i divari territoriali, le diseguaglianze tra le popolazioni e le barriere di accesso si sovrappongono, sì che i soggetti svantaggiati sotto una dimensione sono spesso svantaggiati anche sotto le altre, e che le condizioni che riducono le diseguaglianze sotto una dimensione contribuiscono a ridurle anche sotto le altre. L’impatto distributivo complessivo è dunque la valutazione che compone le tre dimensioni tenendo conto delle loro connessioni, e che ne trae il giudizio d’insieme sulla distribuzione del valore della riforma.</w:t>
      </w:r>
      <w:r>
        <w:rPr>
          <w:color w:val="555555"/>
          <w:sz w:val="16"/>
          <w:szCs w:val="16"/>
          <w:vertAlign w:val="superscript"/>
        </w:rPr>
        <w:t>[15]</w:t>
      </w:r>
    </w:p>
    <w:p w14:paraId="6AE9AA57" w14:textId="77777777" w:rsidR="007C4598" w:rsidRDefault="007C4598"/>
    <w:p w14:paraId="2138C55E" w14:textId="77777777" w:rsidR="007C4598" w:rsidRDefault="00000000">
      <w:pPr>
        <w:jc w:val="both"/>
      </w:pPr>
      <w:r>
        <w:t>La logica dell’impatto distributivo complessivo riflette la struttura distributiva della riforma, in cui le tre dimensioni dell’equità convergono sui medesimi soggetti. La sovrapposizione dei divari, esaminata nelle voci precedenti, fa sì che i soggetti svantaggiati sotto le tre dimensioni siano in larga parte i medesimi: i residenti nelle aree interne, svantaggiati sotto la dimensione territoriale, sono spesso anche anziani e socio-economicamente svantaggiati, e perciò svantaggiati sotto la dimensione delle popolazioni, e digitalmente esclusi, e perciò svantaggiati sotto la dimensione dell’accesso. Questa convergenza delle tre dimensioni sui medesimi soggetti implica che la riforma incide sulla loro condizione attraverso tutte e tre le dimensioni, e che il suo impatto distributivo complessivo dipende dalla capacità di raggiungere questi soggetti sotto tutte e tre le dimensioni. Essa implica, inoltre, che le condizioni che governano le tre dimensioni si rinforzano a vicenda: la distribuzione proporzionale al bisogno, che porta il primo livello nelle aree interne, raggiunge i soggetti socio-economicamente svantaggiati che vi risiedono, contribuendo all’equità tra le popolazioni; l’orientamento attivo ai gruppi svantaggiati, che ne intercetta il bisogno, raggiunge i soggetti residenti nelle aree interne, contribuendo all’equità territoriale; il principio della complementarità, che preserva l’accesso in presenza, garantisce che i soggetti raggiunti sotto le altre dimensioni non siano esclusi dal canale digitale. La logica dell’impatto distributivo complessivo riflette dunque questa convergenza e questo rinforzo reciproco, e ne trae la valutazione d’insieme della distribuzione del valore, che considera le tre dimensioni nella loro connessione.</w:t>
      </w:r>
    </w:p>
    <w:p w14:paraId="19F86112" w14:textId="77777777" w:rsidR="007C4598" w:rsidRDefault="007C4598"/>
    <w:p w14:paraId="68B0B2AC" w14:textId="77777777" w:rsidR="007C4598" w:rsidRDefault="00000000">
      <w:pPr>
        <w:pStyle w:val="Titolo2"/>
        <w:spacing w:before="200" w:after="100"/>
      </w:pPr>
      <w:r>
        <w:rPr>
          <w:sz w:val="22"/>
          <w:szCs w:val="22"/>
        </w:rPr>
        <w:t>12.4.2  La composizione delle tre dimensioni dell’equità</w:t>
      </w:r>
    </w:p>
    <w:p w14:paraId="5DC36718" w14:textId="77777777" w:rsidR="007C4598" w:rsidRDefault="007C4598"/>
    <w:p w14:paraId="2C56F22A" w14:textId="77777777" w:rsidR="007C4598" w:rsidRDefault="00000000">
      <w:pPr>
        <w:jc w:val="both"/>
      </w:pPr>
      <w:r>
        <w:t>La composizione delle tre dimensioni dell’equità in una valutazione d’insieme muove dal riepilogo dell’effetto potenziale della riforma sotto ciascuna dimensione e delle condizioni del suo effetto favorevole. Ciascuna delle tre voci precedenti ha stabilito che la riforma ha, sotto la dimensione corrispondente, un effetto potenziale favorevole — la riduzione dei divari territoriali, la riduzione della diseguaglianza tra le popolazioni, l’ampliamento dell’accesso — condizionato a una condizione del suo verificarsi — la distribuzione proporzionale al bisogno, l’orientamento attivo ai gruppi svantaggiati, il principio della complementarità — e ha individuato il rischio dell’effetto sfavorevole, ove la condizione non si verifichi. La tabella che segue riepiloga, per ciascuna delle tre dimensioni, l’effetto potenziale favorevole, la condizione del suo verificarsi e il rischio dell’effetto sfavorevole, ricomponendo le valutazioni parziali in un quadro d’insieme.</w:t>
      </w:r>
    </w:p>
    <w:p w14:paraId="1E95050F"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5AE845AF"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5EFD515" w14:textId="77777777" w:rsidR="007C4598" w:rsidRDefault="00000000">
            <w:pPr>
              <w:spacing w:after="40"/>
            </w:pPr>
            <w:r>
              <w:rPr>
                <w:b/>
                <w:bCs/>
                <w:color w:val="FFFFFF"/>
                <w:sz w:val="18"/>
                <w:szCs w:val="18"/>
              </w:rPr>
              <w:t>Dimensione dell’equità</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CCE6F27" w14:textId="77777777" w:rsidR="007C4598" w:rsidRDefault="00000000">
            <w:pPr>
              <w:spacing w:after="40"/>
            </w:pPr>
            <w:r>
              <w:rPr>
                <w:b/>
                <w:bCs/>
                <w:color w:val="FFFFFF"/>
                <w:sz w:val="18"/>
                <w:szCs w:val="18"/>
              </w:rPr>
              <w:t>Effetto potenziale favorevole</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68B13EB" w14:textId="77777777" w:rsidR="007C4598" w:rsidRDefault="00000000">
            <w:pPr>
              <w:spacing w:after="40"/>
            </w:pPr>
            <w:r>
              <w:rPr>
                <w:b/>
                <w:bCs/>
                <w:color w:val="FFFFFF"/>
                <w:sz w:val="18"/>
                <w:szCs w:val="18"/>
              </w:rPr>
              <w:t>Condizione dell’effetto favorevole</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087F5A9" w14:textId="77777777" w:rsidR="007C4598" w:rsidRDefault="00000000">
            <w:pPr>
              <w:spacing w:after="40"/>
            </w:pPr>
            <w:r>
              <w:rPr>
                <w:b/>
                <w:bCs/>
                <w:color w:val="FFFFFF"/>
                <w:sz w:val="18"/>
                <w:szCs w:val="18"/>
              </w:rPr>
              <w:t>Rischio dell’effetto sfavorevole</w:t>
            </w:r>
          </w:p>
        </w:tc>
      </w:tr>
      <w:tr w:rsidR="007C4598" w14:paraId="3612A045"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BC63CFE" w14:textId="77777777" w:rsidR="007C4598" w:rsidRDefault="00000000">
            <w:pPr>
              <w:spacing w:after="40"/>
            </w:pPr>
            <w:r>
              <w:t>Equità territoriale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F1E9DC3" w14:textId="77777777" w:rsidR="007C4598" w:rsidRDefault="00000000">
            <w:pPr>
              <w:spacing w:after="40"/>
            </w:pPr>
            <w:r>
              <w:t>Riduzione dei divari tra le aree (primo livello nelle aree interne)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497123C" w14:textId="77777777" w:rsidR="007C4598" w:rsidRDefault="00000000">
            <w:pPr>
              <w:spacing w:after="40"/>
            </w:pPr>
            <w:r>
              <w:t>Distribuzione proporzionale al bisogno; contrasto alla concentrazione urbana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2A3842D" w14:textId="77777777" w:rsidR="007C4598" w:rsidRDefault="00000000">
            <w:pPr>
              <w:spacing w:after="40"/>
            </w:pPr>
            <w:r>
              <w:t>Concentrazione nelle aree urbane; aree interne scoperte</w:t>
            </w:r>
          </w:p>
        </w:tc>
      </w:tr>
      <w:tr w:rsidR="007C4598" w14:paraId="4F29085E"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39B3C74" w14:textId="77777777" w:rsidR="007C4598" w:rsidRDefault="00000000">
            <w:pPr>
              <w:spacing w:after="40"/>
            </w:pPr>
            <w:r>
              <w:t>Equità tra le popolazioni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56AE942" w14:textId="77777777" w:rsidR="007C4598" w:rsidRDefault="00000000">
            <w:pPr>
              <w:spacing w:after="40"/>
            </w:pPr>
            <w:r>
              <w:t>Riduzione della diseguaglianza sociale (accesso dei gruppi svantaggiati)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1836EE2" w14:textId="77777777" w:rsidR="007C4598" w:rsidRDefault="00000000">
            <w:pPr>
              <w:spacing w:after="40"/>
            </w:pPr>
            <w:r>
              <w:t>Orientamento attivo ai gruppi svantaggiati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A4188C7" w14:textId="77777777" w:rsidR="007C4598" w:rsidRDefault="00000000">
            <w:pPr>
              <w:spacing w:after="40"/>
            </w:pPr>
            <w:r>
              <w:t>Fruizione prevalente dei gruppi avvantaggiati</w:t>
            </w:r>
          </w:p>
        </w:tc>
      </w:tr>
      <w:tr w:rsidR="007C4598" w14:paraId="3B91882C"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432E253" w14:textId="77777777" w:rsidR="007C4598" w:rsidRDefault="00000000">
            <w:pPr>
              <w:spacing w:after="40"/>
            </w:pPr>
            <w:r>
              <w:t>Equità di accesso</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F2184BC" w14:textId="77777777" w:rsidR="007C4598" w:rsidRDefault="00000000">
            <w:pPr>
              <w:spacing w:after="40"/>
            </w:pPr>
            <w:r>
              <w:t>Ampliamento dell’accesso (la leva digitale estende la portata)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3EE006F" w14:textId="77777777" w:rsidR="007C4598" w:rsidRDefault="00000000">
            <w:pPr>
              <w:spacing w:after="40"/>
            </w:pPr>
            <w:r>
              <w:t xml:space="preserve">Leva digitale come complemento, non sostituto; </w:t>
            </w:r>
            <w:proofErr w:type="spellStart"/>
            <w:r>
              <w:t>governance</w:t>
            </w:r>
            <w:proofErr w:type="spellEnd"/>
            <w:r>
              <w:t xml:space="preserve"> per l’equità</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C935785" w14:textId="77777777" w:rsidR="007C4598" w:rsidRDefault="00000000">
            <w:pPr>
              <w:spacing w:after="40"/>
            </w:pPr>
            <w:r>
              <w:t>Divario digitale; esclusione dei soggetti digitalmente esclusi</w:t>
            </w:r>
          </w:p>
        </w:tc>
      </w:tr>
    </w:tbl>
    <w:p w14:paraId="5921C764" w14:textId="77777777" w:rsidR="007C4598" w:rsidRDefault="007C4598"/>
    <w:p w14:paraId="7FEB2523" w14:textId="77777777" w:rsidR="007C4598" w:rsidRDefault="00000000">
      <w:pPr>
        <w:jc w:val="both"/>
      </w:pPr>
      <w:r>
        <w:rPr>
          <w:i/>
          <w:iCs/>
        </w:rPr>
        <w:t>Tabella 12.4 — La composizione delle tre dimensioni dell’equità: per ciascuna dimensione, l’effetto potenziale favorevole della riforma, la condizione del suo verificarsi e il rischio dell’effetto sfavorevole. Le tre dimensioni convergono sui medesimi soggetti svantaggiati, e le tre condizioni si rinforzano a vicenda; l’impatto distributivo complessivo favorevole richiede il concorso delle tre condizioni.</w:t>
      </w:r>
    </w:p>
    <w:p w14:paraId="7AFC996F" w14:textId="77777777" w:rsidR="007C4598" w:rsidRDefault="007C4598"/>
    <w:p w14:paraId="479742EA" w14:textId="77777777" w:rsidR="007C4598" w:rsidRDefault="00000000">
      <w:pPr>
        <w:jc w:val="both"/>
      </w:pPr>
      <w:r>
        <w:t>La composizione delle tre dimensioni mostra che l’impatto distributivo complessivo favorevole richiede il concorso delle tre condizioni, e che il difetto di una di esse compromette l’impatto complessivo. Le tre dimensioni dell’equità non sono indipendenti, ma convergono sui medesimi soggetti svantaggiati, e le tre condizioni del loro effetto favorevole si rinforzano a vicenda; ma proprio per questa convergenza, il difetto di una delle condizioni compromette l’impatto distributivo complessivo, perché lascia i soggetti svantaggiati esclusi sotto la dimensione corrispondente, ancorché raggiunti sotto le altre. Ove difettasse la distribuzione proporzionale al bisogno, e la riforma si concentrasse nelle aree urbane, i soggetti residenti nelle aree interne sarebbero esclusi, ancorché la riforma fosse orientata ai gruppi svantaggiati e rispettasse il principio della complementarità; perché i soggetti residenti nelle aree interne non potrebbero accedere al servizio, assente nel loro territorio. Ove difettasse l’orientamento attivo ai gruppi svantaggiati, e la riforma fosse fruita prevalentemente dai gruppi avvantaggiati, i soggetti socio-economicamente svantaggiati sarebbero esclusi, ancorché la riforma fosse distribuita proporzionalmente al bisogno e rispettasse il principio della complementarità; perché i soggetti svantaggiati non esprimerebbero la domanda, pur in presenza del servizio. Ove difettasse il principio della complementarità, e la leva digitale sostituisse l’accesso in presenza, i soggetti digitalmente esclusi sarebbero esclusi, ancorché la riforma fosse distribuita proporzionalmente al bisogno e orientata ai gruppi svantaggiati; perché i soggetti digitalmente esclusi non potrebbero fruire del canale digitale. La composizione delle tre dimensioni mostra dunque che l’impatto distributivo complessivo favorevole richiede il concorso delle tre condizioni, e che esse sono congiuntamente necessarie: ciascuna è necessaria perché i soggetti svantaggiati non siano esclusi sotto la dimensione corrispondente, e il difetto di una compromette l’impatto complessivo, lasciando i soggetti svantaggiati esclusi sotto quella dimensione.</w:t>
      </w:r>
    </w:p>
    <w:p w14:paraId="10EEF423" w14:textId="77777777" w:rsidR="007C4598" w:rsidRDefault="007C4598"/>
    <w:p w14:paraId="3A18901F" w14:textId="77777777" w:rsidR="007C4598" w:rsidRDefault="00000000">
      <w:pPr>
        <w:pStyle w:val="Titolo2"/>
        <w:spacing w:before="200" w:after="100"/>
      </w:pPr>
      <w:r>
        <w:rPr>
          <w:sz w:val="22"/>
          <w:szCs w:val="22"/>
        </w:rPr>
        <w:t>12.4.3  Le condizioni dell’impatto distributivo favorevole</w:t>
      </w:r>
    </w:p>
    <w:p w14:paraId="5B5DD1F2" w14:textId="77777777" w:rsidR="007C4598" w:rsidRDefault="007C4598"/>
    <w:p w14:paraId="394C2534" w14:textId="77777777" w:rsidR="007C4598" w:rsidRDefault="00000000">
      <w:pPr>
        <w:jc w:val="both"/>
      </w:pPr>
      <w:r>
        <w:t xml:space="preserve">Le condizioni dell’impatto distributivo favorevole sono dunque tre, congiuntamente necessarie, e attengono alla distribuzione, all’orientamento e alla modalità di accesso della riforma. La prima condizione è la distribuzione proporzionale al bisogno, che governa la dimensione territoriale: essa richiede che la distribuzione del contingente tra le aree sia governata da un criterio proporzionale al bisogno, e non alla sola popolazione né alla dotazione preesistente, e che il rischio di concentrazione urbana sia contrastato da misure attuative, sì che il primo livello psicologico raggiunga le aree interne. La seconda condizione è l’orientamento attivo ai gruppi svantaggiati, che governa la dimensione delle popolazioni: essa richiede che la riforma sia orientata a raggiungere attivamente i gruppi svantaggiati, intercettandone il bisogno nei contesti che li servono e sollecitandone l’accesso, e non meramente a rendersi disponibile, sì che l’accesso al primo livello sia fruito dai gruppi nei quali il bisogno eccede l’accesso. La terza condizione è il principio della complementarità, che governa la dimensione dell’accesso: essa richiede che la leva digitale sia impiegata come complemento dell’accesso in presenza, e non come suo sostituto, e che la </w:t>
      </w:r>
      <w:proofErr w:type="spellStart"/>
      <w:r>
        <w:t>governance</w:t>
      </w:r>
      <w:proofErr w:type="spellEnd"/>
      <w:r>
        <w:t xml:space="preserve"> per l’equità ne disciplini l’impiego, sì che i soggetti digitalmente esclusi non siano esclusi dal servizio. Le tre condizioni, congiuntamente necessarie, definiscono i requisiti dell’impatto distributivo favorevole: ove esse concorrano, la riforma riduce le diseguaglianze sotto tutte e tre le dimensioni, raggiungendo i soggetti svantaggiati che convergono sotto di esse; ove una difetti, la riforma lascia i soggetti svantaggiati esclusi sotto la dimensione corrispondente, e l’impatto complessivo è compromesso.</w:t>
      </w:r>
      <w:r>
        <w:rPr>
          <w:color w:val="555555"/>
          <w:sz w:val="16"/>
          <w:szCs w:val="16"/>
          <w:vertAlign w:val="superscript"/>
        </w:rPr>
        <w:t>[16]</w:t>
      </w:r>
    </w:p>
    <w:p w14:paraId="393C1222" w14:textId="77777777" w:rsidR="007C4598" w:rsidRDefault="007C4598"/>
    <w:p w14:paraId="50907ED0" w14:textId="77777777" w:rsidR="007C4598" w:rsidRDefault="00000000">
      <w:pPr>
        <w:jc w:val="both"/>
      </w:pPr>
      <w:r>
        <w:t>Le tre condizioni dell’impatto distributivo favorevole non sono indipendenti, ma si rinforzano a vicenda, sì che il loro concorso produce un effetto superiore alla somma dei singoli effetti. La convergenza delle tre dimensioni sui medesimi soggetti svantaggiati implica che le tre condizioni, ove concorrano, agiscono congiuntamente sui medesimi soggetti, rinforzandosi a vicenda. La distribuzione proporzionale al bisogno, che porta il primo livello nelle aree interne, crea la condizione perché l’orientamento attivo ai gruppi svantaggiati possa raggiungere i soggetti socio-economicamente svantaggiati che vi risiedono: senza il presidio nelle aree interne, l’orientamento attivo non avrebbe il mezzo per raggiungere tali soggetti. L’orientamento attivo ai gruppi svantaggiati, che ne intercetta il bisogno, crea la condizione perché il presidio nelle aree interne sia effettivamente fruito: senza l’orientamento attivo, il presidio nelle aree interne potrebbe restare sotto-utilizzato dai soggetti svantaggiati che non esprimono la domanda. Il principio della complementarità, che preserva l’accesso in presenza, crea la condizione perché i soggetti raggiunti sotto le altre dimensioni non siano esclusi dal canale digitale: senza il principio della complementarità, i soggetti raggiunti nelle aree interne e tra i gruppi svantaggiati, spesso digitalmente esclusi, sarebbero esclusi dal canale digitale. Le tre condizioni si rinforzano dunque a vicenda, e il loro concorso produce un effetto superiore alla somma dei singoli effetti, perché ciascuna crea la condizione perché le altre possano agire sui medesimi soggetti. Questo rinforzo reciproco è la ragione per cui l’impatto distributivo favorevole richiede il concorso delle tre condizioni, e per cui esse vanno perseguite congiuntamente, come un insieme coerente di requisiti, e non come misure isolate.</w:t>
      </w:r>
    </w:p>
    <w:p w14:paraId="525DD0F2" w14:textId="77777777" w:rsidR="007C4598" w:rsidRDefault="007C4598"/>
    <w:p w14:paraId="7425B684" w14:textId="77777777" w:rsidR="007C4598" w:rsidRDefault="00000000">
      <w:pPr>
        <w:pStyle w:val="Titolo2"/>
        <w:spacing w:before="200" w:after="100"/>
      </w:pPr>
      <w:r>
        <w:rPr>
          <w:sz w:val="22"/>
          <w:szCs w:val="22"/>
        </w:rPr>
        <w:t>12.4.4  L’impatto distributivo come previsione falsificabile e le raccomandazioni per l’equità</w:t>
      </w:r>
    </w:p>
    <w:p w14:paraId="65D7E7A7" w14:textId="77777777" w:rsidR="007C4598" w:rsidRDefault="007C4598"/>
    <w:p w14:paraId="26DEDBB2" w14:textId="77777777" w:rsidR="007C4598" w:rsidRDefault="00000000">
      <w:pPr>
        <w:jc w:val="both"/>
      </w:pPr>
      <w:r>
        <w:t>L’impatto distributivo complessivo della riforma è formulato come previsione falsificabile, in coerenza con la forma che l’undicesima parte ha dato alle previsioni dello studio. La previsione non afferma incondizionatamente che la riforma ridurrà le diseguaglianze, ma afferma che la riforma ridurrà le diseguaglianze sotto le tre dimensioni dell’equità ove concorrano le tre condizioni dell’impatto distributivo favorevole — la distribuzione proporzionale al bisogno, l’orientamento attivo ai gruppi svantaggiati e il principio della complementarità — e che essa, ove una delle condizioni difetti, lascerà i soggetti svantaggiati esclusi sotto la dimensione corrispondente. La previsione è dunque condizionale, e la sua forma falsificabile risiede nella specificazione delle condizioni e nella loro verificabilità: essa indica le condizioni al verificarsi delle quali la riforma riduce le diseguaglianze, e queste condizioni sono osservabili a riforma attuata, sì che la previsione sia controllabile. La soglia di confutazione della previsione è collocata nell’ipotesi che la riforma accentui le diseguaglianze sotto una o più dimensioni: ove si osservasse, a riforma attuata, che la riforma si è concentrata nelle aree urbane, o è stata fruita prevalentemente dai gruppi avvantaggiati, o ha escluso i soggetti digitalmente esclusi, la previsione favorevole sarebbe smentita, e la riforma si rivelerebbe, sotto la dimensione corrispondente, iniqua. Il metodo di verifica è il monitoraggio della distribuzione effettiva del valore della riforma sotto le tre dimensioni, affidato alla quindicesima parte, che rileverà la distribuzione territoriale degli psicologi, la composizione socio-economica e demografica della popolazione servita e l’accessibilità del servizio attraverso il canale in presenza, e dichiarerà se le tre condizioni si siano verificate e se la riforma abbia ridotto le diseguaglianze.</w:t>
      </w:r>
      <w:r>
        <w:rPr>
          <w:color w:val="555555"/>
          <w:sz w:val="16"/>
          <w:szCs w:val="16"/>
          <w:vertAlign w:val="superscript"/>
        </w:rPr>
        <w:t>[17]</w:t>
      </w:r>
    </w:p>
    <w:p w14:paraId="4E9EEFF7" w14:textId="77777777" w:rsidR="007C4598" w:rsidRDefault="007C4598"/>
    <w:p w14:paraId="4268A854" w14:textId="77777777" w:rsidR="007C4598" w:rsidRDefault="00000000">
      <w:pPr>
        <w:jc w:val="both"/>
      </w:pPr>
      <w:r>
        <w:t xml:space="preserve">Dalla previsione falsificabile dell’impatto distributivo discendono le raccomandazioni per l’equità, che traducono le tre condizioni in indirizzi per l’attuazione e per il monitoraggio. La prima raccomandazione attiene alla distribuzione del contingente: essa raccomanda che la distribuzione degli psicologi tra le aree sia governata da un criterio proporzionale al bisogno, corretto per la struttura demografica, lo svantaggio socio-economico e la dotazione preesistente, e che il rischio di concentrazione urbana sia contrastato da misure attuative — gli incentivi alla collocazione nelle aree interne, l’ancoraggio territoriale, il sostegno all’esercizio nelle aree rade — sì che il primo livello psicologico raggiunga le aree interne. La seconda raccomandazione attiene all’orientamento della riforma: essa raccomanda che la riforma sia orientata a raggiungere attivamente i gruppi svantaggiati, intercettandone il bisogno nei contesti che li servono — la medicina generale, i servizi sociali, i contesti scolastici, i contesti domiciliari — e sollecitandone l’accesso, con attenzione ai gruppi di particolare attenzione individuati. La terza raccomandazione attiene alla leva digitale: essa raccomanda che la leva digitale sia impiegata come complemento dell’accesso in presenza, e non come suo sostituto, e che la </w:t>
      </w:r>
      <w:proofErr w:type="spellStart"/>
      <w:r>
        <w:t>governance</w:t>
      </w:r>
      <w:proofErr w:type="spellEnd"/>
      <w:r>
        <w:t xml:space="preserve"> per l’equità ne disciplini l’impiego — garantendo l’accessibilità attraverso il canale in presenza, commisurando l’impiego digitale alla condizione del soggetto, sostenendo l’alfabetizzazione digitale — sì che i soggetti digitalmente esclusi non siano esclusi. La quarta raccomandazione attiene al monitoraggio: essa raccomanda che il sistema di monitoraggio rilevi la distribuzione effettiva del valore della riforma sotto le tre dimensioni, sì da verificare se le tre condizioni si siano verificate e se la riforma abbia ridotto le diseguaglianze, e da consentire la correzione ove la distribuzione si discosti da quella favorevole all’equità. Le quattro raccomandazioni traducono la previsione falsificabile in indirizzi operativi, la cui attuazione è rimessa alla quattordicesima parte e il cui monitoraggio alla quindicesima.</w:t>
      </w:r>
    </w:p>
    <w:p w14:paraId="440E70F0"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333DE476"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90F7988" w14:textId="77777777" w:rsidR="007C4598" w:rsidRDefault="00000000">
            <w:pPr>
              <w:spacing w:after="40"/>
            </w:pPr>
            <w:r>
              <w:rPr>
                <w:b/>
                <w:bCs/>
                <w:color w:val="FFFFFF"/>
                <w:sz w:val="18"/>
                <w:szCs w:val="18"/>
              </w:rPr>
              <w:t xml:space="preserve">◆ SEGNAPOSTO INFOGRAFICA — 12.D · DA INSERIRE A POSTERIORI Titolo previsto: L’impatto distributivo complessivo e le condizioni dell’effetto favorevole CODICE CANVA-FRIENDLY (scheda di generazione) Tipo di grafico: Schema a tre colonne convergenti, ciascuna corrispondente a una dimensione dell’equità (territoriale; tra le popolazioni; di accesso), con per ciascuna l’effetto potenziale favorevole, la condizione del suo verificarsi e il rischio dell’effetto sfavorevole; le tre colonne convergono in un riquadro conclusivo che rappresenta l’impatto distributivo complessivo, condizionato al concorso delle tre condizioni. Lettura: La convergenza delle tre colonne nel riquadro conclusivo illustra che l’impatto distributivo complessivo favorevole richiede il concorso delle tre condizioni; il riquadro conclusivo reca la previsione falsificabile e la sua soglia di confutazione. Palette: Colonna territoriale in blu medio #244272; colonna delle popolazioni in blu #2E5AA0; colonna dell’accesso in blu chiaro #5B7BB0; riquadro conclusivo con fascia oro #C49A48; condizioni in </w:t>
            </w:r>
            <w:proofErr w:type="spellStart"/>
            <w:r>
              <w:rPr>
                <w:b/>
                <w:bCs/>
                <w:color w:val="FFFFFF"/>
                <w:sz w:val="18"/>
                <w:szCs w:val="18"/>
              </w:rPr>
              <w:t>navy</w:t>
            </w:r>
            <w:proofErr w:type="spellEnd"/>
            <w:r>
              <w:rPr>
                <w:b/>
                <w:bCs/>
                <w:color w:val="FFFFFF"/>
                <w:sz w:val="18"/>
                <w:szCs w:val="18"/>
              </w:rPr>
              <w:t xml:space="preserve"> #16264B; rischi in grigio #D8D8D8. Sfondo: Bianco con gradiente impercettibile verso il crema #F3EAD6 (85% / 15%).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per i titoli;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Light per i contenuti. Dimensioni: 1920 × 1080 </w:t>
            </w:r>
            <w:proofErr w:type="spellStart"/>
            <w:r>
              <w:rPr>
                <w:b/>
                <w:bCs/>
                <w:color w:val="FFFFFF"/>
                <w:sz w:val="18"/>
                <w:szCs w:val="18"/>
              </w:rPr>
              <w:t>px</w:t>
            </w:r>
            <w:proofErr w:type="spellEnd"/>
            <w:r>
              <w:rPr>
                <w:b/>
                <w:bCs/>
                <w:color w:val="FFFFFF"/>
                <w:sz w:val="18"/>
                <w:szCs w:val="18"/>
              </w:rPr>
              <w:t>. Valori da rappresentare: Territoriale: riduzione dei divari / distribuzione proporzionale al bisogno / concentrazione urbana. Popolazioni: riduzione della diseguaglianza / orientamento attivo / fruizione dei gruppi avvantaggiati. Accesso: ampliamento dell’accesso / complementarità / divario digitale. Conclusione: impatto favorevole condizionato al concorso delle tre condizioni. Variante 3D (consigliata): Colonne con leggera estrusione convergenti verso il riquadro conclusivo in rilievo; ombre tenui, senza compromissione della leggibilità dello schema. Fonte (piè di figura): Elaborazione della composizione delle tre dimensioni dell’equità (voci 12.1, 12.2, 12.3); l’impatto distributivo complessivo è una previsione falsificabile condizionata al concorso delle tre condizioni. Figura 12.D — L’impatto distributivo complessivo della riforma e le condizioni dell’effetto favorevole: le tre dimensioni dell’equità convergono in una valutazione d’insieme, condizionata al concorso delle tre condizioni — distribuzione proporzionale al bisogno, orientamento attivo ai gruppi svantaggiati e principio della complementarità — la cui verifica è affidata al monitoraggio.</w:t>
            </w:r>
          </w:p>
          <w:p w14:paraId="61B64825" w14:textId="77777777" w:rsidR="007C4598" w:rsidRDefault="00000000">
            <w:pPr>
              <w:spacing w:before="120" w:after="60"/>
              <w:jc w:val="center"/>
            </w:pPr>
            <w:r>
              <w:rPr>
                <w:noProof/>
              </w:rPr>
              <w:drawing>
                <wp:inline distT="0" distB="0" distL="0" distR="0" wp14:anchorId="4562468D" wp14:editId="66396DDB">
                  <wp:extent cx="8229600" cy="4629150"/>
                  <wp:effectExtent l="0" t="0" r="0" b="0"/>
                  <wp:docPr id="171" name="Infografica71" descr="L'impatto distributivo complessivo e le condizioni dell'effetto favorev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Infografica71"/>
                          <pic:cNvPicPr>
                            <a:picLocks noChangeAspect="1" noChangeArrowheads="1"/>
                          </pic:cNvPicPr>
                        </pic:nvPicPr>
                        <pic:blipFill>
                          <a:blip r:embed="rId131">
                            <a:extLst>
                              <a:ext uri="{96DAC541-7B7A-43D3-8B79-37D633B846F1}">
                                <asvg:svgBlip xmlns:asvg="http://schemas.microsoft.com/office/drawing/2016/SVG/main" r:embed="rId132"/>
                              </a:ext>
                            </a:extLst>
                          </a:blip>
                          <a:stretch>
                            <a:fillRect/>
                          </a:stretch>
                        </pic:blipFill>
                        <pic:spPr bwMode="auto">
                          <a:xfrm>
                            <a:off x="0" y="0"/>
                            <a:ext cx="8229600" cy="4629150"/>
                          </a:xfrm>
                          <a:prstGeom prst="rect">
                            <a:avLst/>
                          </a:prstGeom>
                          <a:noFill/>
                          <a:ln>
                            <a:noFill/>
                          </a:ln>
                        </pic:spPr>
                      </pic:pic>
                    </a:graphicData>
                  </a:graphic>
                </wp:inline>
              </w:drawing>
            </w:r>
          </w:p>
          <w:p w14:paraId="28FAA94E" w14:textId="77777777" w:rsidR="007C4598" w:rsidRDefault="00000000">
            <w:pPr>
              <w:spacing w:before="40" w:after="200"/>
              <w:jc w:val="center"/>
            </w:pPr>
            <w:r>
              <w:rPr>
                <w:i/>
                <w:color w:val="2E5A8F"/>
                <w:sz w:val="16"/>
                <w:szCs w:val="16"/>
              </w:rPr>
              <w:t>Fig. 12.D — L'impatto distributivo complessivo e le condizioni dell'effetto favorevole. Elaborazione dello studio · Luigi De Michele · Giugno 2026.</w:t>
            </w:r>
          </w:p>
        </w:tc>
      </w:tr>
    </w:tbl>
    <w:p w14:paraId="68725583" w14:textId="77777777" w:rsidR="007C4598" w:rsidRDefault="007C4598"/>
    <w:p w14:paraId="054769D8" w14:textId="77777777" w:rsidR="007C4598" w:rsidRDefault="00000000">
      <w:pPr>
        <w:pStyle w:val="Titolo2"/>
        <w:spacing w:before="200" w:after="100"/>
      </w:pPr>
      <w:r>
        <w:rPr>
          <w:sz w:val="22"/>
          <w:szCs w:val="22"/>
        </w:rPr>
        <w:t>12.4.5  La gradazione della qualità, le bande prudenziali, i confini e il raccordo</w:t>
      </w:r>
    </w:p>
    <w:p w14:paraId="1FB4427C" w14:textId="77777777" w:rsidR="007C4598" w:rsidRDefault="007C4598"/>
    <w:p w14:paraId="61675FAB" w14:textId="77777777" w:rsidR="007C4598" w:rsidRDefault="00000000">
      <w:pPr>
        <w:jc w:val="both"/>
      </w:pPr>
      <w:r>
        <w:t>La valutazione dell’impatto distributivo complessivo è graduata, secondo i criteri GRADE, a un livello moderato, che eredita la gradazione delle tre dimensioni che essa compone. Le tre voci precedenti hanno graduato a un livello moderato la valutazione di ciascuna dimensione dell’equità, riflettendo la solidità dell’evidenza sui divari e sulla potenzialità della riforma e l’incertezza sulla realizzazione delle condizioni; e la valutazione dell’impatto distributivo complessivo, che compone le tre dimensioni, eredita questa gradazione. La gradazione moderata riflette la duplice natura della valutazione complessiva: solida nell’identificazione delle tre dimensioni, delle condizioni del loro effetto favorevole e delle loro connessioni, che derivano da un’analisi consolidata dei divari e della loro sovrapposizione; incerta nella realizzazione delle tre condizioni, che dipende dall’attuazione e non è interamente governabile. Essa avverte che l’impatto distributivo favorevole non è un esito garantito della riforma, ma un esito condizionato dal concorso delle tre condizioni, e che la valutazione dell’impatto distributivo complessivo è perciò una valutazione condizionale, che afferma la possibilità della riduzione delle diseguaglianze a determinate condizioni, congiuntamente necessarie, e non la sua certezza incondizionata.</w:t>
      </w:r>
      <w:r>
        <w:rPr>
          <w:color w:val="555555"/>
          <w:sz w:val="16"/>
          <w:szCs w:val="16"/>
          <w:vertAlign w:val="superscript"/>
        </w:rPr>
        <w:t>[18]</w:t>
      </w:r>
    </w:p>
    <w:p w14:paraId="55CE0E0B" w14:textId="77777777" w:rsidR="007C4598" w:rsidRDefault="007C4598"/>
    <w:p w14:paraId="5CFD9D8D" w14:textId="77777777" w:rsidR="007C4598" w:rsidRDefault="00000000">
      <w:pPr>
        <w:jc w:val="both"/>
      </w:pPr>
      <w:r>
        <w:t>La valutazione dell’impatto distributivo complessivo è formulata in bande prudenziali, che compongono le bande delle tre dimensioni. La banda inferiore corrisponde all’ipotesi sfavorevole, in cui una o più delle tre condizioni difettino e la riforma accentui le diseguaglianze sotto le dimensioni corrispondenti; la banda centrale corrisponde all’ipotesi intermedia, in cui le tre condizioni si realizzino parzialmente e la riforma riduca le diseguaglianze in misura parziale; la banda superiore corrisponde all’ipotesi favorevole, in cui le tre condizioni concorrano pienamente e la riforma riduca le diseguaglianze sotto tutte e tre le dimensioni. La banda esprime la gamma degli esiti distributivi complessivi, ciascuno condizionato dal grado di realizzazione delle tre condizioni. La soglia di confutazione, già indicata, è collocata nell’ipotesi che la riforma accentui le diseguaglianze sotto una o più dimensioni, e il metodo di verifica è il monitoraggio della distribuzione effettiva sotto le tre dimensioni. I confini della valutazione ne delimitano la portata: essa compone le tre dimensioni dell’equità esaminate nelle voci precedenti, e non introduce dimensioni ulteriori; essa valuta la distribuzione del valore della riforma, e non la sua entità, stabilita dalle parti precedenti; essa formula l’impatto distributivo come previsione falsificabile condizionata, e non come asserzione incondizionata; essa indica le raccomandazioni per l’equità, ma ne rimette l’attuazione alla quattordicesima parte e il monitoraggio alla quindicesima.</w:t>
      </w:r>
    </w:p>
    <w:p w14:paraId="08921719" w14:textId="77777777" w:rsidR="007C4598" w:rsidRDefault="007C4598"/>
    <w:p w14:paraId="678CCAA2" w14:textId="77777777" w:rsidR="007C4598" w:rsidRDefault="00000000">
      <w:pPr>
        <w:jc w:val="both"/>
      </w:pPr>
      <w:r>
        <w:t xml:space="preserve">La valutazione dell’impatto distributivo complessivo, che chiude la presente parte, si raccorda con le parti successive dello studio, a cui consegna le raccomandazioni per l’equità e la previsione falsificabile dell’impatto distributivo. Il primo raccordo è con la quattordicesima parte, dedicata all’attuazione, a cui la presente parte consegna le raccomandazioni per l’equità — la distribuzione proporzionale al bisogno e il contrasto alla concentrazione urbana, l’orientamento attivo ai gruppi svantaggiati, il principio della complementarità e la </w:t>
      </w:r>
      <w:proofErr w:type="spellStart"/>
      <w:r>
        <w:t>governance</w:t>
      </w:r>
      <w:proofErr w:type="spellEnd"/>
      <w:r>
        <w:t xml:space="preserve"> per l’equità — perché esse siano tradotte in misure attuative. Le condizioni dell’impatto distributivo favorevole, che la presente parte ha individuato, sono condizioni dell’attuazione, e la loro realizzazione dipende dalle misure che la quattordicesima parte stabilirà; sicché la presente parte fornisce alla quattordicesima i requisiti dell’equità, che essa dovrà tradurre in misure. Il secondo raccordo è con la quindicesima parte, dedicata al monitoraggio, a cui la presente parte consegna la previsione falsificabile dell’impatto distributivo e il metodo della sua verifica. La previsione dell’impatto distributivo è una previsione condizionale e falsificabile, la cui verifica richiede il monitoraggio della distribuzione effettiva sotto le tre dimensioni; sicché la presente parte fornisce alla quindicesima la previsione da verificare e gli indicatori della verifica — la distribuzione territoriale degli psicologi, la composizione della popolazione servita, l’accessibilità attraverso il canale in presenza. Con questi due raccordi — alla quattordicesima parte, che ne attuerà le raccomandazioni, e alla quindicesima, che ne verificherà la previsione — la presente parte si inserisce nel disegno complessivo dello studio, di cui costituisce lo sviluppo distributivo, e consegna alle parti successive le raccomandazioni e la previsione che ne sono il risultato. La rinegoziazione integrale dei costi e dei benefici, che muove dalla valutazione del loro valore complessivo e si svolge nello studio della loro distribuzione, trova così, nella presente parte, la propria dimensione distributiva: non soltanto quanto valore la riforma produca, ma a chi quel valore si distribuisca, e a quali condizioni la sua distribuzione riduca le diseguaglianze tra i soggetti.</w:t>
      </w:r>
    </w:p>
    <w:p w14:paraId="1F469DAB" w14:textId="77777777" w:rsidR="007C4598" w:rsidRDefault="007C4598"/>
    <w:p w14:paraId="731B636A" w14:textId="77777777" w:rsidR="007C4598" w:rsidRDefault="00000000">
      <w:pPr>
        <w:pStyle w:val="Titolo1"/>
        <w:pageBreakBefore/>
      </w:pPr>
      <w:r>
        <w:rPr>
          <w:sz w:val="22"/>
          <w:szCs w:val="22"/>
        </w:rPr>
        <w:t>Quadro conclusivo economico-sociale e multidisciplinare integrale</w:t>
      </w:r>
    </w:p>
    <w:p w14:paraId="7CC1BF7B" w14:textId="77777777" w:rsidR="007C4598" w:rsidRDefault="007C4598"/>
    <w:p w14:paraId="2FDBDA21" w14:textId="77777777" w:rsidR="007C4598" w:rsidRDefault="00000000">
      <w:pPr>
        <w:jc w:val="both"/>
      </w:pPr>
      <w:r>
        <w:rPr>
          <w:i/>
          <w:iCs/>
        </w:rPr>
        <w:t>Il quadro conclusivo ricompone i risultati dell’analisi distributiva in una visione d’insieme, e ne trae il significato per la rinegoziazione integrale dei costi e dei benefici. La dodicesima parte ha studiato la distribuzione del valore della riforma tra i territori e tra le popolazioni, valutandone l’equità lungo tre dimensioni — l’equità territoriale, l’equità tra le popolazioni e l’equità di accesso — e ne ha tratto l’impatto distributivo complessivo. Il quadro conclusivo raccoglie questi risultati, ne dichiara il posto nella rinegoziazione integrale, ne mostra la convergenza sulle condizioni dell’impatto distributivo favorevole, ne ribadisce la forma falsificabile e il rispetto della distinzione delle dimensioni, ne illustra il significato multidisciplinare, e ne prepara il raccordo con l’attuazione e con il monitoraggio delle parti successive.</w:t>
      </w:r>
    </w:p>
    <w:p w14:paraId="204BF4FD" w14:textId="77777777" w:rsidR="007C4598" w:rsidRDefault="007C4598"/>
    <w:p w14:paraId="1D024EF3" w14:textId="77777777" w:rsidR="007C4598" w:rsidRDefault="00000000">
      <w:pPr>
        <w:pStyle w:val="Titolo2"/>
        <w:spacing w:before="200" w:after="100"/>
      </w:pPr>
      <w:r>
        <w:rPr>
          <w:sz w:val="22"/>
          <w:szCs w:val="22"/>
        </w:rPr>
        <w:t>La dimensione distributiva del valore e il suo posto nella rinegoziazione integrale</w:t>
      </w:r>
    </w:p>
    <w:p w14:paraId="7C9B8D3A" w14:textId="77777777" w:rsidR="007C4598" w:rsidRDefault="007C4598"/>
    <w:p w14:paraId="7685D8D0" w14:textId="77777777" w:rsidR="007C4598" w:rsidRDefault="00000000">
      <w:pPr>
        <w:jc w:val="both"/>
      </w:pPr>
      <w:r>
        <w:t>Il risultato centrale della dodicesima parte è l’aggiunta della dimensione distributiva alla valutazione del valore della riforma, che le parti precedenti avevano condotto sul piano della sola entità. Le parti precedenti hanno stabilito quanto valore la riforma produce: la decima ne ha stabilito il saldo economico consolidato, l’undicesima ne ha proiettato le grandezze nel tempo e ne ha tratto le previsioni falsificabili. La dodicesima parte ha posto una domanda ulteriore, che le parti precedenti non avevano posto: non quanto valore la riforma produca, ma a chi quel valore si distribuisca, e se la sua distribuzione riduca o accentui le diseguaglianze preesistenti tra le aree della regione e tra i gruppi della popolazione. Questa domanda introduce la dimensione distributiva, distinta dalla dimensione dell’entità: l’entità del valore è la sua grandezza complessiva, la distribuzione è la sua ripartizione tra i soggetti, e le due dimensioni sono autonome, perché un medesimo valore complessivo può distribuirsi in modi diversi, riducendo o accentuando le diseguaglianze. La dodicesima parte ha aggiunto alla valutazione dell’entità la valutazione della distribuzione, e ha così completato la rinegoziazione integrale dei costi e dei benefici con la dimensione che mancava: non soltanto quanto la riforma valga, ma come il suo valore si ripartisca nello spazio sociale.</w:t>
      </w:r>
      <w:r>
        <w:rPr>
          <w:color w:val="555555"/>
          <w:sz w:val="16"/>
          <w:szCs w:val="16"/>
          <w:vertAlign w:val="superscript"/>
        </w:rPr>
        <w:t>[19]</w:t>
      </w:r>
    </w:p>
    <w:p w14:paraId="07DB8F3D" w14:textId="77777777" w:rsidR="007C4598" w:rsidRDefault="007C4598"/>
    <w:p w14:paraId="0D12CB63" w14:textId="77777777" w:rsidR="007C4598" w:rsidRDefault="00000000">
      <w:pPr>
        <w:jc w:val="both"/>
      </w:pPr>
      <w:r>
        <w:t>La dimensione distributiva occupa, nella rinegoziazione integrale, un posto autonomo e necessario, che ne completa il disegno senza sovrapporsi alle dimensioni precedenti. La rinegoziazione integrale dei costi e dei benefici, che attraversa l’intero studio, si è svolta nelle parti precedenti lungo le dimensioni dell’entità — la quantificazione dei costi diretti e indiretti, la quantificazione dei risparmi e dei benefici, la composizione del saldo, la sua proiezione e la sua prova di robustezza. La dimensione distributiva non rifà questa quantificazione, ma vi aggiunge la domanda sulla ripartizione, che essa presuppone: l’analisi distributiva muove dal valore già quantificato, e ne studia la distribuzione, senza accrescerlo né diminuirlo. Il posto della dimensione distributiva nella rinegoziazione integrale è perciò quello di un completamento: essa non compete con le dimensioni dell’entità, ma le presuppone e vi aggiunge la dimensione che esse non comprendevano. La rinegoziazione integrale, senza la dimensione distributiva, avrebbe stabilito quanto la riforma valga, ma non come il suo valore si ripartisca, e sarebbe rimasta perciò incompleta, perché una riforma del primo livello psicologico, destinata a tutta la popolazione, è chiamata a essere non soltanto efficiente ma anche equa, sì da ridurre, e non accentuare, le diseguaglianze nell’accesso alla cura del disagio comune. La dodicesima parte ha colmato questa incompletezza, aggiungendo alla rinegoziazione la dimensione distributiva, e ha così reso integrale, anche sotto il profilo della giustizia distributiva, la valutazione del valore della riforma.</w:t>
      </w:r>
    </w:p>
    <w:p w14:paraId="25115F98" w14:textId="77777777" w:rsidR="007C4598" w:rsidRDefault="007C4598"/>
    <w:p w14:paraId="268D20C3" w14:textId="77777777" w:rsidR="007C4598" w:rsidRDefault="00000000">
      <w:pPr>
        <w:pStyle w:val="Titolo2"/>
        <w:spacing w:before="200" w:after="100"/>
      </w:pPr>
      <w:r>
        <w:rPr>
          <w:sz w:val="22"/>
          <w:szCs w:val="22"/>
        </w:rPr>
        <w:t>La convergenza delle tre dimensioni dell’equità e le condizioni congiuntamente necessarie</w:t>
      </w:r>
    </w:p>
    <w:p w14:paraId="0F2EAAD1" w14:textId="77777777" w:rsidR="007C4598" w:rsidRDefault="007C4598"/>
    <w:p w14:paraId="0C5BBC77" w14:textId="77777777" w:rsidR="007C4598" w:rsidRDefault="00000000">
      <w:pPr>
        <w:jc w:val="both"/>
      </w:pPr>
      <w:r>
        <w:t>La dodicesima parte ha studiato la distribuzione del valore lungo tre dimensioni dell’equità, e ne ha tratto il risultato che esse convergono sui medesimi soggetti svantaggiati. Le tre dimensioni — l’equità territoriale, che attiene alla distribuzione tra le aree; l’equità tra le popolazioni, che attiene alla distribuzione tra i gruppi; l’equità di accesso, che attiene alla possibilità di fruizione in rapporto alla leva digitale — colgono ciascuna un aspetto della distribuzione del valore, ma non operano su soggetti distinti: i divari che esse misurano si sovrappongono, sì che i soggetti svantaggiati sotto una dimensione sono in larga parte i medesimi svantaggiati sotto le altre. I residenti nelle aree interne, svantaggiati sotto la dimensione territoriale per la distanza dai presìdi, sono spesso anche anziani e socio-economicamente svantaggiati, e perciò svantaggiati sotto la dimensione delle popolazioni, e digitalmente esclusi per la minore copertura della rete e la minore competenza, e perciò svantaggiati sotto la dimensione dell’accesso. Questa convergenza delle tre dimensioni sui medesimi soggetti è il risultato fondamentale dell’analisi distributiva, perché essa mostra che le diseguaglianze nella salute mentale non sono diseguaglianze separate, ciascuna confinata alla propria dimensione, ma diseguaglianze cumulate, che gravano congiuntamente sui medesimi soggetti, sommandosi a vicenda. La riforma incide sulla condizione di questi soggetti attraverso tutte e tre le dimensioni, e il suo impatto distributivo complessivo dipende dalla capacità di raggiungerli sotto tutte e tre.</w:t>
      </w:r>
    </w:p>
    <w:p w14:paraId="3659DEF9" w14:textId="77777777" w:rsidR="007C4598" w:rsidRDefault="007C4598"/>
    <w:p w14:paraId="30CBC3B6" w14:textId="77777777" w:rsidR="007C4598" w:rsidRDefault="00000000">
      <w:pPr>
        <w:jc w:val="both"/>
      </w:pPr>
      <w:r>
        <w:t>Dalla convergenza delle tre dimensioni discende il risultato che le condizioni dell’impatto distributivo favorevole sono congiuntamente necessarie e si rinforzano a vicenda. Ciascuna delle tre dimensioni ha una propria condizione dell’effetto favorevole — la distribuzione proporzionale al bisogno per la dimensione territoriale, l’orientamento attivo ai gruppi svantaggiati per la dimensione delle popolazioni, il principio della complementarità per la dimensione dell’accesso — e queste tre condizioni, per la convergenza delle dimensioni, sono congiuntamente necessarie: il difetto di una compromette l’impatto distributivo complessivo, perché lascia i soggetti svantaggiati esclusi sotto la dimensione corrispondente, ancorché raggiunti sotto le altre. Un soggetto residente in un’area interna, socio-economicamente svantaggiato e digitalmente escluso, è raggiunto soltanto ove concorrano tutte e tre le condizioni: la distribuzione proporzionale al bisogno, che porta il presidio nella sua area; l’orientamento attivo, che ne intercetta il bisogno; il principio della complementarità, che gli garantisce l’accesso in presenza nonostante l’esclusione digitale. Ove difettasse una sola condizione, il soggetto resterebbe escluso sotto la dimensione corrispondente, e l’impatto complessivo sarebbe compromesso. Le tre condizioni, oltre a essere congiuntamente necessarie, si rinforzano a vicenda: la distribuzione proporzionale al bisogno crea la condizione perché l’orientamento attivo raggiunga i soggetti svantaggiati nelle aree interne; l’orientamento attivo crea la condizione perché il presidio nelle aree interne sia effettivamente fruito; il principio della complementarità garantisce che i soggetti raggiunti sotto le altre dimensioni non siano esclusi dal canale digitale. Il concorso delle tre condizioni produce perciò un effetto superiore alla somma dei singoli effetti, e le tre condizioni vanno perseguite congiuntamente, come un insieme coerente di requisiti dell’equità.</w:t>
      </w:r>
      <w:r>
        <w:rPr>
          <w:color w:val="555555"/>
          <w:sz w:val="16"/>
          <w:szCs w:val="16"/>
          <w:vertAlign w:val="superscript"/>
        </w:rPr>
        <w:t>[20]</w:t>
      </w:r>
    </w:p>
    <w:p w14:paraId="141FDB03" w14:textId="77777777" w:rsidR="007C4598" w:rsidRDefault="007C4598"/>
    <w:p w14:paraId="2521B6EB" w14:textId="77777777" w:rsidR="007C4598" w:rsidRDefault="00000000">
      <w:pPr>
        <w:pStyle w:val="Titolo2"/>
        <w:spacing w:before="200" w:after="100"/>
      </w:pPr>
      <w:r>
        <w:rPr>
          <w:sz w:val="22"/>
          <w:szCs w:val="22"/>
        </w:rPr>
        <w:t>La forma falsificabile dell’impatto distributivo e la distinzione delle dimensioni del valore</w:t>
      </w:r>
    </w:p>
    <w:p w14:paraId="19730B06" w14:textId="77777777" w:rsidR="007C4598" w:rsidRDefault="007C4598"/>
    <w:p w14:paraId="6D7A9AC0" w14:textId="77777777" w:rsidR="007C4598" w:rsidRDefault="00000000">
      <w:pPr>
        <w:jc w:val="both"/>
      </w:pPr>
      <w:r>
        <w:t>La dodicesima parte ha formulato l’impatto distributivo complessivo come previsione falsificabile, in coerenza con la forma che l’undicesima parte ha dato alle previsioni dello studio. La previsione non afferma incondizionatamente che la riforma ridurrà le diseguaglianze, ma afferma che la riforma le ridurrà sotto le tre dimensioni dell’equità ove concorrano le tre condizioni dell’impatto distributivo favorevole, e che essa, ove una condizione difetti, lascerà i soggetti svantaggiati esclusi sotto la dimensione corrispondente. La previsione è dunque condizionale, e la sua forma falsificabile risiede nella specificazione delle condizioni e nella loro verificabilità: essa indica le condizioni al verificarsi delle quali la riforma riduce le diseguaglianze, e queste condizioni sono osservabili a riforma attuata, attraverso il monitoraggio della distribuzione effettiva del valore sotto le tre dimensioni. La soglia di confutazione è collocata nell’ipotesi che la riforma accentui le diseguaglianze sotto una o più dimensioni: ove si osservasse che la riforma si è concentrata nelle aree urbane, o è stata fruita prevalentemente dai gruppi avvantaggiati, o ha escluso i soggetti digitalmente esclusi, la previsione favorevole sarebbe smentita. La forma falsificabile dell’impatto distributivo è la garanzia che l’analisi distributiva non si risolva in un auspicio di equità, ma in una previsione controllabile, esposta alla verifica dei fatti: la riforma non è dichiarata equa in astratto, ma è prevista equa a determinate condizioni, la cui realizzazione sarà verificata a riforma attuata.</w:t>
      </w:r>
    </w:p>
    <w:p w14:paraId="138FB316" w14:textId="77777777" w:rsidR="007C4598" w:rsidRDefault="007C4598"/>
    <w:p w14:paraId="0AD605B9" w14:textId="77777777" w:rsidR="007C4598" w:rsidRDefault="00000000">
      <w:pPr>
        <w:jc w:val="both"/>
      </w:pPr>
      <w:r>
        <w:t xml:space="preserve">La dodicesima parte ha mantenuto, nell’analisi distributiva, la distinzione tra le tre dimensioni del valore che l’intero studio ha preservato. La distinzione tra le grandezze fiscali dirette, sociali indirette e di salute, che le parti precedenti hanno mantenuto fino al saldo conclusivo senza sommarle in un’unica cifra, è mantenuta anche nell’analisi distributiva: la dodicesima parte studia la distribuzione del valore tra i soggetti, ma non lo fa sommando le dimensioni del valore, bensì studiando come la riforma, nel suo complesso, raggiunga i soggetti svantaggiati. L’analisi distributiva non introduce una nuova grandezza che sommi le dimensioni, né attribuisce a più dimensioni il medesimo valore distributivo, ma studia la ripartizione del valore della riforma — quale le parti precedenti l’hanno stabilito, nelle sue dimensioni distinte — tra i territori e i gruppi. La distinzione delle dimensioni nell’analisi distributiva è coerente con la regola che ha governato l’intero studio: come le dimensioni del valore non sono sommate nella valutazione dell’entità, così non sono sommate nella valutazione della distribuzione, e l’analisi distributiva non gonfia il valore della riforma per somma indebita né per duplicazione, ma ne studia la ripartizione, mantenendo distinte le dimensioni. Il duplice intervallo di </w:t>
      </w:r>
      <w:proofErr w:type="spellStart"/>
      <w:r>
        <w:t>Chisholm</w:t>
      </w:r>
      <w:proofErr w:type="spellEnd"/>
      <w:r>
        <w:t xml:space="preserve"> e il </w:t>
      </w:r>
      <w:proofErr w:type="spellStart"/>
      <w:r>
        <w:t>caveat</w:t>
      </w:r>
      <w:proofErr w:type="spellEnd"/>
      <w:r>
        <w:t xml:space="preserve"> dell’IMPACT trial, che governano le grandezze economiche, sono preservati ove esse sono richiamate, sicché l’analisi distributiva si conforma, anche nella distinzione delle dimensioni e nella preservazione dei vincoli, ai principi che hanno governato l’intero studio.</w:t>
      </w:r>
      <w:r>
        <w:rPr>
          <w:color w:val="555555"/>
          <w:sz w:val="16"/>
          <w:szCs w:val="16"/>
          <w:vertAlign w:val="superscript"/>
        </w:rPr>
        <w:t>[21]</w:t>
      </w:r>
    </w:p>
    <w:p w14:paraId="4FA63C8F" w14:textId="77777777" w:rsidR="007C4598" w:rsidRDefault="007C4598"/>
    <w:p w14:paraId="376E1630" w14:textId="77777777" w:rsidR="007C4598" w:rsidRDefault="00000000">
      <w:pPr>
        <w:pStyle w:val="Titolo2"/>
        <w:spacing w:before="200" w:after="100"/>
      </w:pPr>
      <w:r>
        <w:rPr>
          <w:sz w:val="22"/>
          <w:szCs w:val="22"/>
        </w:rPr>
        <w:t>Il significato multidisciplinare dell’analisi distributiva</w:t>
      </w:r>
    </w:p>
    <w:p w14:paraId="1555F9EB" w14:textId="77777777" w:rsidR="007C4598" w:rsidRDefault="007C4598"/>
    <w:p w14:paraId="1E6174FB" w14:textId="77777777" w:rsidR="007C4598" w:rsidRDefault="00000000">
      <w:pPr>
        <w:jc w:val="both"/>
      </w:pPr>
      <w:r>
        <w:t>L’analisi distributiva ha un significato multidisciplinare, perché le tre dimensioni dell’equità che essa esamina attingono a domini distinti del sapere e dell’azione, che la riforma compone. La dimensione territoriale dell’equità attinge alla geografia dei servizi e alla questione delle aree interne, che attiene al dominio della coesione territoriale e dello sviluppo regionale: la distribuzione del primo livello psicologico tra le aree della regione è una questione non soltanto sanitaria, ma di riequilibrio territoriale, che si inscrive nella più ampia questione del divario tra le aree urbane e le aree interne, oggetto di una strategia nazionale dedicata. La dimensione delle popolazioni dell’equità attinge alla sociologia delle diseguaglianze di salute e ai determinanti sociali del disagio, che attiene al dominio sociale, economico e del welfare: la distribuzione del valore tra i gruppi della popolazione è una questione di giustizia sociale, che si inscrive nella più ampia questione del gradiente sociale della salute e della legge per cui l’assistenza tende a variare in ragione inversa al bisogno. La dimensione dell’accesso dell’equità attinge alla questione del divario digitale e dell’inclusione tecnologica, che attiene al dominio della cittadinanza digitale e dell’innovazione: l’impiego della leva digitale è una questione non soltanto tecnologica, ma di inclusione, che si inscrive nella più ampia questione del divario tra chi dispone degli strumenti e delle competenze digitali e chi ne è privo. L’analisi distributiva compone dunque domini distinti — la coesione territoriale, la giustizia sociale, l’inclusione digitale — e ne mostra la convergenza nella riforma del primo livello psicologico, che incide su tutti, e la cui equità dipende dalla capacità di operare in tutti.</w:t>
      </w:r>
    </w:p>
    <w:p w14:paraId="1BD17509" w14:textId="77777777" w:rsidR="007C4598" w:rsidRDefault="007C4598"/>
    <w:p w14:paraId="4D83A86B" w14:textId="77777777" w:rsidR="007C4598" w:rsidRDefault="00000000">
      <w:pPr>
        <w:jc w:val="both"/>
      </w:pPr>
      <w:r>
        <w:t>Il significato multidisciplinare dell’analisi distributiva mostra che l’equità della riforma è una questione che eccede il dominio sanitario, e che la sua realizzazione richiede l’azione su domini molteplici. La riduzione delle diseguaglianze nella salute mentale non si consegue con la sola erogazione del servizio sanitario, ma richiede l’azione sui fattori che governano le tre dimensioni dell’equità, i quali appartengono a domini distinti. La riduzione del divario territoriale richiede l’azione sulla coesione territoriale — la distribuzione delle risorse secondo il bisogno, il contrasto alla concentrazione urbana, il rafforzamento dei servizi nelle aree interne — che attinge alle politiche di sviluppo regionale. La riduzione della diseguaglianza tra le popolazioni richiede l’azione sui determinanti sociali e sulle barriere all’accesso — l’orientamento attivo ai gruppi svantaggiati, l’intercettazione del bisogno nei contesti che li servono — che attinge alle politiche sociali e del welfare. La riduzione del divario di accesso richiede l’azione sull’inclusione digitale — il principio della complementarità, il sostegno all’alfabetizzazione digitale — che attinge alle politiche di cittadinanza digitale. L’analisi distributiva mostra dunque che l’equità della riforma è una questione multidisciplinare integrale, che eccede il dominio sanitario e richiede l’azione coordinata su domini molteplici; e ciò conferma la natura della riforma quale lo studio l’ha concepita: non un intervento confinato al dominio sanitario, ma un intervento che incide su una pluralità di domini, e la cui equità, come la cui efficacia, dipende dalla capacità di operare in tutti.</w:t>
      </w:r>
    </w:p>
    <w:p w14:paraId="4EE0FC05" w14:textId="77777777" w:rsidR="007C4598" w:rsidRDefault="007C4598"/>
    <w:p w14:paraId="28311BEB" w14:textId="77777777" w:rsidR="007C4598" w:rsidRDefault="00000000">
      <w:pPr>
        <w:pStyle w:val="Titolo2"/>
        <w:spacing w:before="200" w:after="100"/>
      </w:pPr>
      <w:r>
        <w:rPr>
          <w:sz w:val="22"/>
          <w:szCs w:val="22"/>
        </w:rPr>
        <w:t>Il raccordo con l’attuazione e con il monitoraggio</w:t>
      </w:r>
    </w:p>
    <w:p w14:paraId="7F08C083" w14:textId="77777777" w:rsidR="007C4598" w:rsidRDefault="007C4598"/>
    <w:p w14:paraId="0DCE5FFF" w14:textId="77777777" w:rsidR="007C4598" w:rsidRDefault="00000000">
      <w:pPr>
        <w:jc w:val="both"/>
      </w:pPr>
      <w:r>
        <w:t xml:space="preserve">L’analisi distributiva, che chiude la dodicesima parte, si raccorda con le parti successive dello studio, a cui consegna le raccomandazioni per l’equità e la previsione falsificabile dell’impatto distributivo. Il primo raccordo è con la quattordicesima parte, dedicata all’attuazione, a cui la dodicesima parte consegna le raccomandazioni per l’equità: la distribuzione proporzionale al bisogno e il contrasto alla concentrazione urbana, l’orientamento attivo ai gruppi svantaggiati, il principio della complementarità e la </w:t>
      </w:r>
      <w:proofErr w:type="spellStart"/>
      <w:r>
        <w:t>governance</w:t>
      </w:r>
      <w:proofErr w:type="spellEnd"/>
      <w:r>
        <w:t xml:space="preserve"> per l’equità, il monitoraggio della distribuzione. Le condizioni dell’impatto distributivo favorevole, che la dodicesima parte ha individuato, sono condizioni dell’attuazione, e la loro realizzazione dipende dalle misure che la quattordicesima parte stabilirà — gli incentivi alla collocazione nelle aree interne, le modalità dell’orientamento attivo, le misure della </w:t>
      </w:r>
      <w:proofErr w:type="spellStart"/>
      <w:r>
        <w:t>governance</w:t>
      </w:r>
      <w:proofErr w:type="spellEnd"/>
      <w:r>
        <w:t xml:space="preserve"> per l’equità. La dodicesima parte fornisce dunque alla quattordicesima i requisiti dell’equità, che essa dovrà tradurre in misure attuative, sì che le condizioni dell’impatto distributivo favorevole si realizzino. Senza l’attuazione, le raccomandazioni per l’equità resterebbero indirizzi privi di realizzazione; con l’attuazione, esse divengono misure che governano la distribuzione del valore della riforma.</w:t>
      </w:r>
    </w:p>
    <w:p w14:paraId="41457D99" w14:textId="77777777" w:rsidR="007C4598" w:rsidRDefault="007C4598"/>
    <w:p w14:paraId="21F026C2" w14:textId="77777777" w:rsidR="007C4598" w:rsidRDefault="00000000">
      <w:pPr>
        <w:jc w:val="both"/>
      </w:pPr>
      <w:r>
        <w:t>Il secondo raccordo è con la quindicesima parte, dedicata al monitoraggio e alla valutazione ex-post, a cui la dodicesima parte consegna la previsione falsificabile dell’impatto distributivo e il metodo della sua verifica. La previsione dell’impatto distributivo è una previsione condizionale e falsificabile, la cui verifica richiede il monitoraggio della distribuzione effettiva del valore sotto le tre dimensioni: la distribuzione territoriale degli psicologi, per la dimensione territoriale; la composizione socio-economica, demografica e di fragilità della popolazione servita, per la dimensione delle popolazioni; l’accessibilità del servizio attraverso il canale in presenza e l’impiego della leva digitale, per la dimensione dell’accesso. La quindicesima parte assumerà la previsione e gli indicatori della verifica, e ne condurrà il riscontro: confronterà la distribuzione osservata con quella favorevole all’equità, e dichiarerà se le tre condizioni si siano verificate e se la riforma abbia ridotto le diseguaglianze; e, ove la distribuzione si discosti da quella favorevole, consentirà la correzione, sì che la riforma sia ricondotta verso l’equità. La falsificabilità dell’impatto distributivo, che la dodicesima parte ha stabilito, trova dunque nella quindicesima parte il suo compimento: senza la verifica, la previsione resterebbe controllabile ma non controllata; con la verifica, essa diviene controllata, e l’equità della riforma cessa di essere una previsione per divenire un esito accertato. Con questi due raccordi — alla quattordicesima parte, che ne attuerà le raccomandazioni, e alla quindicesima, che ne verificherà la previsione — la dodicesima parte si inserisce nel disegno complessivo dello studio, di cui costituisce lo sviluppo distributivo, e consegna alle parti successive le raccomandazioni e la previsione che ne sono il risultato.</w:t>
      </w:r>
    </w:p>
    <w:p w14:paraId="150BA198" w14:textId="77777777" w:rsidR="007C4598" w:rsidRDefault="007C4598"/>
    <w:p w14:paraId="7A42F1C6" w14:textId="77777777" w:rsidR="007C4598" w:rsidRDefault="00000000">
      <w:pPr>
        <w:pStyle w:val="Titolo1"/>
        <w:pageBreakBefore/>
      </w:pPr>
      <w:r>
        <w:rPr>
          <w:sz w:val="22"/>
          <w:szCs w:val="22"/>
        </w:rPr>
        <w:t>Conclusione</w:t>
      </w:r>
    </w:p>
    <w:p w14:paraId="7542238D" w14:textId="77777777" w:rsidR="007C4598" w:rsidRDefault="007C4598"/>
    <w:p w14:paraId="055AC459" w14:textId="77777777" w:rsidR="007C4598" w:rsidRDefault="00000000">
      <w:pPr>
        <w:jc w:val="both"/>
      </w:pPr>
      <w:r>
        <w:rPr>
          <w:i/>
          <w:iCs/>
        </w:rPr>
        <w:t>La conclusione raccoglie quanto la dodicesima parte ha stabilito, ne ribadisce il carattere condizionale e falsificabile e ne dichiara il rapporto con le parti che seguono. La parte ha studiato la distribuzione del valore della riforma tra i territori e tra le popolazioni, valutandone l’equità lungo tre dimensioni e traendone l’impatto distributivo complessivo; e ha così aggiunto alla valutazione del valore la dimensione distributiva, che le parti precedenti non avevano esaminato, completando la rinegoziazione integrale dei costi e dei benefici con la dimensione della giustizia distributiva.</w:t>
      </w:r>
    </w:p>
    <w:p w14:paraId="062B4202" w14:textId="77777777" w:rsidR="007C4598" w:rsidRDefault="007C4598"/>
    <w:p w14:paraId="448FF8A1" w14:textId="77777777" w:rsidR="007C4598" w:rsidRDefault="00000000">
      <w:pPr>
        <w:jc w:val="both"/>
      </w:pPr>
      <w:r>
        <w:t>La dodicesima parte ha stabilito la valutazione distributiva della riforma del Servizio di Psicologia di Base in Puglia. Essa ha assunto il valore della riforma, stabilito e proiettato dalle parti precedenti, e ne ha studiato la distribuzione nello spazio sociale, ponendo la domanda sull’equità che le parti precedenti non avevano posto: non quanto valore la riforma produca, ma a chi quel valore si distribuisca, e se la sua distribuzione riduca o accentui le diseguaglianze preesistenti. La parte ha studiato la distribuzione del valore lungo tre dimensioni dell’equità. L’equità territoriale, che attiene alla distribuzione tra le aree, ha mostrato che la riforma può ridurre i divari tra le aree urbane e le aree interne, ove la distribuzione del contingente sia governata da un criterio proporzionale al bisogno e il rischio di concentrazione urbana sia contrastato. L’equità tra le popolazioni, che attiene alla distribuzione tra i gruppi, ha mostrato che la riforma può ridurre la diseguaglianza sociale nella salute mentale, ove sia attivamente orientata a raggiungere i gruppi svantaggiati, nei quali il bisogno eccede l’accesso. L’equità di accesso, che attiene alla possibilità di fruizione in rapporto alla leva digitale, ha mostrato che la riforma può ampliare l’accesso senza escludere i soggetti digitalmente esclusi, ove la leva digitale sia impiegata come complemento dell’accesso in presenza secondo il principio della complementarità.</w:t>
      </w:r>
    </w:p>
    <w:p w14:paraId="62421147" w14:textId="77777777" w:rsidR="007C4598" w:rsidRDefault="007C4598"/>
    <w:p w14:paraId="1B9DB400" w14:textId="77777777" w:rsidR="007C4598" w:rsidRDefault="00000000">
      <w:pPr>
        <w:jc w:val="both"/>
      </w:pPr>
      <w:r>
        <w:t xml:space="preserve">Il risultato fondamentale della parte è la convergenza delle tre dimensioni dell’equità sui medesimi soggetti svantaggiati, e la conseguente necessità congiunta delle tre condizioni dell’impatto distributivo favorevole. I divari territoriali, le diseguaglianze tra le popolazioni e le barriere di accesso si sovrappongono, sì che i soggetti svantaggiati sotto le tre dimensioni sono in larga parte i medesimi: i residenti nelle aree interne, anziani, socio-economicamente svantaggiati e digitalmente esclusi. La riforma incide sulla loro condizione attraverso tutte e tre le dimensioni, e il suo impatto distributivo favorevole richiede il concorso delle tre condizioni — la distribuzione proporzionale al bisogno, l’orientamento attivo ai gruppi svantaggiati e il principio della complementarità — congiuntamente necessarie, perché il difetto di una sola lascia i soggetti svantaggiati esclusi sotto la dimensione corrispondente, ancorché raggiunti sotto le altre. Le tre condizioni, oltre a essere congiuntamente necessarie, si rinforzano a vicenda, sì che il loro concorso produce un effetto superiore alla somma dei singoli effetti; e vanno perciò perseguite congiuntamente, come un insieme coerente di requisiti dell’equità. La parte ha tratto da questo risultato le raccomandazioni per l’equità — la distribuzione proporzionale al bisogno, l’orientamento attivo ai gruppi svantaggiati, il principio della complementarità e la </w:t>
      </w:r>
      <w:proofErr w:type="spellStart"/>
      <w:r>
        <w:t>governance</w:t>
      </w:r>
      <w:proofErr w:type="spellEnd"/>
      <w:r>
        <w:t xml:space="preserve"> per l’equità, il monitoraggio della distribuzione — che traducono le tre condizioni in indirizzi per l’attuazione e per il monitoraggio.</w:t>
      </w:r>
    </w:p>
    <w:p w14:paraId="0C0F2A5C" w14:textId="77777777" w:rsidR="007C4598" w:rsidRDefault="007C4598"/>
    <w:p w14:paraId="3CD8D467" w14:textId="77777777" w:rsidR="007C4598" w:rsidRDefault="00000000">
      <w:pPr>
        <w:jc w:val="both"/>
      </w:pPr>
      <w:r>
        <w:t xml:space="preserve">Il rigore di questo risultato risiede nella sua forma condizionale e falsificabile, e nella distinzione delle dimensioni che la parte ha mantenuto. L’impatto distributivo è formulato come previsione falsificabile, in coerenza con la forma delle previsioni dell’undicesima parte: la riforma riduce le diseguaglianze ove concorrano le tre condizioni, e la previsione è smentita ove la riforma accentui le diseguaglianze sotto una o più dimensioni. La previsione non è dunque un auspicio di equità, ma un enunciato controllabile, corredato delle condizioni e del metodo della loro verifica, esposto alla verifica dei fatti. La parte ha mantenuto, nell’analisi distributiva, la distinzione tra le tre dimensioni del valore che l’intero studio ha preservato: essa studia la distribuzione del valore senza sommare le dimensioni, e preserva il duplice intervallo di </w:t>
      </w:r>
      <w:proofErr w:type="spellStart"/>
      <w:r>
        <w:t>Chisholm</w:t>
      </w:r>
      <w:proofErr w:type="spellEnd"/>
      <w:r>
        <w:t xml:space="preserve"> e il </w:t>
      </w:r>
      <w:proofErr w:type="spellStart"/>
      <w:r>
        <w:t>caveat</w:t>
      </w:r>
      <w:proofErr w:type="spellEnd"/>
      <w:r>
        <w:t xml:space="preserve"> dell’IMPACT trial ove le grandezze economiche sono richiamate. La forma falsificabile e la distinzione delle dimensioni fanno della valutazione distributiva una valutazione rigorosa, fedele ai principi dello studio, che afferma la possibilità della riduzione delle diseguaglianze a determinate condizioni, e non la sua certezza incondizionata.</w:t>
      </w:r>
      <w:r>
        <w:rPr>
          <w:color w:val="555555"/>
          <w:sz w:val="16"/>
          <w:szCs w:val="16"/>
          <w:vertAlign w:val="superscript"/>
        </w:rPr>
        <w:t>[22]</w:t>
      </w:r>
    </w:p>
    <w:p w14:paraId="65594A1C" w14:textId="77777777" w:rsidR="007C4598" w:rsidRDefault="007C4598"/>
    <w:p w14:paraId="2D7CF415" w14:textId="77777777" w:rsidR="007C4598" w:rsidRDefault="00000000">
      <w:pPr>
        <w:jc w:val="both"/>
      </w:pPr>
      <w:r>
        <w:t>La dodicesima parte completa così la rinegoziazione integrale dei costi e dei benefici con la dimensione distributiva, e consegna alle parti successive le raccomandazioni e la previsione che ne sono il risultato. La quattordicesima parte, dedicata all’attuazione, assumerà le raccomandazioni per l’equità, e dovrà tradurle in misure attuative, sì che le condizioni dell’impatto distributivo favorevole si realizzino. La quindicesima parte, dedicata al monitoraggio, assumerà la previsione falsificabile dell’impatto distributivo, e dovrà verificarla, monitorando la distribuzione effettiva del valore sotto le tre dimensioni, e consentendo la correzione ove la distribuzione si discosti da quella favorevole all’equità. La valutazione distributiva stabilita da questa parte — la distribuzione del valore della riforma studiata lungo le tre dimensioni dell’equità, la convergenza delle dimensioni sui medesimi soggetti, la necessità congiunta delle tre condizioni dell’impatto favorevole — è dunque il risultato distributivo su cui le parti successive innesteranno l’attuazione e il monitoraggio. Con essa, la rinegoziazione integrale dei costi e dei benefici trova la propria dimensione distributiva, e la riforma del primo livello psicologico in Puglia trova la propria valutazione di equità: non soltanto efficiente, ma equa a determinate condizioni, sì da ridurre, e non accentuare, le diseguaglianze nell’accesso alla cura del disagio comune, fondata sul rigore della forma falsificabile, della distinzione delle dimensioni e del concorso congiunto delle condizioni dell’equità.</w:t>
      </w:r>
    </w:p>
    <w:p w14:paraId="2DAC904A" w14:textId="77777777" w:rsidR="007C4598" w:rsidRDefault="007C4598"/>
    <w:p w14:paraId="5028255F" w14:textId="77777777" w:rsidR="007C4598" w:rsidRDefault="00000000">
      <w:pPr>
        <w:pStyle w:val="Titolo1"/>
        <w:pageBreakBefore/>
      </w:pPr>
      <w:r>
        <w:rPr>
          <w:sz w:val="22"/>
          <w:szCs w:val="22"/>
        </w:rPr>
        <w:t>Note bibliografiche integrali</w:t>
      </w:r>
    </w:p>
    <w:p w14:paraId="2F2E9A16" w14:textId="77777777" w:rsidR="007C4598" w:rsidRDefault="007C4598"/>
    <w:p w14:paraId="29D9F90A" w14:textId="77777777" w:rsidR="007C4598" w:rsidRDefault="00000000">
      <w:pPr>
        <w:jc w:val="both"/>
      </w:pPr>
      <w:r>
        <w:rPr>
          <w:i/>
          <w:iCs/>
        </w:rPr>
        <w:t>Le note bibliografiche integrali raccolgono le fonti su cui l’analisi distributiva di questa parte si fonda, ciascuna corredata di un mini-riassunto che ne dichiara il contenuto e la pertinenza. Le fonti attengono ai concetti e ai principi dell’equità nella salute, alla legge dell’assistenza inversa e all’ipotesi dell’iniquità inversa, ai determinanti sociali della salute mentale, alla questione delle aree interne e del divario digitale, e all’evidenza economica che àncora la valutazione del valore di cui la parte studia la distribuzione.</w:t>
      </w:r>
    </w:p>
    <w:p w14:paraId="2A33AD35" w14:textId="77777777" w:rsidR="007C4598" w:rsidRDefault="007C4598"/>
    <w:p w14:paraId="1B88830D" w14:textId="77777777" w:rsidR="007C4598" w:rsidRDefault="00000000">
      <w:pPr>
        <w:jc w:val="both"/>
      </w:pPr>
      <w:r>
        <w:rPr>
          <w:b/>
          <w:bCs/>
        </w:rPr>
        <w:t xml:space="preserve">▪  </w:t>
      </w:r>
      <w:r>
        <w:t xml:space="preserve">Tudor </w:t>
      </w:r>
      <w:proofErr w:type="spellStart"/>
      <w:r>
        <w:t>Hart</w:t>
      </w:r>
      <w:proofErr w:type="spellEnd"/>
      <w:r>
        <w:t xml:space="preserve"> J., «The Inverse Care Law», The Lancet, vol. 297, n. 7696, 1971, pp. 405–412.</w:t>
      </w:r>
    </w:p>
    <w:p w14:paraId="5F18576C" w14:textId="77777777" w:rsidR="007C4598" w:rsidRDefault="007C4598"/>
    <w:p w14:paraId="43DEB1EF" w14:textId="77777777" w:rsidR="007C4598" w:rsidRDefault="00000000">
      <w:pPr>
        <w:jc w:val="both"/>
      </w:pPr>
      <w:r>
        <w:rPr>
          <w:i/>
          <w:iCs/>
        </w:rPr>
        <w:t>Mini-riassunto. È il saggio che enuncia la legge dell’assistenza inversa, secondo cui la disponibilità di una buona assistenza sanitaria tende a variare in ragione inversa al bisogno della popolazione servita, sì che i gruppi più bisognosi ricevono un’assistenza minore; essa fonda, nella seconda voce di questa parte, il monito per cui la riforma, ove non attivamente orientata ai gruppi svantaggiati, rischia di riprodurre la tendenza per cui l’assistenza segue i fattori associati al minore bisogno, beneficiando i gruppi avvantaggiati.</w:t>
      </w:r>
    </w:p>
    <w:p w14:paraId="515D06A6" w14:textId="77777777" w:rsidR="007C4598" w:rsidRDefault="007C4598"/>
    <w:p w14:paraId="78D4EC90" w14:textId="77777777" w:rsidR="007C4598" w:rsidRDefault="00000000">
      <w:pPr>
        <w:jc w:val="both"/>
      </w:pPr>
      <w:r>
        <w:rPr>
          <w:b/>
          <w:bCs/>
        </w:rPr>
        <w:t xml:space="preserve">▪  </w:t>
      </w:r>
      <w:proofErr w:type="spellStart"/>
      <w:r>
        <w:t>Victora</w:t>
      </w:r>
      <w:proofErr w:type="spellEnd"/>
      <w:r>
        <w:t xml:space="preserve"> C. G., </w:t>
      </w:r>
      <w:proofErr w:type="spellStart"/>
      <w:r>
        <w:t>Vaughan</w:t>
      </w:r>
      <w:proofErr w:type="spellEnd"/>
      <w:r>
        <w:t xml:space="preserve"> J. P., Barros F. C., Silva A. C., Tomasi E., «</w:t>
      </w:r>
      <w:proofErr w:type="spellStart"/>
      <w:r>
        <w:t>Explaining</w:t>
      </w:r>
      <w:proofErr w:type="spellEnd"/>
      <w:r>
        <w:t xml:space="preserve"> trends in </w:t>
      </w:r>
      <w:proofErr w:type="spellStart"/>
      <w:r>
        <w:t>inequities</w:t>
      </w:r>
      <w:proofErr w:type="spellEnd"/>
      <w:r>
        <w:t xml:space="preserve">: </w:t>
      </w:r>
      <w:proofErr w:type="spellStart"/>
      <w:r>
        <w:t>evidence</w:t>
      </w:r>
      <w:proofErr w:type="spellEnd"/>
      <w:r>
        <w:t xml:space="preserve"> from </w:t>
      </w:r>
      <w:proofErr w:type="spellStart"/>
      <w:r>
        <w:t>Brazilian</w:t>
      </w:r>
      <w:proofErr w:type="spellEnd"/>
      <w:r>
        <w:t xml:space="preserve"> </w:t>
      </w:r>
      <w:proofErr w:type="spellStart"/>
      <w:r>
        <w:t>child</w:t>
      </w:r>
      <w:proofErr w:type="spellEnd"/>
      <w:r>
        <w:t xml:space="preserve"> </w:t>
      </w:r>
      <w:proofErr w:type="spellStart"/>
      <w:r>
        <w:t>health</w:t>
      </w:r>
      <w:proofErr w:type="spellEnd"/>
      <w:r>
        <w:t xml:space="preserve"> </w:t>
      </w:r>
      <w:proofErr w:type="spellStart"/>
      <w:r>
        <w:t>studies</w:t>
      </w:r>
      <w:proofErr w:type="spellEnd"/>
      <w:r>
        <w:t>», The Lancet, vol. 356, n. 9235, 2000, pp. 1093–1098.</w:t>
      </w:r>
    </w:p>
    <w:p w14:paraId="1B843D7C" w14:textId="77777777" w:rsidR="007C4598" w:rsidRDefault="007C4598"/>
    <w:p w14:paraId="3B378A8D" w14:textId="77777777" w:rsidR="007C4598" w:rsidRDefault="00000000">
      <w:pPr>
        <w:jc w:val="both"/>
      </w:pPr>
      <w:r>
        <w:rPr>
          <w:i/>
          <w:iCs/>
        </w:rPr>
        <w:t>Mini-riassunto. È lo studio che formula l’ipotesi dell’iniquità inversa, secondo cui le nuove politiche e tecnologie sanitarie tendono a beneficiare dapprima i gruppi avvantaggiati e solo successivamente i gruppi svantaggiati, sì che le diseguaglianze possono dapprima ampliarsi prima di restringersi; essa fonda, nella seconda voce di questa parte, il monito a non interpretare l’eventuale ampliamento iniziale della diseguaglianza come esito definitivo e a orientare la riforma ad accelerare il raggiungimento dei gruppi svantaggiati.</w:t>
      </w:r>
    </w:p>
    <w:p w14:paraId="5CCB0828" w14:textId="77777777" w:rsidR="007C4598" w:rsidRDefault="007C4598"/>
    <w:p w14:paraId="7404C490" w14:textId="77777777" w:rsidR="007C4598" w:rsidRDefault="00000000">
      <w:pPr>
        <w:jc w:val="both"/>
      </w:pPr>
      <w:r>
        <w:rPr>
          <w:b/>
          <w:bCs/>
        </w:rPr>
        <w:t xml:space="preserve">▪  </w:t>
      </w:r>
      <w:r>
        <w:t xml:space="preserve">Whitehead M., «The </w:t>
      </w:r>
      <w:proofErr w:type="spellStart"/>
      <w:r>
        <w:t>concepts</w:t>
      </w:r>
      <w:proofErr w:type="spellEnd"/>
      <w:r>
        <w:t xml:space="preserve"> and </w:t>
      </w:r>
      <w:proofErr w:type="spellStart"/>
      <w:r>
        <w:t>principles</w:t>
      </w:r>
      <w:proofErr w:type="spellEnd"/>
      <w:r>
        <w:t xml:space="preserve"> of </w:t>
      </w:r>
      <w:proofErr w:type="spellStart"/>
      <w:r>
        <w:t>equity</w:t>
      </w:r>
      <w:proofErr w:type="spellEnd"/>
      <w:r>
        <w:t xml:space="preserve"> and </w:t>
      </w:r>
      <w:proofErr w:type="spellStart"/>
      <w:r>
        <w:t>health</w:t>
      </w:r>
      <w:proofErr w:type="spellEnd"/>
      <w:r>
        <w:t xml:space="preserve">», International Journal of </w:t>
      </w:r>
      <w:proofErr w:type="spellStart"/>
      <w:r>
        <w:t>Health</w:t>
      </w:r>
      <w:proofErr w:type="spellEnd"/>
      <w:r>
        <w:t xml:space="preserve"> Services, vol. 22, n. 3, 1992, pp. 429–445.</w:t>
      </w:r>
    </w:p>
    <w:p w14:paraId="75F5C6F0" w14:textId="77777777" w:rsidR="007C4598" w:rsidRDefault="007C4598"/>
    <w:p w14:paraId="70DDE457" w14:textId="77777777" w:rsidR="007C4598" w:rsidRDefault="00000000">
      <w:pPr>
        <w:jc w:val="both"/>
      </w:pPr>
      <w:r>
        <w:rPr>
          <w:i/>
          <w:iCs/>
        </w:rPr>
        <w:t>Mini-riassunto. È il saggio che definisce i concetti e i principi dell’equità nella salute, distinguendo le diseguaglianze evitabili e ingiuste, che costituiscono iniquità, dalle differenze inevitabili; esso fornisce la cornice concettuale entro cui questa parte distingue l’equità dall’efficienza e valuta se la distribuzione del valore della riforma riduca le diseguaglianze evitabili tra le aree e tra i gruppi, ossia se la riforma sia equa oltre che efficiente.</w:t>
      </w:r>
    </w:p>
    <w:p w14:paraId="0B8DC0E4" w14:textId="77777777" w:rsidR="007C4598" w:rsidRDefault="007C4598"/>
    <w:p w14:paraId="582D91DD" w14:textId="77777777" w:rsidR="007C4598" w:rsidRDefault="00000000">
      <w:pPr>
        <w:jc w:val="both"/>
      </w:pPr>
      <w:r>
        <w:rPr>
          <w:b/>
          <w:bCs/>
        </w:rPr>
        <w:t xml:space="preserve">▪  </w:t>
      </w:r>
      <w:proofErr w:type="spellStart"/>
      <w:r>
        <w:t>Marmot</w:t>
      </w:r>
      <w:proofErr w:type="spellEnd"/>
      <w:r>
        <w:t xml:space="preserve"> M. (a cura di), «Fair Society, </w:t>
      </w:r>
      <w:proofErr w:type="spellStart"/>
      <w:r>
        <w:t>Healthy</w:t>
      </w:r>
      <w:proofErr w:type="spellEnd"/>
      <w:r>
        <w:t xml:space="preserve"> </w:t>
      </w:r>
      <w:proofErr w:type="spellStart"/>
      <w:r>
        <w:t>Lives</w:t>
      </w:r>
      <w:proofErr w:type="spellEnd"/>
      <w:r>
        <w:t xml:space="preserve">: The </w:t>
      </w:r>
      <w:proofErr w:type="spellStart"/>
      <w:r>
        <w:t>Marmot</w:t>
      </w:r>
      <w:proofErr w:type="spellEnd"/>
      <w:r>
        <w:t xml:space="preserve"> </w:t>
      </w:r>
      <w:proofErr w:type="spellStart"/>
      <w:r>
        <w:t>Review</w:t>
      </w:r>
      <w:proofErr w:type="spellEnd"/>
      <w:r>
        <w:t xml:space="preserve"> — Strategic </w:t>
      </w:r>
      <w:proofErr w:type="spellStart"/>
      <w:r>
        <w:t>Review</w:t>
      </w:r>
      <w:proofErr w:type="spellEnd"/>
      <w:r>
        <w:t xml:space="preserve"> of </w:t>
      </w:r>
      <w:proofErr w:type="spellStart"/>
      <w:r>
        <w:t>Health</w:t>
      </w:r>
      <w:proofErr w:type="spellEnd"/>
      <w:r>
        <w:t xml:space="preserve"> </w:t>
      </w:r>
      <w:proofErr w:type="spellStart"/>
      <w:r>
        <w:t>Inequalities</w:t>
      </w:r>
      <w:proofErr w:type="spellEnd"/>
      <w:r>
        <w:t xml:space="preserve"> in </w:t>
      </w:r>
      <w:proofErr w:type="spellStart"/>
      <w:r>
        <w:t>England</w:t>
      </w:r>
      <w:proofErr w:type="spellEnd"/>
      <w:r>
        <w:t xml:space="preserve"> post-2010», The </w:t>
      </w:r>
      <w:proofErr w:type="spellStart"/>
      <w:r>
        <w:t>Marmot</w:t>
      </w:r>
      <w:proofErr w:type="spellEnd"/>
      <w:r>
        <w:t xml:space="preserve"> </w:t>
      </w:r>
      <w:proofErr w:type="spellStart"/>
      <w:r>
        <w:t>Review</w:t>
      </w:r>
      <w:proofErr w:type="spellEnd"/>
      <w:r>
        <w:t>, Londra, 2010.</w:t>
      </w:r>
    </w:p>
    <w:p w14:paraId="6741BD79" w14:textId="77777777" w:rsidR="007C4598" w:rsidRDefault="007C4598"/>
    <w:p w14:paraId="600EC444" w14:textId="77777777" w:rsidR="007C4598" w:rsidRDefault="00000000">
      <w:pPr>
        <w:jc w:val="both"/>
      </w:pPr>
      <w:r>
        <w:rPr>
          <w:i/>
          <w:iCs/>
        </w:rPr>
        <w:t>Mini-riassunto. È la rassegna strategica delle diseguaglianze di salute, che documenta il gradiente sociale della salute — per cui essa migliora al crescere della posizione socio-economica — e ne individua i determinanti sociali; essa fonda, nella seconda voce di questa parte, la descrizione della distribuzione differenziale del bisogno tra i gruppi della popolazione e del gradiente sociale del disagio mentale, e l’indicazione che la riduzione delle diseguaglianze richiede l’azione sui determinanti sociali.</w:t>
      </w:r>
    </w:p>
    <w:p w14:paraId="318C4177" w14:textId="77777777" w:rsidR="007C4598" w:rsidRDefault="007C4598"/>
    <w:p w14:paraId="6CB8471F" w14:textId="77777777" w:rsidR="007C4598" w:rsidRDefault="00000000">
      <w:pPr>
        <w:jc w:val="both"/>
      </w:pPr>
      <w:r>
        <w:rPr>
          <w:b/>
          <w:bCs/>
        </w:rPr>
        <w:t xml:space="preserve">▪  </w:t>
      </w:r>
      <w:r>
        <w:t xml:space="preserve">Allen J., </w:t>
      </w:r>
      <w:proofErr w:type="spellStart"/>
      <w:r>
        <w:t>Balfour</w:t>
      </w:r>
      <w:proofErr w:type="spellEnd"/>
      <w:r>
        <w:t xml:space="preserve"> R., Bell R., </w:t>
      </w:r>
      <w:proofErr w:type="spellStart"/>
      <w:r>
        <w:t>Marmot</w:t>
      </w:r>
      <w:proofErr w:type="spellEnd"/>
      <w:r>
        <w:t xml:space="preserve"> M., «Social </w:t>
      </w:r>
      <w:proofErr w:type="spellStart"/>
      <w:r>
        <w:t>determinants</w:t>
      </w:r>
      <w:proofErr w:type="spellEnd"/>
      <w:r>
        <w:t xml:space="preserve"> of </w:t>
      </w:r>
      <w:proofErr w:type="spellStart"/>
      <w:r>
        <w:t>mental</w:t>
      </w:r>
      <w:proofErr w:type="spellEnd"/>
      <w:r>
        <w:t xml:space="preserve"> </w:t>
      </w:r>
      <w:proofErr w:type="spellStart"/>
      <w:r>
        <w:t>health</w:t>
      </w:r>
      <w:proofErr w:type="spellEnd"/>
      <w:r>
        <w:t xml:space="preserve">», International </w:t>
      </w:r>
      <w:proofErr w:type="spellStart"/>
      <w:r>
        <w:t>Review</w:t>
      </w:r>
      <w:proofErr w:type="spellEnd"/>
      <w:r>
        <w:t xml:space="preserve"> of </w:t>
      </w:r>
      <w:proofErr w:type="spellStart"/>
      <w:r>
        <w:t>Psychiatry</w:t>
      </w:r>
      <w:proofErr w:type="spellEnd"/>
      <w:r>
        <w:t>, vol. 26, n. 4, 2014, pp. 392–407.</w:t>
      </w:r>
    </w:p>
    <w:p w14:paraId="748D68BE" w14:textId="77777777" w:rsidR="007C4598" w:rsidRDefault="007C4598"/>
    <w:p w14:paraId="6FF84438" w14:textId="77777777" w:rsidR="007C4598" w:rsidRDefault="00000000">
      <w:pPr>
        <w:jc w:val="both"/>
      </w:pPr>
      <w:r>
        <w:rPr>
          <w:i/>
          <w:iCs/>
        </w:rPr>
        <w:t>Mini-riassunto. È la rassegna dei determinanti sociali della salute mentale, che documenta come la prevalenza dei disturbi mentali comuni si distribuisca secondo un gradiente sociale, maggiore nei gruppi svantaggiati, in ragione della deprivazione, dell’insicurezza e delle condizioni di vita avverse; essa fonda, nella seconda voce di questa parte, la descrizione della distribuzione differenziale del bisogno e la concentrazione del disagio nei gruppi socio-economicamente svantaggiati, nei quali la distanza tra il bisogno e l’accesso è massima.</w:t>
      </w:r>
    </w:p>
    <w:p w14:paraId="225E1AA5" w14:textId="77777777" w:rsidR="007C4598" w:rsidRDefault="007C4598"/>
    <w:p w14:paraId="0F3100FD" w14:textId="77777777" w:rsidR="007C4598" w:rsidRDefault="00000000">
      <w:pPr>
        <w:jc w:val="both"/>
      </w:pPr>
      <w:r>
        <w:rPr>
          <w:b/>
          <w:bCs/>
        </w:rPr>
        <w:t xml:space="preserve">▪  </w:t>
      </w:r>
      <w:r>
        <w:t xml:space="preserve">World </w:t>
      </w:r>
      <w:proofErr w:type="spellStart"/>
      <w:r>
        <w:t>Health</w:t>
      </w:r>
      <w:proofErr w:type="spellEnd"/>
      <w:r>
        <w:t xml:space="preserve"> Organization e </w:t>
      </w:r>
      <w:proofErr w:type="spellStart"/>
      <w:r>
        <w:t>Calouste</w:t>
      </w:r>
      <w:proofErr w:type="spellEnd"/>
      <w:r>
        <w:t xml:space="preserve"> </w:t>
      </w:r>
      <w:proofErr w:type="spellStart"/>
      <w:r>
        <w:t>Gulbenkian</w:t>
      </w:r>
      <w:proofErr w:type="spellEnd"/>
      <w:r>
        <w:t xml:space="preserve"> Foundation, «Social </w:t>
      </w:r>
      <w:proofErr w:type="spellStart"/>
      <w:r>
        <w:t>Determinants</w:t>
      </w:r>
      <w:proofErr w:type="spellEnd"/>
      <w:r>
        <w:t xml:space="preserve"> of </w:t>
      </w:r>
      <w:proofErr w:type="spellStart"/>
      <w:r>
        <w:t>Mental</w:t>
      </w:r>
      <w:proofErr w:type="spellEnd"/>
      <w:r>
        <w:t xml:space="preserve"> </w:t>
      </w:r>
      <w:proofErr w:type="spellStart"/>
      <w:r>
        <w:t>Health</w:t>
      </w:r>
      <w:proofErr w:type="spellEnd"/>
      <w:r>
        <w:t xml:space="preserve">», World </w:t>
      </w:r>
      <w:proofErr w:type="spellStart"/>
      <w:r>
        <w:t>Health</w:t>
      </w:r>
      <w:proofErr w:type="spellEnd"/>
      <w:r>
        <w:t xml:space="preserve"> Organization, Ginevra, 2014.</w:t>
      </w:r>
    </w:p>
    <w:p w14:paraId="65FFA39A" w14:textId="77777777" w:rsidR="007C4598" w:rsidRDefault="007C4598"/>
    <w:p w14:paraId="1B3445E8" w14:textId="77777777" w:rsidR="007C4598" w:rsidRDefault="00000000">
      <w:pPr>
        <w:jc w:val="both"/>
      </w:pPr>
      <w:r>
        <w:rPr>
          <w:i/>
          <w:iCs/>
        </w:rPr>
        <w:t>Mini-riassunto. È il rapporto sui determinanti sociali della salute mentale, che documenta come i fattori sociali ed economici incidano sulla distribuzione del disagio mentale nella popolazione e sull’accesso alla cura, e che indica l’azione sui determinanti sociali come condizione della riduzione delle diseguaglianze; esso fornisce la cornice entro cui questa parte considera la distribuzione differenziale del bisogno e dell’accesso e la necessità dell’orientamento attivo ai gruppi svantaggiati.</w:t>
      </w:r>
    </w:p>
    <w:p w14:paraId="3F6A8B88" w14:textId="77777777" w:rsidR="007C4598" w:rsidRDefault="007C4598"/>
    <w:p w14:paraId="7577A75C" w14:textId="77777777" w:rsidR="007C4598" w:rsidRDefault="00000000">
      <w:pPr>
        <w:jc w:val="both"/>
      </w:pPr>
      <w:r>
        <w:rPr>
          <w:b/>
          <w:bCs/>
        </w:rPr>
        <w:t xml:space="preserve">▪  </w:t>
      </w:r>
      <w:r>
        <w:t>Agenzia per la Coesione Territoriale, «Strategia Nazionale per le Aree Interne (SNAI) — documenti programmatici e di indirizzo», Presidenza del Consiglio dei Ministri, Roma.</w:t>
      </w:r>
    </w:p>
    <w:p w14:paraId="0A5C7527" w14:textId="77777777" w:rsidR="007C4598" w:rsidRDefault="007C4598"/>
    <w:p w14:paraId="18070EE5" w14:textId="77777777" w:rsidR="007C4598" w:rsidRDefault="00000000">
      <w:pPr>
        <w:jc w:val="both"/>
      </w:pPr>
      <w:r>
        <w:rPr>
          <w:i/>
          <w:iCs/>
        </w:rPr>
        <w:t>Mini-riassunto. È il quadro programmatico della Strategia Nazionale per le Aree Interne, che riconosce la condizione di svantaggio delle aree distanti dai servizi essenziali — la popolazione rada e in calo, l’invecchiamento, la ridotta accessibilità, la deprivazione — e ne persegue il riequilibrio attraverso il rafforzamento dei servizi essenziali, tra cui la salute; essa fonda, nella prima voce di questa parte, la considerazione delle aree interne come banco di prova dell’equità territoriale e il rischio di concentrazione urbana.</w:t>
      </w:r>
    </w:p>
    <w:p w14:paraId="61D323BB" w14:textId="77777777" w:rsidR="007C4598" w:rsidRDefault="007C4598"/>
    <w:p w14:paraId="7C0EB424" w14:textId="77777777" w:rsidR="007C4598" w:rsidRDefault="00000000">
      <w:pPr>
        <w:jc w:val="both"/>
      </w:pPr>
      <w:r>
        <w:rPr>
          <w:b/>
          <w:bCs/>
        </w:rPr>
        <w:t xml:space="preserve">▪  </w:t>
      </w:r>
      <w:r>
        <w:t>Istituto Nazionale di Statistica (ISTAT), «Cittadini e ICT — Indagine annuale sull’uso delle tecnologie dell’informazione e della comunicazione nelle famiglie e da parte degli individui», ISTAT, Roma.</w:t>
      </w:r>
    </w:p>
    <w:p w14:paraId="5B21C8E8" w14:textId="77777777" w:rsidR="007C4598" w:rsidRDefault="007C4598"/>
    <w:p w14:paraId="3A25417A" w14:textId="77777777" w:rsidR="007C4598" w:rsidRDefault="00000000">
      <w:pPr>
        <w:jc w:val="both"/>
      </w:pPr>
      <w:r>
        <w:rPr>
          <w:i/>
          <w:iCs/>
        </w:rPr>
        <w:t>Mini-riassunto. È l’indagine annuale sull’uso delle tecnologie dell’informazione e della comunicazione, che documenta la diseguale distribuzione, nella popolazione, dell’accesso agli strumenti digitali e delle competenze nel loro uso, secondo il territorio, l’età e la condizione socio-economica; essa fonda, nella terza voce di questa parte, la descrizione delle tre dimensioni del divario digitale in Puglia e la loro sovrapposizione ai divari territoriali e sociali.</w:t>
      </w:r>
    </w:p>
    <w:p w14:paraId="424DACF4" w14:textId="77777777" w:rsidR="007C4598" w:rsidRDefault="007C4598"/>
    <w:p w14:paraId="38F0D8FE" w14:textId="77777777" w:rsidR="007C4598" w:rsidRDefault="00000000">
      <w:pPr>
        <w:jc w:val="both"/>
      </w:pPr>
      <w:r>
        <w:rPr>
          <w:b/>
          <w:bCs/>
        </w:rPr>
        <w:t xml:space="preserve">▪  </w:t>
      </w:r>
      <w:proofErr w:type="spellStart"/>
      <w:r>
        <w:t>Organisation</w:t>
      </w:r>
      <w:proofErr w:type="spellEnd"/>
      <w:r>
        <w:t xml:space="preserve"> for </w:t>
      </w:r>
      <w:proofErr w:type="spellStart"/>
      <w:r>
        <w:t>Economic</w:t>
      </w:r>
      <w:proofErr w:type="spellEnd"/>
      <w:r>
        <w:t xml:space="preserve"> Co-</w:t>
      </w:r>
      <w:proofErr w:type="spellStart"/>
      <w:r>
        <w:t>operation</w:t>
      </w:r>
      <w:proofErr w:type="spellEnd"/>
      <w:r>
        <w:t xml:space="preserve"> and Development (OECD), «A New Benchmark for </w:t>
      </w:r>
      <w:proofErr w:type="spellStart"/>
      <w:r>
        <w:t>Mental</w:t>
      </w:r>
      <w:proofErr w:type="spellEnd"/>
      <w:r>
        <w:t xml:space="preserve"> </w:t>
      </w:r>
      <w:proofErr w:type="spellStart"/>
      <w:r>
        <w:t>Health</w:t>
      </w:r>
      <w:proofErr w:type="spellEnd"/>
      <w:r>
        <w:t xml:space="preserve"> Systems: </w:t>
      </w:r>
      <w:proofErr w:type="spellStart"/>
      <w:r>
        <w:t>Tackling</w:t>
      </w:r>
      <w:proofErr w:type="spellEnd"/>
      <w:r>
        <w:t xml:space="preserve"> the Social and </w:t>
      </w:r>
      <w:proofErr w:type="spellStart"/>
      <w:r>
        <w:t>Economic</w:t>
      </w:r>
      <w:proofErr w:type="spellEnd"/>
      <w:r>
        <w:t xml:space="preserve"> </w:t>
      </w:r>
      <w:proofErr w:type="spellStart"/>
      <w:r>
        <w:t>Costs</w:t>
      </w:r>
      <w:proofErr w:type="spellEnd"/>
      <w:r>
        <w:t xml:space="preserve"> of </w:t>
      </w:r>
      <w:proofErr w:type="spellStart"/>
      <w:r>
        <w:t>Mental</w:t>
      </w:r>
      <w:proofErr w:type="spellEnd"/>
      <w:r>
        <w:t xml:space="preserve"> </w:t>
      </w:r>
      <w:proofErr w:type="spellStart"/>
      <w:r>
        <w:t>Ill-Health</w:t>
      </w:r>
      <w:proofErr w:type="spellEnd"/>
      <w:r>
        <w:t xml:space="preserve">», OECD </w:t>
      </w:r>
      <w:proofErr w:type="spellStart"/>
      <w:r>
        <w:t>Health</w:t>
      </w:r>
      <w:proofErr w:type="spellEnd"/>
      <w:r>
        <w:t xml:space="preserve"> Policy </w:t>
      </w:r>
      <w:proofErr w:type="spellStart"/>
      <w:r>
        <w:t>Studies</w:t>
      </w:r>
      <w:proofErr w:type="spellEnd"/>
      <w:r>
        <w:t>, OECD Publishing, Parigi, 2021.</w:t>
      </w:r>
    </w:p>
    <w:p w14:paraId="0AC165A3" w14:textId="77777777" w:rsidR="007C4598" w:rsidRDefault="007C4598"/>
    <w:p w14:paraId="3864DE21" w14:textId="77777777" w:rsidR="007C4598" w:rsidRDefault="00000000">
      <w:pPr>
        <w:jc w:val="both"/>
      </w:pPr>
      <w:r>
        <w:rPr>
          <w:i/>
          <w:iCs/>
        </w:rPr>
        <w:t>Mini-riassunto. È lo studio comparato dei sistemi di salute mentale, che quantifica i costi sociali ed economici del disagio mentale e ne documenta l’incidenza sui molteplici domini; esso àncora, in questa parte, la considerazione del valore della riforma di cui si studia la distribuzione, e il significato multidisciplinare dell’analisi distributiva, che compone i domini della coesione territoriale, della giustizia sociale e dell’inclusione digitale.</w:t>
      </w:r>
    </w:p>
    <w:p w14:paraId="10AA6F82" w14:textId="77777777" w:rsidR="007C4598" w:rsidRDefault="007C4598"/>
    <w:p w14:paraId="758487B2" w14:textId="77777777" w:rsidR="007C4598" w:rsidRDefault="00000000">
      <w:pPr>
        <w:jc w:val="both"/>
      </w:pPr>
      <w:r>
        <w:rPr>
          <w:b/>
          <w:bCs/>
        </w:rPr>
        <w:t xml:space="preserve">▪  </w:t>
      </w:r>
      <w:proofErr w:type="spellStart"/>
      <w:r>
        <w:t>Chisholm</w:t>
      </w:r>
      <w:proofErr w:type="spellEnd"/>
      <w:r>
        <w:t xml:space="preserve"> D., </w:t>
      </w:r>
      <w:proofErr w:type="spellStart"/>
      <w:r>
        <w:t>Sweeny</w:t>
      </w:r>
      <w:proofErr w:type="spellEnd"/>
      <w:r>
        <w:t xml:space="preserve"> K., </w:t>
      </w:r>
      <w:proofErr w:type="spellStart"/>
      <w:r>
        <w:t>Sheehan</w:t>
      </w:r>
      <w:proofErr w:type="spellEnd"/>
      <w:r>
        <w:t xml:space="preserve"> P., </w:t>
      </w:r>
      <w:proofErr w:type="spellStart"/>
      <w:r>
        <w:t>Rasmussen</w:t>
      </w:r>
      <w:proofErr w:type="spellEnd"/>
      <w:r>
        <w:t xml:space="preserve"> B., </w:t>
      </w:r>
      <w:proofErr w:type="spellStart"/>
      <w:r>
        <w:t>Smit</w:t>
      </w:r>
      <w:proofErr w:type="spellEnd"/>
      <w:r>
        <w:t xml:space="preserve"> F., </w:t>
      </w:r>
      <w:proofErr w:type="spellStart"/>
      <w:r>
        <w:t>Cuijpers</w:t>
      </w:r>
      <w:proofErr w:type="spellEnd"/>
      <w:r>
        <w:t xml:space="preserve"> P., </w:t>
      </w:r>
      <w:proofErr w:type="spellStart"/>
      <w:r>
        <w:t>Saxena</w:t>
      </w:r>
      <w:proofErr w:type="spellEnd"/>
      <w:r>
        <w:t xml:space="preserve"> S., «</w:t>
      </w:r>
      <w:proofErr w:type="spellStart"/>
      <w:r>
        <w:t>Scaling</w:t>
      </w:r>
      <w:proofErr w:type="spellEnd"/>
      <w:r>
        <w:t xml:space="preserve">-up treatment of </w:t>
      </w:r>
      <w:proofErr w:type="spellStart"/>
      <w:r>
        <w:t>depression</w:t>
      </w:r>
      <w:proofErr w:type="spellEnd"/>
      <w:r>
        <w:t xml:space="preserve"> and </w:t>
      </w:r>
      <w:proofErr w:type="spellStart"/>
      <w:r>
        <w:t>anxiety</w:t>
      </w:r>
      <w:proofErr w:type="spellEnd"/>
      <w:r>
        <w:t xml:space="preserve">: a global </w:t>
      </w:r>
      <w:proofErr w:type="spellStart"/>
      <w:r>
        <w:t>return</w:t>
      </w:r>
      <w:proofErr w:type="spellEnd"/>
      <w:r>
        <w:t xml:space="preserve"> on </w:t>
      </w:r>
      <w:proofErr w:type="spellStart"/>
      <w:r>
        <w:t>investment</w:t>
      </w:r>
      <w:proofErr w:type="spellEnd"/>
      <w:r>
        <w:t xml:space="preserve"> </w:t>
      </w:r>
      <w:proofErr w:type="spellStart"/>
      <w:r>
        <w:t>analysis</w:t>
      </w:r>
      <w:proofErr w:type="spellEnd"/>
      <w:r>
        <w:t xml:space="preserve">», The Lancet </w:t>
      </w:r>
      <w:proofErr w:type="spellStart"/>
      <w:r>
        <w:t>Psychiatry</w:t>
      </w:r>
      <w:proofErr w:type="spellEnd"/>
      <w:r>
        <w:t>, vol. 3, n. 5, 2016, pp. 415–424.</w:t>
      </w:r>
    </w:p>
    <w:p w14:paraId="78569DB7" w14:textId="77777777" w:rsidR="007C4598" w:rsidRDefault="007C4598"/>
    <w:p w14:paraId="2DED5E75" w14:textId="77777777" w:rsidR="007C4598" w:rsidRDefault="00000000">
      <w:pPr>
        <w:jc w:val="both"/>
      </w:pPr>
      <w:r>
        <w:rPr>
          <w:i/>
          <w:iCs/>
        </w:rPr>
        <w:t>Mini-riassunto. È l’analisi globale del rendimento dell’investimento nel trattamento della depressione e dell’ansia, che stabilisce il duplice intervallo del ritorno — compreso tra 2,3 e 3,0 a 1 per i soli benefici economici e tra 3,3 e 5,7 a 1 con l’inclusione dei ritorni di salute — impiegato nell’intero studio come ancora di validazione; esso è preservato in questa parte ove le grandezze economiche, di cui si studia la distribuzione, sono richiamate, a garanzia della coerenza tra la valutazione del valore e la sua analisi distributiva.</w:t>
      </w:r>
    </w:p>
    <w:p w14:paraId="064D746A" w14:textId="77777777" w:rsidR="007C4598" w:rsidRDefault="007C4598"/>
    <w:p w14:paraId="6477CC0A" w14:textId="77777777" w:rsidR="007C4598" w:rsidRDefault="00000000">
      <w:pPr>
        <w:pStyle w:val="Titolo2"/>
        <w:spacing w:before="200" w:after="100"/>
      </w:pPr>
      <w:r>
        <w:rPr>
          <w:sz w:val="22"/>
          <w:szCs w:val="22"/>
        </w:rPr>
        <w:t>Nota sui rinvii interni e sui principi metodologici</w:t>
      </w:r>
    </w:p>
    <w:p w14:paraId="62DB8B0D" w14:textId="77777777" w:rsidR="007C4598" w:rsidRDefault="007C4598"/>
    <w:p w14:paraId="1B724F63" w14:textId="77777777" w:rsidR="007C4598" w:rsidRDefault="00000000">
      <w:pPr>
        <w:jc w:val="both"/>
      </w:pPr>
      <w:r>
        <w:t xml:space="preserve">La dodicesima parte è la sede dell’analisi distributiva dell’intero studio, e si raccorda perciò con un’ampia rete di parti, da cui assume il valore di cui studia la distribuzione e a cui consegna le raccomandazioni e la previsione che ne sono il risultato. Essa assume il valore della riforma, stabilito dalla decima parte e proiettato dall’undicesima, e ne studia la distribuzione, senza accrescerlo né diminuirlo; impiega i parametri demografici e di scala della seconda e della quarta parte, propri della Puglia — la popolazione regionale, l’articolazione in sei aziende sanitarie e quarantacinque distretti, il dimensionamento del contingente; assume dalla quarta parte la posizione subordinata della leva digitale lungo il ciclo assistenziale e la sua </w:t>
      </w:r>
      <w:proofErr w:type="spellStart"/>
      <w:r>
        <w:t>governance</w:t>
      </w:r>
      <w:proofErr w:type="spellEnd"/>
      <w:r>
        <w:t xml:space="preserve"> prudenziale, di cui la terza voce trae il principio della complementarità; e adotta dall’undicesima parte la forma falsificabile delle previsioni, di cui la quarta voce fa applicazione nella previsione dell’impatto distributivo. Verso le parti successive, essa consegna le raccomandazioni per l’equità alla quattordicesima parte, dedicata all’attuazione, che dovrà tradurle in misure attuative, e la previsione falsificabile dell’impatto distributivo alla quindicesima parte, dedicata al monitoraggio, che dovrà verificarla monitorando la distribuzione effettiva del valore sotto le tre dimensioni.</w:t>
      </w:r>
    </w:p>
    <w:p w14:paraId="0B5C3E64" w14:textId="77777777" w:rsidR="007C4598" w:rsidRDefault="007C4598"/>
    <w:p w14:paraId="6CD2495C" w14:textId="77777777" w:rsidR="007C4598" w:rsidRDefault="00000000">
      <w:pPr>
        <w:jc w:val="both"/>
      </w:pPr>
      <w:r>
        <w:t xml:space="preserve">I principi metodologici invarianti dello studio governano l’analisi distributiva in ogni suo passaggio. La distinzione cardine tra le grandezze fiscali dirette, sociali indirette e di salute è mantenuta nell’analisi distributiva, che studia la distribuzione del valore senza sommare le dimensioni in un’unica cifra e senza duplicazione. Il duplice intervallo di </w:t>
      </w:r>
      <w:proofErr w:type="spellStart"/>
      <w:r>
        <w:t>Chisholm</w:t>
      </w:r>
      <w:proofErr w:type="spellEnd"/>
      <w:r>
        <w:t xml:space="preserve"> e il </w:t>
      </w:r>
      <w:proofErr w:type="spellStart"/>
      <w:r>
        <w:t>caveat</w:t>
      </w:r>
      <w:proofErr w:type="spellEnd"/>
      <w:r>
        <w:t xml:space="preserve"> dell’IMPACT trial sono preservati ove le grandezze economiche, di cui si studia la distribuzione, sono richiamate. L’analisi distributiva non modifica le grandezze stabilite dalle parti precedenti, ma ne studia la ripartizione, in coerenza con la sua natura di valutazione distributiva, distinta dalla valutazione dell’entità. L’impatto distributivo è formulato come previsione falsificabile, corredata delle condizioni al verificarsi delle quali la riforma riduce le diseguaglianze e del metodo della loro verifica, in coerenza con la forma falsificabile delle previsioni dello studio; e ogni stima è graduata secondo la sua qualità con i criteri GRADE, applicati con il medesimo rigore alle componenti territoriali, sociali e di accesso. L’analisi distributiva si conforma così, nello studio della distribuzione, ai medesimi principi che hanno governato la valutazione dell’entità che la precede, e ne costituisce il completamento sul piano della giustizia distributiva, aggiungendo alla domanda sull’entità del valore la domanda sulla sua ripartizione, e mantenendo, anche in questa domanda, il rigore della distinzione delle dimensioni, della preservazione dei vincoli e della falsificabilità che ha governato l’intero studio.</w:t>
      </w:r>
    </w:p>
    <w:p w14:paraId="5A552FC1" w14:textId="77777777" w:rsidR="007C4598" w:rsidRDefault="007C4598"/>
    <w:p w14:paraId="1115D728" w14:textId="77777777" w:rsidR="007C4598" w:rsidRDefault="00000000">
      <w:pPr>
        <w:jc w:val="both"/>
      </w:pPr>
      <w:r>
        <w:t>Equità · impatto distributivo · giustizia territoriale</w:t>
      </w:r>
      <w:r>
        <w:tab/>
        <w:t>L. De Michele · giugno 2026</w:t>
      </w:r>
    </w:p>
    <w:p w14:paraId="0DEBDD6B" w14:textId="77777777" w:rsidR="007C4598" w:rsidRDefault="007C4598"/>
    <w:p w14:paraId="2C9A1B14" w14:textId="77777777" w:rsidR="007C4598" w:rsidRDefault="00000000">
      <w:pPr>
        <w:jc w:val="both"/>
      </w:pPr>
      <w:r>
        <w:rPr>
          <w:color w:val="555555"/>
          <w:sz w:val="16"/>
          <w:szCs w:val="16"/>
          <w:vertAlign w:val="superscript"/>
        </w:rPr>
        <w:t>[1]</w:t>
      </w:r>
      <w:r>
        <w:t xml:space="preserve">: La distinzione tra efficienza ed equità governa la parte: l’efficienza attiene all’entità complessiva del valore (oggetto delle parti precedenti), l’equità alla sua distribuzione tra i soggetti (oggetto della presente parte). Le due proprietà sono autonome e non si implicano. L’analisi distributiva non modifica le grandezze stabilite, ma ne studia la ripartizione tra le aree e i gruppi, mantenendo la distinzione tra le tre dimensioni del valore (fiscale, sociale, salute) e preservando il duplice intervallo di </w:t>
      </w:r>
      <w:proofErr w:type="spellStart"/>
      <w:r>
        <w:t>Chisholm</w:t>
      </w:r>
      <w:proofErr w:type="spellEnd"/>
      <w:r>
        <w:t xml:space="preserve"> e il </w:t>
      </w:r>
      <w:proofErr w:type="spellStart"/>
      <w:r>
        <w:t>caveat</w:t>
      </w:r>
      <w:proofErr w:type="spellEnd"/>
      <w:r>
        <w:t xml:space="preserve"> dell’IMPACT trial ove le grandezze economiche sono richiamate.</w:t>
      </w:r>
    </w:p>
    <w:p w14:paraId="2F0D9380" w14:textId="77777777" w:rsidR="007C4598" w:rsidRDefault="00000000">
      <w:pPr>
        <w:jc w:val="both"/>
      </w:pPr>
      <w:r>
        <w:rPr>
          <w:color w:val="555555"/>
          <w:sz w:val="16"/>
          <w:szCs w:val="16"/>
          <w:vertAlign w:val="superscript"/>
        </w:rPr>
        <w:t>[2]</w:t>
      </w:r>
      <w:r>
        <w:t xml:space="preserve">: La Puglia conta una popolazione dell’ordine di 3.877.395 residenti, sei aziende sanitarie locali (Bari, Barletta-Andria-Trani, Brindisi, Foggia, Lecce, Taranto) e quarantacinque distretti sociosanitari. Le aree urbane concentrano popolazione e servizi; le aree interne (Subappennino </w:t>
      </w:r>
      <w:proofErr w:type="spellStart"/>
      <w:r>
        <w:t>dauno</w:t>
      </w:r>
      <w:proofErr w:type="spellEnd"/>
      <w:r>
        <w:t>, Alta Murgia, territori distanti dai centri maggiori) presentano popolazione più rada, più anziana e più distante dai presìdi, con minore densità di servizi specialistici e di medicina generale. Il fabbisogno stimato di psicologi di base è dell’ordine di 800-880 unità (cfr. seconda e quarta parte).</w:t>
      </w:r>
    </w:p>
    <w:p w14:paraId="36E0690C" w14:textId="77777777" w:rsidR="007C4598" w:rsidRDefault="00000000">
      <w:pPr>
        <w:jc w:val="both"/>
      </w:pPr>
      <w:r>
        <w:rPr>
          <w:color w:val="555555"/>
          <w:sz w:val="16"/>
          <w:szCs w:val="16"/>
          <w:vertAlign w:val="superscript"/>
        </w:rPr>
        <w:t>[3]</w:t>
      </w:r>
      <w:r>
        <w:t>: Le cifre della tabella sono approssimative e illustrative del criterio di distribuzione proporzionale alla popolazione, nello scenario centrale di circa 840 unità (punto medio della forbice 800-880). Le quote di popolazione delle sei aziende sono arrotondate; la ripartizione di dettaglio tra i quarantacinque distretti è determinata in sede di attuazione. La distribuzione proporzionale alla popolazione garantisce un rapporto uniforme tra gli psicologi e la popolazione; una distribuzione proporzionale al bisogno (corretta per struttura demografica, svantaggio socio-economico e dotazione preesistente) ridurrebbe i divari in misura maggiore.</w:t>
      </w:r>
    </w:p>
    <w:p w14:paraId="5A2AB924" w14:textId="77777777" w:rsidR="007C4598" w:rsidRDefault="00000000">
      <w:pPr>
        <w:jc w:val="both"/>
      </w:pPr>
      <w:r>
        <w:rPr>
          <w:color w:val="555555"/>
          <w:sz w:val="16"/>
          <w:szCs w:val="16"/>
          <w:vertAlign w:val="superscript"/>
        </w:rPr>
        <w:t>[4]</w:t>
      </w:r>
      <w:r>
        <w:t>: Le aree interne sono l’oggetto, sul piano nazionale, della Strategia Nazionale per le Aree Interne, che ne riconosce lo svantaggio (distanza dai servizi essenziali, popolazione rada e anziana, accessibilità ridotta, deprivazione) e ne persegue il riequilibrio attraverso il rafforzamento dei servizi essenziali, tra cui la salute. In tali aree la distanza tra il bisogno e l’offerta è massima, e il rischio di concentrazione urbana — derivante dalla tendenza dei professionisti a collocarsi nelle aree urbane — è più insidioso.</w:t>
      </w:r>
    </w:p>
    <w:p w14:paraId="340D745E" w14:textId="77777777" w:rsidR="007C4598" w:rsidRDefault="00000000">
      <w:pPr>
        <w:jc w:val="both"/>
      </w:pPr>
      <w:r>
        <w:rPr>
          <w:color w:val="555555"/>
          <w:sz w:val="16"/>
          <w:szCs w:val="16"/>
          <w:vertAlign w:val="superscript"/>
        </w:rPr>
        <w:t>[5]</w:t>
      </w:r>
      <w:r>
        <w:t>: La gradazione GRADE moderata riflette la solidità del criterio distributivo (la distribuzione proporzionale al bisogno riduce i divari per necessità logica, ove realizzata) e l’incertezza della sua realizzazione (dipendente dal contrasto al rischio di concentrazione urbana e dalla disponibilità dei professionisti a collocarsi nelle aree interne). La soglia di confutazione è l’osservazione che la distribuzione effettiva abbia seguito la geografia esistente dei servizi; il metodo di verifica è il monitoraggio della distribuzione effettiva (quindicesima parte).</w:t>
      </w:r>
    </w:p>
    <w:p w14:paraId="03360F45" w14:textId="77777777" w:rsidR="007C4598" w:rsidRDefault="00000000">
      <w:pPr>
        <w:jc w:val="both"/>
      </w:pPr>
      <w:r>
        <w:rPr>
          <w:color w:val="555555"/>
          <w:sz w:val="16"/>
          <w:szCs w:val="16"/>
          <w:vertAlign w:val="superscript"/>
        </w:rPr>
        <w:t>[6]</w:t>
      </w:r>
      <w:r>
        <w:t xml:space="preserve">: Il primo principio richiamato è la legge per cui la disponibilità di assistenza tende a variare in ragione inversa al bisogno della popolazione servita (Tudor </w:t>
      </w:r>
      <w:proofErr w:type="spellStart"/>
      <w:r>
        <w:t>Hart</w:t>
      </w:r>
      <w:proofErr w:type="spellEnd"/>
      <w:r>
        <w:t>, 1971): l’assistenza si distribuisce secondo fattori associati al minore bisogno (condizione socio-economica favorevole, prossimità ai servizi, capacità di esprimere la domanda), sì che i gruppi più bisognosi ricevono un’assistenza inferiore. Il secondo è l’ipotesi per cui le nuove politiche sanitarie beneficiano dapprima i gruppi avvantaggiati, sì che le diseguaglianze possono dapprima ampliarsi (</w:t>
      </w:r>
      <w:proofErr w:type="spellStart"/>
      <w:r>
        <w:t>Victora</w:t>
      </w:r>
      <w:proofErr w:type="spellEnd"/>
      <w:r>
        <w:t xml:space="preserve"> et al., 2000).</w:t>
      </w:r>
    </w:p>
    <w:p w14:paraId="4BF48ABB" w14:textId="77777777" w:rsidR="007C4598" w:rsidRDefault="00000000">
      <w:pPr>
        <w:jc w:val="both"/>
      </w:pPr>
      <w:r>
        <w:rPr>
          <w:color w:val="555555"/>
          <w:sz w:val="16"/>
          <w:szCs w:val="16"/>
          <w:vertAlign w:val="superscript"/>
        </w:rPr>
        <w:t>[7]</w:t>
      </w:r>
      <w:r>
        <w:t>: La prevalenza dei disturbi mentali comuni varia secondo il genere (maggiore nelle donne per i disturbi depressivi e d’ansia), l’età (esordio nella giovinezza e prima età adulta; ripresa nell’età anziana), la condizione socio-economica (gradiente sociale, prevalenza maggiore nei gruppi svantaggiati per deprivazione, insicurezza e condizioni avverse) e la fragilità (associazione con patologia cronica, disabilità, ruolo di cura). Si vedano gli studi sui determinanti sociali della salute mentale e i rapporti dell’Organizzazione Mondiale della Sanità.</w:t>
      </w:r>
    </w:p>
    <w:p w14:paraId="7F7AF868" w14:textId="77777777" w:rsidR="007C4598" w:rsidRDefault="00000000">
      <w:pPr>
        <w:jc w:val="both"/>
      </w:pPr>
      <w:r>
        <w:rPr>
          <w:color w:val="555555"/>
          <w:sz w:val="16"/>
          <w:szCs w:val="16"/>
          <w:vertAlign w:val="superscript"/>
        </w:rPr>
        <w:t>[8]</w:t>
      </w:r>
      <w:r>
        <w:t>: La riforma abbatte talune barriere all’accesso: l’economica (gratuità del servizio), l’informativa (integrazione con le cure primarie, che colloca l’accesso entro un percorso noto), dello stigma (collocazione in un contesto non specialistico). L’abbattimento delle barriere è condizione necessaria ma non sufficiente: perché la riforma raggiunga i gruppi svantaggiati occorre un orientamento attivo, che ne intercetti il bisogno nei contesti che li servono (medicina generale, servizi sociali, contesti scolastici, contesti domiciliari) e ne sollecitino l’accesso.</w:t>
      </w:r>
    </w:p>
    <w:p w14:paraId="2B98A1C6" w14:textId="77777777" w:rsidR="007C4598" w:rsidRDefault="00000000">
      <w:pPr>
        <w:jc w:val="both"/>
      </w:pPr>
      <w:r>
        <w:rPr>
          <w:color w:val="555555"/>
          <w:sz w:val="16"/>
          <w:szCs w:val="16"/>
          <w:vertAlign w:val="superscript"/>
        </w:rPr>
        <w:t>[9]</w:t>
      </w:r>
      <w:r>
        <w:t>: Il rischio dell’iniquità inversa (</w:t>
      </w:r>
      <w:proofErr w:type="spellStart"/>
      <w:r>
        <w:t>Victora</w:t>
      </w:r>
      <w:proofErr w:type="spellEnd"/>
      <w:r>
        <w:t xml:space="preserve"> et al., 2000) descrive un percorso temporale della diseguaglianza: l’introduzione di una nuova politica può, nella fase iniziale, ampliare la diseguaglianza, perché i gruppi avvantaggiati ne beneficiano per primi; la diseguaglianza si restringe poi, quando la politica raggiunge anche i gruppi svantaggiati. La valutazione deve considerare il percorso temporale, sì da non interpretare l’eventuale ampliamento iniziale come esito definitivo, e orientare la riforma ad accelerare il raggiungimento dei gruppi svantaggiati.</w:t>
      </w:r>
    </w:p>
    <w:p w14:paraId="1982E34D" w14:textId="77777777" w:rsidR="007C4598" w:rsidRDefault="00000000">
      <w:pPr>
        <w:jc w:val="both"/>
      </w:pPr>
      <w:r>
        <w:rPr>
          <w:color w:val="555555"/>
          <w:sz w:val="16"/>
          <w:szCs w:val="16"/>
          <w:vertAlign w:val="superscript"/>
        </w:rPr>
        <w:t>[10]</w:t>
      </w:r>
      <w:r>
        <w:t>: La gradazione GRADE moderata riflette la solidità dell’evidenza sul bisogno differenziale e sulla potenzialità della riforma di abbattere le barriere, e l’incertezza sull’effetto sulla diseguaglianza (dipendente dall’orientamento attivo e dal percorso temporale). La soglia di confutazione è l’osservazione che l’accesso sia stato fruito prevalentemente dai gruppi avvantaggiati; il metodo di verifica è il monitoraggio dell’accesso effettivo dei gruppi di particolare attenzione (quindicesima parte), considerando anche il percorso temporale.</w:t>
      </w:r>
    </w:p>
    <w:p w14:paraId="4D56C78E" w14:textId="77777777" w:rsidR="007C4598" w:rsidRDefault="00000000">
      <w:pPr>
        <w:jc w:val="both"/>
      </w:pPr>
      <w:r>
        <w:rPr>
          <w:color w:val="555555"/>
          <w:sz w:val="16"/>
          <w:szCs w:val="16"/>
          <w:vertAlign w:val="superscript"/>
        </w:rPr>
        <w:t>[11]</w:t>
      </w:r>
      <w:r>
        <w:t>: L’equità di accesso si distingue dall’equità territoriale e dall’equità tra le popolazioni: non attiene alla distribuzione del valore prodotto, ma alla possibilità di accedere al servizio. La leva digitale (</w:t>
      </w:r>
      <w:proofErr w:type="spellStart"/>
      <w:r>
        <w:t>teleconsultazione</w:t>
      </w:r>
      <w:proofErr w:type="spellEnd"/>
      <w:r>
        <w:t xml:space="preserve">, terapie digitali, terapia cognitivo-comportamentale erogata attraverso la rete, monitoraggio remoto), che la quarta parte ha collocato come strumento abilitante subordinato alla supervisione umana, presuppone requisiti — connessione e competenza digitale — </w:t>
      </w:r>
      <w:proofErr w:type="spellStart"/>
      <w:r>
        <w:t>diseguamente</w:t>
      </w:r>
      <w:proofErr w:type="spellEnd"/>
      <w:r>
        <w:t xml:space="preserve"> distribuiti, e rende perciò l’equità di accesso un oggetto di specifica attenzione.</w:t>
      </w:r>
    </w:p>
    <w:p w14:paraId="15327079" w14:textId="77777777" w:rsidR="007C4598" w:rsidRDefault="00000000">
      <w:pPr>
        <w:jc w:val="both"/>
      </w:pPr>
      <w:r>
        <w:rPr>
          <w:color w:val="555555"/>
          <w:sz w:val="16"/>
          <w:szCs w:val="16"/>
          <w:vertAlign w:val="superscript"/>
        </w:rPr>
        <w:t>[12]</w:t>
      </w:r>
      <w:r>
        <w:t>: Il divario digitale si articola in tre dimensioni: territoriale (minore copertura della banda larga nelle aree interne), anagrafica (minore competenza digitale negli anziani) e socio-economica (minore accesso ai dispositivi e alle competenze nei gruppi svantaggiati). Si vedano i dati sul divario digitale in Italia (copertura della banda larga; indicatori di competenze digitali per età e condizione socio-economica). Le tre dimensioni si sovrappongono ai divari territoriali e sociali esaminati nelle voci 12.1 e 12.2.</w:t>
      </w:r>
    </w:p>
    <w:p w14:paraId="4B119C49" w14:textId="77777777" w:rsidR="007C4598" w:rsidRDefault="00000000">
      <w:pPr>
        <w:jc w:val="both"/>
      </w:pPr>
      <w:r>
        <w:rPr>
          <w:color w:val="555555"/>
          <w:sz w:val="16"/>
          <w:szCs w:val="16"/>
          <w:vertAlign w:val="superscript"/>
        </w:rPr>
        <w:t>[13]</w:t>
      </w:r>
      <w:r>
        <w:t xml:space="preserve">: Il principio della complementarità — la leva digitale affianca l’accesso in presenza senza sostituirlo — è la traduzione, sul piano dell’equità di accesso, della posizione subordinata che la quarta parte ha assegnato alla leva digitale sul piano clinico. Esso implica che la leva digitale non sia mai l’unica modalità di accesso, sì che il soggetto possa accedere al servizio attraverso il canale in presenza indipendentemente dalla disponibilità degli strumenti e delle competenze digitali. La </w:t>
      </w:r>
      <w:proofErr w:type="spellStart"/>
      <w:r>
        <w:t>governance</w:t>
      </w:r>
      <w:proofErr w:type="spellEnd"/>
      <w:r>
        <w:t xml:space="preserve"> per l’equità (accessibilità in presenza, commisurazione dell’impiego digitale, sostegno all’alfabetizzazione) ne è l’attuazione.</w:t>
      </w:r>
    </w:p>
    <w:p w14:paraId="7DA57D8C" w14:textId="77777777" w:rsidR="007C4598" w:rsidRDefault="00000000">
      <w:pPr>
        <w:jc w:val="both"/>
      </w:pPr>
      <w:r>
        <w:rPr>
          <w:color w:val="555555"/>
          <w:sz w:val="16"/>
          <w:szCs w:val="16"/>
          <w:vertAlign w:val="superscript"/>
        </w:rPr>
        <w:t>[14]</w:t>
      </w:r>
      <w:r>
        <w:t xml:space="preserve">: La gradazione GRADE moderata riflette la solidità della duplice valenza della leva digitale (fattore che può ampliare o restringere l’accesso) e del principio della complementarità, e l’incertezza dell’impiego effettivo (dipendente dal rispetto del principio della complementarità e dalla </w:t>
      </w:r>
      <w:proofErr w:type="spellStart"/>
      <w:r>
        <w:t>governance</w:t>
      </w:r>
      <w:proofErr w:type="spellEnd"/>
      <w:r>
        <w:t xml:space="preserve"> per l’equità). La soglia di confutazione è l’osservazione che l’accesso sia stato precluso ai soggetti digitalmente esclusi; il metodo di verifica è il monitoraggio dell’accessibilità attraverso il canale in presenza e dell’impiego della leva digitale (quindicesima parte).</w:t>
      </w:r>
    </w:p>
    <w:p w14:paraId="50CE6CAD" w14:textId="77777777" w:rsidR="007C4598" w:rsidRDefault="00000000">
      <w:pPr>
        <w:jc w:val="both"/>
      </w:pPr>
      <w:r>
        <w:rPr>
          <w:color w:val="555555"/>
          <w:sz w:val="16"/>
          <w:szCs w:val="16"/>
          <w:vertAlign w:val="superscript"/>
        </w:rPr>
        <w:t>[15]</w:t>
      </w:r>
      <w:r>
        <w:t>: L’impatto distributivo complessivo ricompone le tre dimensioni dell’equità (territoriale, tra le popolazioni, di accesso), tenendo conto delle loro connessioni. La sovrapposizione dei divari fa sì che i soggetti svantaggiati sotto le tre dimensioni siano in larga parte i medesimi (residenti nelle aree interne, anziani, socio-economicamente svantaggiati, digitalmente esclusi), e che le condizioni che riducono le diseguaglianze sotto una dimensione contribuiscano a ridurle anche sotto le altre. La valutazione complessiva è la composizione delle valutazioni parziali, non la loro somma.</w:t>
      </w:r>
    </w:p>
    <w:p w14:paraId="1A2C1C9D" w14:textId="77777777" w:rsidR="007C4598" w:rsidRDefault="00000000">
      <w:pPr>
        <w:jc w:val="both"/>
      </w:pPr>
      <w:r>
        <w:rPr>
          <w:color w:val="555555"/>
          <w:sz w:val="16"/>
          <w:szCs w:val="16"/>
          <w:vertAlign w:val="superscript"/>
        </w:rPr>
        <w:t>[16]</w:t>
      </w:r>
      <w:r>
        <w:t>: Le tre condizioni dell’impatto distributivo favorevole sono congiuntamente necessarie: distribuzione proporzionale al bisogno (dimensione territoriale), orientamento attivo ai gruppi svantaggiati (dimensione delle popolazioni), principio della complementarità (dimensione dell’accesso). Il difetto di una compromette l’impatto complessivo, lasciando i soggetti svantaggiati esclusi sotto la dimensione corrispondente. Le tre condizioni si rinforzano a vicenda, sì che il loro concorso produce un effetto superiore alla somma dei singoli effetti.</w:t>
      </w:r>
    </w:p>
    <w:p w14:paraId="29527EDD" w14:textId="77777777" w:rsidR="007C4598" w:rsidRDefault="00000000">
      <w:pPr>
        <w:jc w:val="both"/>
      </w:pPr>
      <w:r>
        <w:rPr>
          <w:color w:val="555555"/>
          <w:sz w:val="16"/>
          <w:szCs w:val="16"/>
          <w:vertAlign w:val="superscript"/>
        </w:rPr>
        <w:t>[17]</w:t>
      </w:r>
      <w:r>
        <w:t>: L’impatto distributivo è formulato come previsione falsificabile, in coerenza con la forma delle previsioni dell’undicesima parte: la riforma riduce le diseguaglianze ove concorrano le tre condizioni; ove una difetti, lascia i soggetti svantaggiati esclusi sotto la dimensione corrispondente. La soglia di confutazione è l’osservazione che la riforma accentui le diseguaglianze sotto una o più dimensioni; il metodo di verifica è il monitoraggio della distribuzione effettiva sotto le tre dimensioni (distribuzione territoriale degli psicologi, composizione della popolazione servita, accessibilità in presenza), affidato alla quindicesima parte.</w:t>
      </w:r>
    </w:p>
    <w:p w14:paraId="5CD9B73B" w14:textId="77777777" w:rsidR="007C4598" w:rsidRDefault="00000000">
      <w:pPr>
        <w:jc w:val="both"/>
      </w:pPr>
      <w:r>
        <w:rPr>
          <w:color w:val="555555"/>
          <w:sz w:val="16"/>
          <w:szCs w:val="16"/>
          <w:vertAlign w:val="superscript"/>
        </w:rPr>
        <w:t>[18]</w:t>
      </w:r>
      <w:r>
        <w:t>: La gradazione GRADE moderata della valutazione complessiva eredita quella delle tre dimensioni: solida nell’identificazione delle dimensioni, delle condizioni e delle loro connessioni; incerta nella realizzazione delle condizioni, dipendente dall’attuazione. La valutazione è condizionale: afferma la possibilità della riduzione delle diseguaglianze al concorso delle tre condizioni, congiuntamente necessarie, e non la sua certezza incondizionata. Le raccomandazioni per l’equità sono consegnate alla quattordicesima parte (attuazione); la previsione falsificabile alla quindicesima (monitoraggio).</w:t>
      </w:r>
    </w:p>
    <w:p w14:paraId="27572F32" w14:textId="77777777" w:rsidR="007C4598" w:rsidRDefault="00000000">
      <w:pPr>
        <w:jc w:val="both"/>
      </w:pPr>
      <w:r>
        <w:rPr>
          <w:color w:val="555555"/>
          <w:sz w:val="16"/>
          <w:szCs w:val="16"/>
          <w:vertAlign w:val="superscript"/>
        </w:rPr>
        <w:t>[19]</w:t>
      </w:r>
      <w:r>
        <w:t>: La dodicesima parte aggiunge la dimensione distributiva alla valutazione del valore, che le parti precedenti avevano condotto sul piano della sola entità. L’entità del valore è la sua grandezza complessiva (oggetto delle parti precedenti); la distribuzione è la sua ripartizione tra i soggetti (oggetto di questa parte). Le due dimensioni sono autonome: un medesimo valore complessivo può distribuirsi in modi diversi, riducendo o accentuando le diseguaglianze. L’analisi distributiva muove dal valore già quantificato e ne studia la ripartizione, senza accrescerlo né diminuirlo.</w:t>
      </w:r>
    </w:p>
    <w:p w14:paraId="56BA660F" w14:textId="77777777" w:rsidR="007C4598" w:rsidRDefault="00000000">
      <w:pPr>
        <w:jc w:val="both"/>
      </w:pPr>
      <w:r>
        <w:rPr>
          <w:color w:val="555555"/>
          <w:sz w:val="16"/>
          <w:szCs w:val="16"/>
          <w:vertAlign w:val="superscript"/>
        </w:rPr>
        <w:t>[20]</w:t>
      </w:r>
      <w:r>
        <w:t>: Le tre dimensioni dell’equità convergono sui medesimi soggetti svantaggiati: i residenti nelle aree interne sono spesso anche anziani, socio-economicamente svantaggiati e digitalmente esclusi. Da ciò la necessità congiunta delle tre condizioni dell’impatto favorevole (distribuzione proporzionale al bisogno, orientamento attivo ai gruppi svantaggiati, principio della complementarità): il difetto di una sola lascia i soggetti esclusi sotto la dimensione corrispondente. Le tre condizioni si rinforzano a vicenda, sì che il loro concorso produce un effetto superiore alla somma dei singoli effetti.</w:t>
      </w:r>
    </w:p>
    <w:p w14:paraId="47EA1F92" w14:textId="77777777" w:rsidR="007C4598" w:rsidRDefault="00000000">
      <w:pPr>
        <w:jc w:val="both"/>
      </w:pPr>
      <w:r>
        <w:rPr>
          <w:color w:val="555555"/>
          <w:sz w:val="16"/>
          <w:szCs w:val="16"/>
          <w:vertAlign w:val="superscript"/>
        </w:rPr>
        <w:t>[21]</w:t>
      </w:r>
      <w:r>
        <w:t xml:space="preserve">: La distinzione tra le tre dimensioni del valore (fiscale, sociale, salute), preservata dall’intero studio fino al saldo conclusivo senza somma in un’unica cifra, è mantenuta nell’analisi distributiva: la parte studia la ripartizione del valore tra i soggetti, ma non somma le dimensioni né attribuisce a più dimensioni il medesimo valore distributivo. Il duplice intervallo di </w:t>
      </w:r>
      <w:proofErr w:type="spellStart"/>
      <w:r>
        <w:t>Chisholm</w:t>
      </w:r>
      <w:proofErr w:type="spellEnd"/>
      <w:r>
        <w:t xml:space="preserve"> e il </w:t>
      </w:r>
      <w:proofErr w:type="spellStart"/>
      <w:r>
        <w:t>caveat</w:t>
      </w:r>
      <w:proofErr w:type="spellEnd"/>
      <w:r>
        <w:t xml:space="preserve"> dell’IMPACT trial sono preservati ove le grandezze economiche sono richiamate, in coerenza con i principi dello studio.</w:t>
      </w:r>
    </w:p>
    <w:p w14:paraId="7BCA00DF" w14:textId="77777777" w:rsidR="007C4598" w:rsidRDefault="00000000">
      <w:pPr>
        <w:jc w:val="both"/>
      </w:pPr>
      <w:r>
        <w:rPr>
          <w:color w:val="555555"/>
          <w:sz w:val="16"/>
          <w:szCs w:val="16"/>
          <w:vertAlign w:val="superscript"/>
        </w:rPr>
        <w:t>[22]</w:t>
      </w:r>
      <w:r>
        <w:t>: L’impatto distributivo è formulato come previsione falsificabile, in coerenza con la forma delle previsioni dell’undicesima parte: la riforma riduce le diseguaglianze ove concorrano le tre condizioni; la previsione è smentita ove la riforma accentui le diseguaglianze sotto una o più dimensioni (concentrazione urbana, fruizione prevalente dei gruppi avvantaggiati, esclusione dei soggetti digitalmente esclusi). Il metodo di verifica è il monitoraggio della distribuzione effettiva sotto le tre dimensioni, affidato alla quindicesima parte; le raccomandazioni per l’equità sono affidate alla quattordicesima parte (attuazione).</w:t>
      </w:r>
    </w:p>
    <w:p w14:paraId="0F906D3E" w14:textId="77777777" w:rsidR="007C4598" w:rsidRDefault="00000000">
      <w:r>
        <w:br w:type="page"/>
      </w:r>
    </w:p>
    <w:p w14:paraId="32BB8B29" w14:textId="77777777" w:rsidR="007C4598" w:rsidRDefault="00000000">
      <w:pPr>
        <w:spacing w:before="1200" w:after="200"/>
        <w:jc w:val="center"/>
      </w:pPr>
      <w:r>
        <w:rPr>
          <w:b/>
          <w:bCs/>
          <w:color w:val="C49A48"/>
          <w:sz w:val="64"/>
          <w:szCs w:val="64"/>
        </w:rPr>
        <w:t>PARTE XIII</w:t>
      </w:r>
    </w:p>
    <w:p w14:paraId="5FD6811B" w14:textId="77777777" w:rsidR="007C4598" w:rsidRDefault="00000000">
      <w:pPr>
        <w:spacing w:after="600"/>
        <w:jc w:val="center"/>
      </w:pPr>
      <w:r>
        <w:rPr>
          <w:b/>
          <w:bCs/>
          <w:color w:val="16264B"/>
          <w:sz w:val="32"/>
          <w:szCs w:val="32"/>
        </w:rPr>
        <w:t>Profili etico-giuridico-organizzativi</w:t>
      </w:r>
    </w:p>
    <w:p w14:paraId="4323C126" w14:textId="77777777" w:rsidR="007C4598" w:rsidRDefault="007C4598">
      <w:pPr>
        <w:pBdr>
          <w:bottom w:val="single" w:sz="6" w:space="1" w:color="C49A48"/>
        </w:pBdr>
        <w:spacing w:after="200"/>
      </w:pPr>
    </w:p>
    <w:p w14:paraId="4DB5AE90" w14:textId="77777777" w:rsidR="007C4598" w:rsidRDefault="00000000">
      <w:pPr>
        <w:jc w:val="both"/>
      </w:pPr>
      <w:r>
        <w:t>Studio Integrale Puglia · Parte XIII — Profili etico-giuridico-organizzativi</w:t>
      </w:r>
    </w:p>
    <w:p w14:paraId="4DF6A965" w14:textId="77777777" w:rsidR="007C4598" w:rsidRDefault="007C4598"/>
    <w:p w14:paraId="0ACD74CA" w14:textId="77777777" w:rsidR="007C4598" w:rsidRDefault="00000000">
      <w:pPr>
        <w:jc w:val="both"/>
      </w:pPr>
      <w:r>
        <w:rPr>
          <w:b/>
          <w:bCs/>
        </w:rPr>
        <w:t>PROGETTO « PSICOLOGO DI BASE » · REGIONE PUGLIA</w:t>
      </w:r>
    </w:p>
    <w:p w14:paraId="07062ED8" w14:textId="77777777" w:rsidR="007C4598" w:rsidRDefault="007C4598"/>
    <w:p w14:paraId="133FD68F" w14:textId="77777777" w:rsidR="007C4598" w:rsidRDefault="00000000">
      <w:pPr>
        <w:jc w:val="both"/>
      </w:pPr>
      <w:r>
        <w:rPr>
          <w:b/>
          <w:bCs/>
        </w:rPr>
        <w:t>Studio Integrale, Finale e Definitivo</w:t>
      </w:r>
    </w:p>
    <w:p w14:paraId="1316E75F" w14:textId="77777777" w:rsidR="007C4598" w:rsidRDefault="007C4598"/>
    <w:p w14:paraId="70B6DC8F" w14:textId="77777777" w:rsidR="007C4598" w:rsidRDefault="00000000">
      <w:pPr>
        <w:jc w:val="both"/>
      </w:pPr>
      <w:r>
        <w:rPr>
          <w:b/>
          <w:bCs/>
        </w:rPr>
        <w:t>Parte XIII</w:t>
      </w:r>
    </w:p>
    <w:p w14:paraId="32384ADE" w14:textId="77777777" w:rsidR="007C4598" w:rsidRDefault="007C4598"/>
    <w:p w14:paraId="349CF64C" w14:textId="77777777" w:rsidR="007C4598" w:rsidRDefault="00000000">
      <w:pPr>
        <w:jc w:val="both"/>
      </w:pPr>
      <w:r>
        <w:rPr>
          <w:b/>
          <w:bCs/>
        </w:rPr>
        <w:t>Profili etico-giuridico-</w:t>
      </w:r>
    </w:p>
    <w:p w14:paraId="04A19EAD" w14:textId="77777777" w:rsidR="007C4598" w:rsidRDefault="007C4598"/>
    <w:p w14:paraId="4750F6E3" w14:textId="77777777" w:rsidR="007C4598" w:rsidRDefault="00000000">
      <w:pPr>
        <w:jc w:val="both"/>
      </w:pPr>
      <w:r>
        <w:rPr>
          <w:b/>
          <w:bCs/>
        </w:rPr>
        <w:t>organizzativi</w:t>
      </w:r>
    </w:p>
    <w:p w14:paraId="081C4A78" w14:textId="77777777" w:rsidR="007C4598" w:rsidRDefault="007C4598"/>
    <w:p w14:paraId="40619591" w14:textId="77777777" w:rsidR="007C4598" w:rsidRDefault="00000000">
      <w:pPr>
        <w:jc w:val="both"/>
      </w:pPr>
      <w:r>
        <w:rPr>
          <w:i/>
          <w:iCs/>
        </w:rPr>
        <w:t xml:space="preserve">Il quadro costituzionale e convenzionale del diritto alla salute, il quadro normativo regionale e nazionale, la protezione dei dati e la </w:t>
      </w:r>
      <w:proofErr w:type="spellStart"/>
      <w:r>
        <w:rPr>
          <w:i/>
          <w:iCs/>
        </w:rPr>
        <w:t>governance</w:t>
      </w:r>
      <w:proofErr w:type="spellEnd"/>
      <w:r>
        <w:rPr>
          <w:i/>
          <w:iCs/>
        </w:rPr>
        <w:t xml:space="preserve"> </w:t>
      </w:r>
      <w:proofErr w:type="spellStart"/>
      <w:r>
        <w:rPr>
          <w:i/>
          <w:iCs/>
        </w:rPr>
        <w:t>dell</w:t>
      </w:r>
      <w:proofErr w:type="spellEnd"/>
      <w:r>
        <w:rPr>
          <w:i/>
          <w:iCs/>
        </w:rPr>
        <w:t xml:space="preserve">\u2019Intelligenza Artificiale, l\u2019etica professionale e la supervisione umana, e i profili organizzativi e di </w:t>
      </w:r>
      <w:proofErr w:type="spellStart"/>
      <w:r>
        <w:rPr>
          <w:i/>
          <w:iCs/>
        </w:rPr>
        <w:t>responsabilit</w:t>
      </w:r>
      <w:proofErr w:type="spellEnd"/>
      <w:r>
        <w:rPr>
          <w:i/>
          <w:iCs/>
        </w:rPr>
        <w:t>\u00E0</w:t>
      </w:r>
    </w:p>
    <w:p w14:paraId="7AB3A973" w14:textId="77777777" w:rsidR="007C4598" w:rsidRDefault="007C4598"/>
    <w:p w14:paraId="59788F72" w14:textId="77777777" w:rsidR="007C4598" w:rsidRDefault="00000000">
      <w:pPr>
        <w:jc w:val="both"/>
      </w:pPr>
      <w:r>
        <w:t xml:space="preserve">Telaio HTA · </w:t>
      </w:r>
      <w:proofErr w:type="spellStart"/>
      <w:r>
        <w:t>Five</w:t>
      </w:r>
      <w:proofErr w:type="spellEnd"/>
      <w:r>
        <w:t xml:space="preserve"> Case Model · CHEERS 2022 · criteri OCSE-DAC</w:t>
      </w:r>
    </w:p>
    <w:p w14:paraId="0123ED32" w14:textId="77777777" w:rsidR="007C4598" w:rsidRDefault="007C4598"/>
    <w:p w14:paraId="5A4F5667" w14:textId="77777777" w:rsidR="007C4598" w:rsidRDefault="00000000">
      <w:pPr>
        <w:jc w:val="both"/>
      </w:pPr>
      <w:r>
        <w:t>Cascata gerarchica piramidale dallo Psicologo di Base · perimetro multidisciplinare integrale</w:t>
      </w:r>
    </w:p>
    <w:p w14:paraId="30B292F3" w14:textId="77777777" w:rsidR="007C4598" w:rsidRDefault="007C4598"/>
    <w:p w14:paraId="4DBC37F0" w14:textId="77777777" w:rsidR="007C4598" w:rsidRDefault="00000000">
      <w:pPr>
        <w:jc w:val="both"/>
      </w:pPr>
      <w:r>
        <w:rPr>
          <w:b/>
          <w:bCs/>
        </w:rPr>
        <w:t>Autore intellettuale della riforma: Luigi De Michele</w:t>
      </w:r>
    </w:p>
    <w:p w14:paraId="48BACCDA" w14:textId="77777777" w:rsidR="007C4598" w:rsidRDefault="007C4598"/>
    <w:p w14:paraId="415198CB" w14:textId="77777777" w:rsidR="007C4598" w:rsidRDefault="00000000">
      <w:pPr>
        <w:jc w:val="both"/>
      </w:pPr>
      <w:r>
        <w:t>Codice fiscale DMCLGU82E11Z112C · PEC luigidemichele@legalmail.it</w:t>
      </w:r>
    </w:p>
    <w:p w14:paraId="725F762A" w14:textId="77777777" w:rsidR="007C4598" w:rsidRDefault="007C4598"/>
    <w:p w14:paraId="534521F7" w14:textId="77777777" w:rsidR="007C4598" w:rsidRDefault="00000000">
      <w:pPr>
        <w:jc w:val="both"/>
      </w:pPr>
      <w:r>
        <w:t>Giugno 2026</w:t>
      </w:r>
    </w:p>
    <w:p w14:paraId="1E34F28D"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9026"/>
      </w:tblGrid>
      <w:tr w:rsidR="007C4598" w14:paraId="57A45085"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049BB53" w14:textId="77777777" w:rsidR="007C4598" w:rsidRDefault="00000000">
            <w:pPr>
              <w:spacing w:after="40"/>
            </w:pPr>
            <w:r>
              <w:rPr>
                <w:b/>
                <w:bCs/>
                <w:color w:val="FFFFFF"/>
                <w:sz w:val="18"/>
                <w:szCs w:val="18"/>
              </w:rPr>
              <w:t xml:space="preserve">Avvertenza sui vincoli metodologici invarianti La presente parte stabilisce la cornice di legittimità e di responsabilità della riforma del Servizio di Psicologia di Base in Puglia, ossia il fondamento giuridico ed etico entro cui la riforma trova la propria autorità e i propri limiti. Essa colloca la riforma entro il quadro costituzionale e convenzionale del diritto alla salute e entro il quadro normativo regionale e nazionale, ne esamina la protezione dei dati e la </w:t>
            </w:r>
            <w:proofErr w:type="spellStart"/>
            <w:r>
              <w:rPr>
                <w:b/>
                <w:bCs/>
                <w:color w:val="FFFFFF"/>
                <w:sz w:val="18"/>
                <w:szCs w:val="18"/>
              </w:rPr>
              <w:t>governance</w:t>
            </w:r>
            <w:proofErr w:type="spellEnd"/>
            <w:r>
              <w:rPr>
                <w:b/>
                <w:bCs/>
                <w:color w:val="FFFFFF"/>
                <w:sz w:val="18"/>
                <w:szCs w:val="18"/>
              </w:rPr>
              <w:t xml:space="preserve"> dell’Intelligenza Artificiale, l’etica professionale e la supervisione umana, e i profili organizzativi e di responsabilità. L’analisi di questa parte ha carattere normativo, e non quantitativo: essa non introduce nuove grandezze economiche, né modifica quelle stabilite dalle parti precedenti, ma stabilisce la cornice giuridica ed etica entro cui la riforma opera. La gradazione dell’evidenza secondo i criteri GRADE e la formulazione in bande prudenziali falsificabili, che governano le stime empiriche dello studio, si applicano alle sole affermazioni empiriche, in questa parte pressoché assenti; le proposizioni giuridiche ed etiche sono invece valutate secondo la solidità del loro fondamento nelle fonti. L’Intelligenza Artificiale è trattata, sotto il profilo della </w:t>
            </w:r>
            <w:proofErr w:type="spellStart"/>
            <w:r>
              <w:rPr>
                <w:b/>
                <w:bCs/>
                <w:color w:val="FFFFFF"/>
                <w:sz w:val="18"/>
                <w:szCs w:val="18"/>
              </w:rPr>
              <w:t>governance</w:t>
            </w:r>
            <w:proofErr w:type="spellEnd"/>
            <w:r>
              <w:rPr>
                <w:b/>
                <w:bCs/>
                <w:color w:val="FFFFFF"/>
                <w:sz w:val="18"/>
                <w:szCs w:val="18"/>
              </w:rPr>
              <w:t xml:space="preserve">, nella sua posizione subordinata di strumento abilitante soggetto alla supervisione umana, quale la quarta parte l’ha stabilita; la presente parte ne esamina la cornice di protezione dei dati, di responsabilità e di trasparenza, senza elevarla a oggetto centrale dell’analisi. La distinzione tra le tre dimensioni del valore — fiscale diretta, sociale indiretta e di salute — e i vincoli invarianti dello studio, tra cui il duplice intervallo di </w:t>
            </w:r>
            <w:proofErr w:type="spellStart"/>
            <w:r>
              <w:rPr>
                <w:b/>
                <w:bCs/>
                <w:color w:val="FFFFFF"/>
                <w:sz w:val="18"/>
                <w:szCs w:val="18"/>
              </w:rPr>
              <w:t>Chisholm</w:t>
            </w:r>
            <w:proofErr w:type="spellEnd"/>
            <w:r>
              <w:rPr>
                <w:b/>
                <w:bCs/>
                <w:color w:val="FFFFFF"/>
                <w:sz w:val="18"/>
                <w:szCs w:val="18"/>
              </w:rPr>
              <w:t xml:space="preserve"> e il </w:t>
            </w:r>
            <w:proofErr w:type="spellStart"/>
            <w:r>
              <w:rPr>
                <w:b/>
                <w:bCs/>
                <w:color w:val="FFFFFF"/>
                <w:sz w:val="18"/>
                <w:szCs w:val="18"/>
              </w:rPr>
              <w:t>caveat</w:t>
            </w:r>
            <w:proofErr w:type="spellEnd"/>
            <w:r>
              <w:rPr>
                <w:b/>
                <w:bCs/>
                <w:color w:val="FFFFFF"/>
                <w:sz w:val="18"/>
                <w:szCs w:val="18"/>
              </w:rPr>
              <w:t xml:space="preserve"> dell’IMPACT trial, sono preservati ove le grandezze economiche delle parti precedenti sono richiamate. I profili etico-giuridico-organizzativi qui esaminati costituiscono le condizioni di legittimità e di responsabilità della riforma, la cui attuazione è rimessa alla quattordicesima parte e la cui osservanza è oggetto del monitoraggio della quindicesima parte.</w:t>
            </w:r>
          </w:p>
        </w:tc>
      </w:tr>
    </w:tbl>
    <w:p w14:paraId="55B1D169" w14:textId="77777777" w:rsidR="007C4598" w:rsidRDefault="007C4598"/>
    <w:p w14:paraId="21BB93D8" w14:textId="77777777" w:rsidR="007C4598" w:rsidRDefault="00000000">
      <w:pPr>
        <w:pStyle w:val="Titolo1"/>
        <w:pageBreakBefore/>
      </w:pPr>
      <w:r>
        <w:rPr>
          <w:sz w:val="22"/>
          <w:szCs w:val="22"/>
        </w:rPr>
        <w:t>Premessa</w:t>
      </w:r>
    </w:p>
    <w:p w14:paraId="3423921F" w14:textId="77777777" w:rsidR="007C4598" w:rsidRDefault="007C4598"/>
    <w:p w14:paraId="53A98222" w14:textId="77777777" w:rsidR="007C4598" w:rsidRDefault="00000000">
      <w:pPr>
        <w:jc w:val="both"/>
      </w:pPr>
      <w:r>
        <w:rPr>
          <w:i/>
          <w:iCs/>
        </w:rPr>
        <w:t xml:space="preserve">La tredicesima parte stabilisce la cornice di legittimità e di responsabilità della riforma del Servizio di Psicologia di Base in Puglia. Le parti precedenti ne hanno valutato l’efficacia, il valore economico, la robustezza e la distribuzione; la presente parte ne esamina il fondamento giuridico ed etico, ossia la cornice di principi e di norme entro cui la riforma trova la propria autorità e i propri limiti. Essa pone una domanda distinta da quelle delle parti precedenti: non se la riforma sia efficace, conveniente o equa, ma se essa sia legittima e responsabile, ossia se trovi nel quadro costituzionale, convenzionale e normativo il proprio fondamento, e se la sua attuazione sia governata da regole di responsabilità, di protezione dei dati, di </w:t>
      </w:r>
      <w:proofErr w:type="spellStart"/>
      <w:r>
        <w:rPr>
          <w:i/>
          <w:iCs/>
        </w:rPr>
        <w:t>governance</w:t>
      </w:r>
      <w:proofErr w:type="spellEnd"/>
      <w:r>
        <w:rPr>
          <w:i/>
          <w:iCs/>
        </w:rPr>
        <w:t xml:space="preserve"> dell’Intelligenza Artificiale e di etica professionale, che ne assicurino la conformità ai principi dell’ordinamento.</w:t>
      </w:r>
    </w:p>
    <w:p w14:paraId="28F22825" w14:textId="77777777" w:rsidR="007C4598" w:rsidRDefault="007C4598"/>
    <w:p w14:paraId="6CFAEC74" w14:textId="77777777" w:rsidR="007C4598" w:rsidRDefault="00000000">
      <w:pPr>
        <w:jc w:val="both"/>
      </w:pPr>
      <w:r>
        <w:t xml:space="preserve">La cornice di legittimità e di responsabilità non è una formalità accessoria, ma una condizione sostanziale della riforma, distinta dal suo valore e a esso non riducibile. Una riforma può essere efficace, conveniente ed equa, e tuttavia difettare della legittimità che l’ordinamento conferisce, ove non trovi fondamento nei principi costituzionali e convenzionali e nelle norme che la istituiscono; e può essere legittima nel suo fondamento, e tuttavia difettare della responsabilità che ne governa l’attuazione, ove non sia disciplinata da regole di protezione dei dati, di </w:t>
      </w:r>
      <w:proofErr w:type="spellStart"/>
      <w:r>
        <w:t>governance</w:t>
      </w:r>
      <w:proofErr w:type="spellEnd"/>
      <w:r>
        <w:t xml:space="preserve"> degli strumenti tecnologici e di etica professionale. La legittimità e la responsabilità sono perciò condizioni autonome della riforma, distinte dal suo valore: il valore attiene a ciò che la riforma produce — l’efficacia, la convenienza, l’equità — la legittimità e la responsabilità attengono al fondamento e alle regole della sua azione. La presente parte esamina queste condizioni autonome, che le parti precedenti non hanno esaminato, e ne stabilisce la sussistenza: essa verifica che la riforma trovi nel quadro costituzionale, convenzionale e normativo il proprio fondamento, e che la sua attuazione sia governata dalle regole di responsabilità che ne assicurano la conformità ai principi. La legittimità e la responsabilità completano così la valutazione della riforma con le condizioni del fondamento e delle regole, accanto alle condizioni del valore già esaminate.</w:t>
      </w:r>
    </w:p>
    <w:p w14:paraId="714E163F" w14:textId="77777777" w:rsidR="007C4598" w:rsidRDefault="007C4598"/>
    <w:p w14:paraId="5BB875AE" w14:textId="77777777" w:rsidR="007C4598" w:rsidRDefault="00000000">
      <w:pPr>
        <w:jc w:val="both"/>
      </w:pPr>
      <w:r>
        <w:t xml:space="preserve">L’analisi di questa parte ha carattere normativo, e ciò ne determina la natura, distinta da quella delle parti precedenti. Le parti precedenti hanno condotto un’analisi empirica e quantitativa, che misura grandezze — l’efficacia, i costi, i risparmi, i benefici, la loro distribuzione — e ne formula la stima in bande prudenziali falsificabili, graduate secondo la qualità dell’evidenza con i criteri GRADE. La presente parte conduce un’analisi normativa, che non misura grandezze, ma esamina principi e norme, e ne valuta la solidità come fondamento della riforma; essa non introduce nuove grandezze economiche, né modifica quelle stabilite dalle parti precedenti, ma stabilisce la cornice giuridica ed etica entro cui la riforma opera. La gradazione dell’evidenza secondo i criteri GRADE e la formulazione in bande prudenziali falsificabili, che governano le stime empiriche dello studio, si applicano alle sole affermazioni empiriche, in questa parte pressoché assenti; le proposizioni giuridiche ed etiche sono invece valutate secondo la solidità del loro fondamento nelle fonti, ossia secondo il loro radicamento nei principi costituzionali e convenzionali e nelle norme. La distinzione tra l’analisi empirica delle parti precedenti e l’analisi normativa della presente parte è essenziale per intenderne la natura: la presente parte non aggiunge una grandezza alla rinegoziazione dei costi e dei benefici, ma ne stabilisce la cornice di legittimità e di responsabilità, entro cui le grandezze stabilite trovano il proprio fondamento giuridico. I vincoli invarianti dello studio — la distinzione tra le tre dimensioni del valore, il duplice intervallo di </w:t>
      </w:r>
      <w:proofErr w:type="spellStart"/>
      <w:r>
        <w:t>Chisholm</w:t>
      </w:r>
      <w:proofErr w:type="spellEnd"/>
      <w:r>
        <w:t xml:space="preserve">, il </w:t>
      </w:r>
      <w:proofErr w:type="spellStart"/>
      <w:r>
        <w:t>caveat</w:t>
      </w:r>
      <w:proofErr w:type="spellEnd"/>
      <w:r>
        <w:t xml:space="preserve"> dell’IMPACT trial — sono preservati ove le grandezze economiche delle parti precedenti sono richiamate.</w:t>
      </w:r>
    </w:p>
    <w:p w14:paraId="4E878BB9" w14:textId="77777777" w:rsidR="007C4598" w:rsidRDefault="007C4598"/>
    <w:p w14:paraId="4108072F" w14:textId="77777777" w:rsidR="007C4598" w:rsidRDefault="00000000">
      <w:pPr>
        <w:pStyle w:val="Titolo1"/>
        <w:pageBreakBefore/>
      </w:pPr>
      <w:r>
        <w:rPr>
          <w:sz w:val="22"/>
          <w:szCs w:val="22"/>
        </w:rPr>
        <w:t>Introduzione</w:t>
      </w:r>
    </w:p>
    <w:p w14:paraId="6C085AC8" w14:textId="77777777" w:rsidR="007C4598" w:rsidRDefault="007C4598"/>
    <w:p w14:paraId="178F9A27" w14:textId="77777777" w:rsidR="007C4598" w:rsidRDefault="00000000">
      <w:pPr>
        <w:jc w:val="both"/>
      </w:pPr>
      <w:r>
        <w:rPr>
          <w:i/>
          <w:iCs/>
        </w:rPr>
        <w:t xml:space="preserve">L’introduzione espone l’oggetto, l’articolazione e il metodo della tredicesima parte. La parte esamina i profili etico-giuridico-organizzativi della riforma lungo cinque voci — il quadro costituzionale e convenzionale, il quadro normativo regionale e nazionale, la protezione dei dati e la </w:t>
      </w:r>
      <w:proofErr w:type="spellStart"/>
      <w:r>
        <w:rPr>
          <w:i/>
          <w:iCs/>
        </w:rPr>
        <w:t>governance</w:t>
      </w:r>
      <w:proofErr w:type="spellEnd"/>
      <w:r>
        <w:rPr>
          <w:i/>
          <w:iCs/>
        </w:rPr>
        <w:t xml:space="preserve"> dell’Intelligenza Artificiale, l’etica professionale e la supervisione umana, e i profili organizzativi e di responsabilità. L’introduzione definisce questi cinque profili, ne dichiara l’ordine, illustra il modo in cui la parte li esamina e il rapporto che essa intrattiene con le parti che la precedono e la seguono.</w:t>
      </w:r>
    </w:p>
    <w:p w14:paraId="7B19886E" w14:textId="77777777" w:rsidR="007C4598" w:rsidRDefault="007C4598"/>
    <w:p w14:paraId="1D93E1FE" w14:textId="77777777" w:rsidR="007C4598" w:rsidRDefault="00000000">
      <w:pPr>
        <w:jc w:val="both"/>
      </w:pPr>
      <w:r>
        <w:t xml:space="preserve">La parte esamina cinque profili, che ricompongono la cornice di legittimità e di responsabilità della riforma. Il primo profilo è il quadro costituzionale e convenzionale del diritto alla salute, che costituisce il fondamento ultimo della riforma, radicandola nel diritto alla salute quale principio dell’ordinamento costituzionale e degli strumenti convenzionali. Il secondo profilo è il quadro normativo regionale e nazionale, che costituisce il fondamento prossimo della riforma, istituendola attraverso la legge regionale e collocandola entro la cornice delle norme nazionali. Il terzo profilo è la protezione dei dati e la </w:t>
      </w:r>
      <w:proofErr w:type="spellStart"/>
      <w:r>
        <w:t>governance</w:t>
      </w:r>
      <w:proofErr w:type="spellEnd"/>
      <w:r>
        <w:t xml:space="preserve"> dell’Intelligenza Artificiale, che costituisce la cornice di responsabilità nell’impiego degli strumenti digitali, assicurando la riservatezza, la responsabilità e la trasparenza nel trattamento dei dati e nell’uso dell’Intelligenza Artificiale. Il quarto profilo è l’etica professionale e la supervisione umana, che costituisce la cornice deontologica dell’azione del professionista, governandone la condotta e assicurando la supervisione umana sugli strumenti. Il quinto profilo è quello dei profili organizzativi e di responsabilità, che costituisce la cornice della distribuzione delle funzioni e delle responsabilità tra le figure e le istituzioni, disciplinando l’organizzazione del servizio. I cinque profili sono distinti ma connessi: il fondamento costituzionale e convenzionale si specifica nel quadro normativo, che a sua volta richiede le cornici di responsabilità nell’impiego degli strumenti, nell’azione professionale e nell’organizzazione del servizio.</w:t>
      </w:r>
    </w:p>
    <w:p w14:paraId="4D5194AE" w14:textId="77777777" w:rsidR="007C4598" w:rsidRDefault="007C4598"/>
    <w:p w14:paraId="4DC1B505" w14:textId="77777777" w:rsidR="007C4598" w:rsidRDefault="00000000">
      <w:pPr>
        <w:jc w:val="both"/>
      </w:pPr>
      <w:r>
        <w:t xml:space="preserve">L’ordine dei cinque profili procede dal fondamento ultimo alle regole dell’azione, secondo una sequenza che muove dai principi alle loro specificazioni. Il quadro costituzionale e convenzionale, esaminato per primo, è il fondamento ultimo, perché radica la riforma nei principi dell’ordinamento costituzionale e convenzionale, dai quali ogni altra norma e regola discende. Il quadro normativo regionale e nazionale, esaminato in secondo luogo, è il fondamento prossimo, perché istituisce la riforma attraverso le norme che ne danno esistenza giuridica, specificando i principi costituzionali nella disciplina concreta. La protezione dei dati e la </w:t>
      </w:r>
      <w:proofErr w:type="spellStart"/>
      <w:r>
        <w:t>governance</w:t>
      </w:r>
      <w:proofErr w:type="spellEnd"/>
      <w:r>
        <w:t xml:space="preserve"> dell’Intelligenza Artificiale, l’etica professionale e la supervisione umana, e i profili organizzativi e di responsabilità, esaminati in terzo, quarto e quinto luogo, sono le cornici di responsabilità che governano l’azione della riforma, specificando il fondamento normativo nelle regole concrete dell’impiego degli strumenti, dell’azione professionale e dell’organizzazione del servizio. Quest’ordine corrisponde all’articolazione della parte in cinque voci, dalla prima dedicata al quadro costituzionale e convenzionale alla quinta dedicata ai profili organizzativi e di responsabilità, e riflette la struttura della cornice di legittimità e di responsabilità, che muove dal fondamento ultimo alle regole dell’azione.</w:t>
      </w:r>
    </w:p>
    <w:p w14:paraId="1B4A6A8B" w14:textId="77777777" w:rsidR="007C4598" w:rsidRDefault="007C4598"/>
    <w:p w14:paraId="10E6154A" w14:textId="77777777" w:rsidR="007C4598" w:rsidRDefault="00000000">
      <w:pPr>
        <w:jc w:val="both"/>
      </w:pPr>
      <w:r>
        <w:t xml:space="preserve">La parte intrattiene un rapporto definito con le parti che la precedono e la seguono, di cui costituisce il fondamento giuridico ed etico. Verso le parti precedenti, essa fornisce la cornice di legittimità e di responsabilità entro cui le valutazioni del valore — l’efficacia, la convenienza, l’equità — trovano il proprio fondamento giuridico: la riforma, valutata efficace, conveniente ed equa dalle parti precedenti, è qui mostrata legittima e responsabile, sì che il suo valore si fonda su una cornice giuridica ed etica solida. Verso le parti successive, essa consegna le condizioni di legittimità e di responsabilità alla quattordicesima parte, dedicata all’attuazione, che dovrà tradurle in misure attuative — gli atti normativi attuativi, le misure di protezione dei dati e di </w:t>
      </w:r>
      <w:proofErr w:type="spellStart"/>
      <w:r>
        <w:t>governance</w:t>
      </w:r>
      <w:proofErr w:type="spellEnd"/>
      <w:r>
        <w:t>, le regole deontologiche e organizzative — e alla quindicesima parte, dedicata al monitoraggio, che dovrà verificarne l’osservanza. La parte si colloca dunque tra la valutazione del valore, che la precede, e l’attuazione e il monitoraggio, che la seguono, e vi aggiunge la dimensione della legittimità e della responsabilità, che le altre parti non hanno esaminato. Essa è, nella struttura dello studio, il luogo in cui la valutazione del valore si completa nella valutazione del fondamento e delle regole, e in cui la domanda sull’efficacia, sulla convenienza e sull’equità della riforma si completa nella domanda sulla sua legittimità e responsabilità.</w:t>
      </w:r>
    </w:p>
    <w:p w14:paraId="65CB7399" w14:textId="77777777" w:rsidR="007C4598" w:rsidRDefault="007C4598"/>
    <w:p w14:paraId="491EABDE" w14:textId="77777777" w:rsidR="007C4598" w:rsidRDefault="00000000">
      <w:pPr>
        <w:pStyle w:val="Titolo1"/>
        <w:pageBreakBefore/>
      </w:pPr>
      <w:r>
        <w:rPr>
          <w:sz w:val="22"/>
          <w:szCs w:val="22"/>
        </w:rPr>
        <w:t>13.1  Il quadro costituzionale e convenzionale e il diritto alla salute</w:t>
      </w:r>
    </w:p>
    <w:p w14:paraId="38B44415" w14:textId="77777777" w:rsidR="007C4598" w:rsidRDefault="007C4598"/>
    <w:p w14:paraId="76A4AAB3" w14:textId="77777777" w:rsidR="007C4598" w:rsidRDefault="00000000">
      <w:pPr>
        <w:jc w:val="both"/>
      </w:pPr>
      <w:r>
        <w:rPr>
          <w:i/>
          <w:iCs/>
        </w:rPr>
        <w:t>La prima voce stabilisce il fondamento ultimo della riforma nel quadro costituzionale e convenzionale del diritto alla salute. Essa espone la logica del fondamento costituzionale e convenzionale, esamina il diritto alla salute nella Costituzione e la sua estensione alla salute mentale, ricostruisce il quadro convenzionale e sovranazionale, mostra il fondamento del primo livello psicologico nei principi costituzionali e convenzionali, e ne traccia infine i confini, dichiarando il carattere normativo dell’analisi e il rinvio alle voci successive.</w:t>
      </w:r>
    </w:p>
    <w:p w14:paraId="26358366" w14:textId="77777777" w:rsidR="007C4598" w:rsidRDefault="007C4598"/>
    <w:p w14:paraId="6DFEA8F5" w14:textId="77777777" w:rsidR="007C4598" w:rsidRDefault="00000000">
      <w:pPr>
        <w:pStyle w:val="Titolo2"/>
        <w:spacing w:before="200" w:after="100"/>
      </w:pPr>
      <w:r>
        <w:rPr>
          <w:sz w:val="22"/>
          <w:szCs w:val="22"/>
        </w:rPr>
        <w:t>13.1.1  La logica del fondamento costituzionale e convenzionale</w:t>
      </w:r>
    </w:p>
    <w:p w14:paraId="5DA4B517" w14:textId="77777777" w:rsidR="007C4598" w:rsidRDefault="007C4598"/>
    <w:p w14:paraId="12C41763" w14:textId="77777777" w:rsidR="007C4598" w:rsidRDefault="00000000">
      <w:pPr>
        <w:jc w:val="both"/>
      </w:pPr>
      <w:r>
        <w:t>Il fondamento costituzionale e convenzionale è il radicamento della riforma nei principi supremi dell’ordinamento, che ne costituisce il fondamento ultimo e ne assicura la legittimità. Una riforma che istituisce un nuovo servizio sanitario non è un atto isolato, ma un atto che si inscrive nell’ordinamento giuridico, e che da esso trae la propria autorità e i propri limiti; e l’ordinamento giuridico ha, al suo vertice, i principi costituzionali e convenzionali, che ne costituiscono il fondamento supremo, ai quali ogni altra norma e ogni atto devono conformarsi. Il fondamento costituzionale e convenzionale di una riforma è il suo radicamento in questi principi supremi: esso àncora la riforma ai principi dai quali ogni altra norma discende, e le conferisce così la legittimità che deriva dalla conformità ai principi supremi dell’ordinamento. La logica del fondamento costituzionale e convenzionale muove dal riconoscimento che la legittimità di una riforma non si esaurisce nella sua istituzione attraverso una norma, ma richiede che la norma istitutiva, e la riforma che essa istituisce, si conformino ai principi costituzionali e convenzionali, dai quali la norma trae la propria validità. Il fondamento costituzionale e convenzionale è perciò il fondamento ultimo della riforma, distinto dal fondamento prossimo che la norma istitutiva costituisce: la norma istituisce la riforma, ma è la sua conformità ai principi costituzionali e convenzionali che ne assicura la legittimità ultima.</w:t>
      </w:r>
      <w:r>
        <w:rPr>
          <w:color w:val="555555"/>
          <w:sz w:val="16"/>
          <w:szCs w:val="16"/>
          <w:vertAlign w:val="superscript"/>
        </w:rPr>
        <w:t>[1]</w:t>
      </w:r>
    </w:p>
    <w:p w14:paraId="07C1F740" w14:textId="77777777" w:rsidR="007C4598" w:rsidRDefault="007C4598"/>
    <w:p w14:paraId="37371443" w14:textId="77777777" w:rsidR="007C4598" w:rsidRDefault="00000000">
      <w:pPr>
        <w:jc w:val="both"/>
      </w:pPr>
      <w:r>
        <w:t>Il fondamento costituzionale e convenzionale opera, rispetto alla riforma, come fondamento e come limite, secondo una duplice funzione. Come fondamento, esso radica la riforma nei principi supremi, e le conferisce la legittimità che deriva dalla loro attuazione: la riforma che attua un principio costituzionale o convenzionale trova in quel principio il proprio fondamento, e la propria attuazione del principio ne costituisce la giustificazione ultima. Come limite, esso circoscrive la riforma entro i confini che i principi supremi tracciano, e le impone la conformità ad essi: la riforma non può eccedere i limiti che i principi costituzionali e convenzionali pongono, né violarli, e la sua conformità ad essi è la condizione della sua legittimità. La duplice funzione del fondamento costituzionale e convenzionale — fondamento e limite — è essenziale per intendere il rapporto tra la riforma e i principi supremi: la riforma trova nei principi il proprio fondamento, e ne è al tempo stesso circoscritta; essa li attua, e ad essi si conforma. La presente voce esamina il fondamento costituzionale e convenzionale della riforma sotto entrambe le funzioni: essa mostra come la riforma attui i principi del diritto alla salute, dell’uguaglianza sostanziale e della tutela delle persone con disabilità, trovando in essi il proprio fondamento; e come essa si conformi ai limiti che tali principi pongono, in particolare quanto alla riservatezza, alla non discriminazione e al rispetto della persona, che le voci successive esamineranno nelle loro specificazioni.</w:t>
      </w:r>
    </w:p>
    <w:p w14:paraId="57112927" w14:textId="77777777" w:rsidR="007C4598" w:rsidRDefault="007C4598"/>
    <w:p w14:paraId="48649CB4" w14:textId="77777777" w:rsidR="007C4598" w:rsidRDefault="00000000">
      <w:pPr>
        <w:pStyle w:val="Titolo2"/>
        <w:spacing w:before="200" w:after="100"/>
      </w:pPr>
      <w:r>
        <w:rPr>
          <w:sz w:val="22"/>
          <w:szCs w:val="22"/>
        </w:rPr>
        <w:t>13.1.2  Il diritto alla salute nella Costituzione e la salute mentale</w:t>
      </w:r>
    </w:p>
    <w:p w14:paraId="56DC6F92" w14:textId="77777777" w:rsidR="007C4598" w:rsidRDefault="007C4598"/>
    <w:p w14:paraId="61B10722" w14:textId="77777777" w:rsidR="007C4598" w:rsidRDefault="00000000">
      <w:pPr>
        <w:jc w:val="both"/>
      </w:pPr>
      <w:r>
        <w:t>Il fondamento costituzionale della riforma risiede nel diritto alla salute, che la Costituzione tutela come diritto fondamentale dell’individuo e interesse della collettività. La Costituzione, all’articolo trentadue, tutela la salute come fondamentale diritto dell’individuo e interesse della collettività, e garantisce cure gratuite agli indigenti; e questa disposizione, che qualifica la salute come l’unico diritto cui la Costituzione attribuisce espressamente il carattere di fondamentale, costituisce il fondamento costituzionale della provvista pubblica della cura. Il diritto alla salute ha, secondo l’interpretazione consolidata, una duplice natura: una dimensione negativa, che protegge l’individuo da lesioni della propria salute, e una dimensione positiva, che fonda la pretesa dell’individuo alla provvista della cura. La dimensione positiva del diritto alla salute è il fondamento della provvista pubblica dei servizi sanitari, e in particolare dei livelli essenziali di assistenza, che costituiscono il contenuto minimo del diritto alla salute, garantito su tutto il territorio. La riforma del primo livello psicologico attua la dimensione positiva del diritto alla salute, estendendo la provvista pubblica al primo livello della cura psicologica: essa realizza, per la salute mentale, la pretesa dell’individuo alla provvista della cura, che il diritto alla salute fonda.</w:t>
      </w:r>
      <w:r>
        <w:rPr>
          <w:color w:val="555555"/>
          <w:sz w:val="16"/>
          <w:szCs w:val="16"/>
          <w:vertAlign w:val="superscript"/>
        </w:rPr>
        <w:t>[2]</w:t>
      </w:r>
    </w:p>
    <w:p w14:paraId="5F6B8E0C" w14:textId="77777777" w:rsidR="007C4598" w:rsidRDefault="007C4598"/>
    <w:p w14:paraId="3C355560" w14:textId="77777777" w:rsidR="007C4598" w:rsidRDefault="00000000">
      <w:pPr>
        <w:jc w:val="both"/>
      </w:pPr>
      <w:r>
        <w:t>Il diritto alla salute si estende alla salute mentale, che ne costituisce parte integrante, e che il diritto alla salute tutela in misura pari alla salute fisica. La salute, nella nozione che l’ordinamento e la scienza hanno consolidato, non è la mera assenza di malattia fisica, ma uno stato di benessere che comprende la dimensione mentale; e il diritto alla salute, che tutela la salute, tutela perciò anche la salute mentale, in misura pari alla salute fisica. L’estensione del diritto alla salute alla salute mentale ha conseguenze per la riforma: essa implica che la provvista pubblica della cura, che il diritto alla salute fonda, comprende la cura del disagio mentale, e che l’individuo ha, per la salute mentale, la medesima pretesa alla provvista della cura che ha per la salute fisica. La riforma del primo livello psicologico attua questa pretesa, estendendo la provvista pubblica al primo livello della cura del disagio mentale, che oggi è in larga parte affidata alla provvista privata o non soddisfatta; essa colma così una lacuna nella provvista pubblica della cura della salute mentale, attuando la pretesa che il diritto alla salute fonda. Il fondamento costituzionale della riforma risiede dunque nel diritto alla salute, esteso alla salute mentale: la riforma attua la dimensione positiva del diritto alla salute per la salute mentale, realizzando la pretesa dell’individuo alla provvista della cura del disagio mentale, e trovando in tale pretesa il proprio fondamento costituzionale.</w:t>
      </w:r>
    </w:p>
    <w:p w14:paraId="651916BE" w14:textId="77777777" w:rsidR="007C4598" w:rsidRDefault="007C4598"/>
    <w:p w14:paraId="0E8A732F" w14:textId="77777777" w:rsidR="007C4598" w:rsidRDefault="00000000">
      <w:pPr>
        <w:jc w:val="both"/>
      </w:pPr>
      <w:r>
        <w:t>Al fondamento nel diritto alla salute si aggiunge il fondamento nel principio di uguaglianza sostanziale, che la riforma attua estendendo l’accesso alla cura. La Costituzione, all’articolo terzo, secondo comma, attribuisce alla Repubblica il compito di rimuovere gli ostacoli che, limitando di fatto la libertà e l’uguaglianza, impediscono il pieno sviluppo della persona; e questo principio di uguaglianza sostanziale, che impone la rimozione degli ostacoli di fatto all’uguaglianza, costituisce un ulteriore fondamento della riforma. La riforma del primo livello psicologico attua il principio di uguaglianza sostanziale, perché rimuove un ostacolo di fatto all’uguaglianza nell’accesso alla cura del disagio mentale: l’ostacolo costituito dal costo della cura privata, che esclude i gruppi svantaggiati, e dalla lacuna nella provvista pubblica, che lascia il disagio non intercettato. Estendendo la provvista pubblica al primo livello della cura psicologica, e rendendola accessibile a tutti indipendentemente dalla capacità di spesa, la riforma rimuove questo ostacolo, e attua il principio di uguaglianza sostanziale, riducendo la diseguaglianza nell’accesso alla cura che la dodicesima parte ha esaminato. Il fondamento della riforma nel principio di uguaglianza sostanziale si connette così alla valutazione dell’equità condotta nella dodicesima parte: ciò che la dodicesima parte ha esaminato come distribuzione del valore tra i gruppi, la presente voce lo fonda nel principio costituzionale di uguaglianza sostanziale, che impone la rimozione degli ostacoli all’uguaglianza nell’accesso alla cura.</w:t>
      </w:r>
    </w:p>
    <w:p w14:paraId="707184B9" w14:textId="77777777" w:rsidR="007C4598" w:rsidRDefault="007C4598"/>
    <w:p w14:paraId="4DFDA551" w14:textId="77777777" w:rsidR="007C4598" w:rsidRDefault="00000000">
      <w:pPr>
        <w:pStyle w:val="Titolo2"/>
        <w:spacing w:before="200" w:after="100"/>
      </w:pPr>
      <w:r>
        <w:rPr>
          <w:sz w:val="22"/>
          <w:szCs w:val="22"/>
        </w:rPr>
        <w:t>13.1.3  Il quadro convenzionale e sovranazionale</w:t>
      </w:r>
    </w:p>
    <w:p w14:paraId="16BBF4DD" w14:textId="77777777" w:rsidR="007C4598" w:rsidRDefault="007C4598"/>
    <w:p w14:paraId="43AD6CFF" w14:textId="77777777" w:rsidR="007C4598" w:rsidRDefault="00000000">
      <w:pPr>
        <w:jc w:val="both"/>
      </w:pPr>
      <w:r>
        <w:t>Al fondamento costituzionale si aggiunge il fondamento convenzionale e sovranazionale, costituito dagli strumenti internazionali ed europei che tutelano il diritto alla salute e la non discriminazione. L’ordinamento italiano si inscrive in un quadro convenzionale e sovranazionale, costituito dagli strumenti internazionali ed europei che l’Italia ha ratificato o ai quali è vincolata, i quali tutelano i diritti fondamentali, tra cui il diritto alla salute, e che concorrono a fondare la riforma. Questi strumenti operano, rispetto all’ordinamento interno, secondo modalità diverse — taluni come norme interposte nel giudizio di costituzionalità, taluni come fonti dell’ordinamento dell’Unione europea, taluni come obblighi internazionali — ma concorrono tutti a rafforzare il fondamento della riforma, aggiungendo al fondamento costituzionale interno il fondamento convenzionale e sovranazionale. La tabella che segue ricostruisce le principali fonti del fondamento costituzionale e convenzionale del diritto alla salute, indicando per ciascuna la disposizione rilevante, il contenuto per il diritto alla salute e il rilievo per il primo livello psicologico.</w:t>
      </w:r>
      <w:r>
        <w:rPr>
          <w:color w:val="555555"/>
          <w:sz w:val="16"/>
          <w:szCs w:val="16"/>
          <w:vertAlign w:val="superscript"/>
        </w:rPr>
        <w:t>[3]</w:t>
      </w:r>
    </w:p>
    <w:p w14:paraId="6F3B3AA4"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2256"/>
        <w:gridCol w:w="2256"/>
        <w:gridCol w:w="2257"/>
        <w:gridCol w:w="2257"/>
      </w:tblGrid>
      <w:tr w:rsidR="007C4598" w14:paraId="09452639" w14:textId="77777777">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E4594C5" w14:textId="77777777" w:rsidR="007C4598" w:rsidRDefault="00000000">
            <w:pPr>
              <w:spacing w:after="40"/>
            </w:pPr>
            <w:r>
              <w:rPr>
                <w:b/>
                <w:bCs/>
                <w:color w:val="FFFFFF"/>
                <w:sz w:val="18"/>
                <w:szCs w:val="18"/>
              </w:rPr>
              <w:t>Fonte</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E6938AF" w14:textId="77777777" w:rsidR="007C4598" w:rsidRDefault="00000000">
            <w:pPr>
              <w:spacing w:after="40"/>
            </w:pPr>
            <w:r>
              <w:rPr>
                <w:b/>
                <w:bCs/>
                <w:color w:val="FFFFFF"/>
                <w:sz w:val="18"/>
                <w:szCs w:val="18"/>
              </w:rPr>
              <w:t>Disposizione</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5B079BA" w14:textId="77777777" w:rsidR="007C4598" w:rsidRDefault="00000000">
            <w:pPr>
              <w:spacing w:after="40"/>
            </w:pPr>
            <w:r>
              <w:rPr>
                <w:b/>
                <w:bCs/>
                <w:color w:val="FFFFFF"/>
                <w:sz w:val="18"/>
                <w:szCs w:val="18"/>
              </w:rPr>
              <w:t>Contenuto per il diritto alla salute</w:t>
            </w:r>
          </w:p>
        </w:tc>
        <w:tc>
          <w:tcPr>
            <w:tcW w:w="225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E3A9A7A" w14:textId="77777777" w:rsidR="007C4598" w:rsidRDefault="00000000">
            <w:pPr>
              <w:spacing w:after="40"/>
            </w:pPr>
            <w:r>
              <w:rPr>
                <w:b/>
                <w:bCs/>
                <w:color w:val="FFFFFF"/>
                <w:sz w:val="18"/>
                <w:szCs w:val="18"/>
              </w:rPr>
              <w:t>Rilievo per il primo livello psicologico</w:t>
            </w:r>
          </w:p>
        </w:tc>
      </w:tr>
      <w:tr w:rsidR="007C4598" w14:paraId="7240B769"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CD7FB66" w14:textId="77777777" w:rsidR="007C4598" w:rsidRDefault="00000000">
            <w:pPr>
              <w:spacing w:after="40"/>
            </w:pPr>
            <w:r>
              <w:t>Costituzione italiana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4D455B7" w14:textId="77777777" w:rsidR="007C4598" w:rsidRDefault="00000000">
            <w:pPr>
              <w:spacing w:after="40"/>
            </w:pPr>
            <w:r>
              <w:t>Articolo 32</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0E92945" w14:textId="77777777" w:rsidR="007C4598" w:rsidRDefault="00000000">
            <w:pPr>
              <w:spacing w:after="40"/>
            </w:pPr>
            <w:r>
              <w:t>Tutela della salute come fondamentale diritto dell’individuo e interesse della collettività; cure gratuite agli indigenti</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BE1031A" w14:textId="77777777" w:rsidR="007C4598" w:rsidRDefault="00000000">
            <w:pPr>
              <w:spacing w:after="40"/>
            </w:pPr>
            <w:r>
              <w:t>Fonda la provvista pubblica della cura, estesa alla salute mentale</w:t>
            </w:r>
          </w:p>
        </w:tc>
      </w:tr>
      <w:tr w:rsidR="007C4598" w14:paraId="6ACA4535"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7C93579" w14:textId="77777777" w:rsidR="007C4598" w:rsidRDefault="00000000">
            <w:pPr>
              <w:spacing w:after="40"/>
            </w:pPr>
            <w:r>
              <w:t>Costituzione italiana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D15463D" w14:textId="77777777" w:rsidR="007C4598" w:rsidRDefault="00000000">
            <w:pPr>
              <w:spacing w:after="40"/>
            </w:pPr>
            <w:r>
              <w:t>Articolo 3, secondo comma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4345F7C" w14:textId="77777777" w:rsidR="007C4598" w:rsidRDefault="00000000">
            <w:pPr>
              <w:spacing w:after="40"/>
            </w:pPr>
            <w:r>
              <w:t>Uguaglianza sostanziale; rimozione degli ostacoli di fatto all’uguaglianza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8400346" w14:textId="77777777" w:rsidR="007C4598" w:rsidRDefault="00000000">
            <w:pPr>
              <w:spacing w:after="40"/>
            </w:pPr>
            <w:r>
              <w:t>Fonda l’estensione dell’accesso ai gruppi svantaggiati</w:t>
            </w:r>
          </w:p>
        </w:tc>
      </w:tr>
      <w:tr w:rsidR="007C4598" w14:paraId="4F03E80B"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CCDE59B" w14:textId="77777777" w:rsidR="007C4598" w:rsidRDefault="00000000">
            <w:pPr>
              <w:spacing w:after="40"/>
            </w:pPr>
            <w:r>
              <w:t>Costituzione italiana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1EE65F8" w14:textId="77777777" w:rsidR="007C4598" w:rsidRDefault="00000000">
            <w:pPr>
              <w:spacing w:after="40"/>
            </w:pPr>
            <w:r>
              <w:t>Articolo 117</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1CA9BE9" w14:textId="77777777" w:rsidR="007C4598" w:rsidRDefault="00000000">
            <w:pPr>
              <w:spacing w:after="40"/>
            </w:pPr>
            <w:r>
              <w:t>Competenza concorrente di Stato e Regioni in materia di tutela della salute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4CBF1B0" w14:textId="77777777" w:rsidR="007C4598" w:rsidRDefault="00000000">
            <w:pPr>
              <w:spacing w:after="40"/>
            </w:pPr>
            <w:r>
              <w:t>Fonda la competenza regionale a organizzare il servizio</w:t>
            </w:r>
          </w:p>
        </w:tc>
      </w:tr>
      <w:tr w:rsidR="007C4598" w14:paraId="04140111"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3E9D89E" w14:textId="77777777" w:rsidR="007C4598" w:rsidRDefault="00000000">
            <w:pPr>
              <w:spacing w:after="40"/>
            </w:pPr>
            <w:r>
              <w:t>Carta dei diritti fondamentali dell’Unione europea</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D281173" w14:textId="77777777" w:rsidR="007C4598" w:rsidRDefault="00000000">
            <w:pPr>
              <w:spacing w:after="40"/>
            </w:pPr>
            <w:r>
              <w:t>Articolo 35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5321968" w14:textId="77777777" w:rsidR="007C4598" w:rsidRDefault="00000000">
            <w:pPr>
              <w:spacing w:after="40"/>
            </w:pPr>
            <w:r>
              <w:t>Diritto di accedere alla prevenzione sanitaria e di ottenere cure mediche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E058034" w14:textId="77777777" w:rsidR="007C4598" w:rsidRDefault="00000000">
            <w:pPr>
              <w:spacing w:after="40"/>
            </w:pPr>
            <w:r>
              <w:t>Rafforza il fondamento della provvista pubblica della cura</w:t>
            </w:r>
          </w:p>
        </w:tc>
      </w:tr>
      <w:tr w:rsidR="007C4598" w14:paraId="42F0E2A9" w14:textId="77777777">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E79A92B" w14:textId="77777777" w:rsidR="007C4598" w:rsidRDefault="00000000">
            <w:pPr>
              <w:spacing w:after="40"/>
            </w:pPr>
            <w:r>
              <w:t>Convenzione delle Nazioni Unite sui diritti delle persone con disabilità</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C5B8EBD" w14:textId="77777777" w:rsidR="007C4598" w:rsidRDefault="00000000">
            <w:pPr>
              <w:spacing w:after="40"/>
            </w:pPr>
            <w:r>
              <w:t>Articolo 25</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F7FEABD" w14:textId="77777777" w:rsidR="007C4598" w:rsidRDefault="00000000">
            <w:pPr>
              <w:spacing w:after="40"/>
            </w:pPr>
            <w:r>
              <w:t>Diritto al più alto standard conseguibile di salute senza discriminazione</w:t>
            </w:r>
          </w:p>
        </w:tc>
        <w:tc>
          <w:tcPr>
            <w:tcW w:w="2256"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95D14B9" w14:textId="77777777" w:rsidR="007C4598" w:rsidRDefault="00000000">
            <w:pPr>
              <w:spacing w:after="40"/>
            </w:pPr>
            <w:r>
              <w:t>Rilevante per la salute mentale e per la non discriminazione</w:t>
            </w:r>
          </w:p>
        </w:tc>
      </w:tr>
    </w:tbl>
    <w:p w14:paraId="2E3444FD" w14:textId="77777777" w:rsidR="007C4598" w:rsidRDefault="007C4598"/>
    <w:p w14:paraId="26475E5A" w14:textId="77777777" w:rsidR="007C4598" w:rsidRDefault="00000000">
      <w:pPr>
        <w:jc w:val="both"/>
      </w:pPr>
      <w:r>
        <w:rPr>
          <w:i/>
          <w:iCs/>
        </w:rPr>
        <w:t>Tabella 13.1 — Le principali fonti del fondamento costituzionale e convenzionale del diritto alla salute, con la disposizione rilevante, il contenuto per il diritto alla salute e il rilievo per il primo livello psicologico. Le fonti costituzionali e convenzionali concorrono a fondare la riforma nel diritto alla salute, nell’uguaglianza sostanziale e nella tutela delle persone con disabilità.</w:t>
      </w:r>
    </w:p>
    <w:p w14:paraId="1AFB5E44" w14:textId="77777777" w:rsidR="007C4598" w:rsidRDefault="007C4598"/>
    <w:p w14:paraId="385C19B1" w14:textId="77777777" w:rsidR="007C4598" w:rsidRDefault="00000000">
      <w:pPr>
        <w:jc w:val="both"/>
      </w:pPr>
      <w:r>
        <w:t>Tra le fonti convenzionali e sovranazionali, la Carta dei diritti fondamentali dell’Unione europea e la Convenzione sui diritti delle persone con disabilità rivestono uno specifico rilievo per la riforma. La Carta dei diritti fondamentali dell’Unione europea, all’articolo trentacinque, riconosce il diritto di ogni persona di accedere alla prevenzione sanitaria e di ottenere cure mediche, e impone che nella definizione e nell’attuazione delle politiche dell’Unione sia garantito un livello elevato di protezione della salute; essa rafforza il fondamento della riforma, aggiungendo al diritto alla salute della Costituzione il diritto alle cure della Carta, che opera nell’ambito dell’ordinamento dell’Unione. La Convenzione delle Nazioni Unite sui diritti delle persone con disabilità, all’articolo venticinque, riconosce il diritto delle persone con disabilità di godere del più alto standard conseguibile di salute senza discriminazione fondata sulla disabilità, e impone agli Stati di fornire i servizi sanitari di cui le persone con disabilità necessitano in ragione della loro condizione; essa riveste uno specifico rilievo per la salute mentale, perché il disagio mentale grave può configurare una disabilità ai sensi della Convenzione, e perché la Convenzione impone la provvista dei servizi sanitari senza discriminazione, rafforzando il fondamento della riforma nella non discriminazione. Il quadro convenzionale e sovranazionale concorre dunque a fondare la riforma, aggiungendo al fondamento costituzionale interno il fondamento degli strumenti europei e internazionali, che tutelano il diritto alla salute, il diritto alle cure e la non discriminazione, e che rafforzano la legittimità della riforma del primo livello psicologico.</w:t>
      </w:r>
    </w:p>
    <w:p w14:paraId="40525D9D"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45FF4339"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2DE205C" w14:textId="77777777" w:rsidR="007C4598" w:rsidRDefault="00000000">
            <w:pPr>
              <w:spacing w:after="40"/>
            </w:pPr>
            <w:r>
              <w:rPr>
                <w:b/>
                <w:bCs/>
                <w:color w:val="FFFFFF"/>
                <w:sz w:val="18"/>
                <w:szCs w:val="18"/>
              </w:rPr>
              <w:t xml:space="preserve">◆ SEGNAPOSTO INFOGRAFICA — 13.A · DA INSERIRE A POSTERIORI Titolo previsto: La gerarchia delle fonti del fondamento del diritto alla salute CODICE CANVA-FRIENDLY (scheda di generazione) Tipo di grafico: Schema a strati sovrapposti (piramide rovesciata o a livelli concentrici) che rappresenta la gerarchia delle fonti del fondamento del diritto alla salute: al vertice i principi costituzionali (articoli 32, 3, 117), quindi gli strumenti convenzionali e sovranazionali (Carta dei diritti fondamentali dell’Unione europea, Convenzione sui diritti delle persone con disabilità), quindi le norme nazionali (livelli essenziali di assistenza), quindi le norme regionali (legge regionale istitutiva). Lettura: La discesa dagli strati superiori a quelli inferiori illustra il radicamento della riforma: dai principi costituzionali e convenzionali, fondamento ultimo, alle norme nazionali e regionali, fondamento prossimo, che ne danno attuazione. Palette: Strato costituzionale in </w:t>
            </w:r>
            <w:proofErr w:type="spellStart"/>
            <w:r>
              <w:rPr>
                <w:b/>
                <w:bCs/>
                <w:color w:val="FFFFFF"/>
                <w:sz w:val="18"/>
                <w:szCs w:val="18"/>
              </w:rPr>
              <w:t>navy</w:t>
            </w:r>
            <w:proofErr w:type="spellEnd"/>
            <w:r>
              <w:rPr>
                <w:b/>
                <w:bCs/>
                <w:color w:val="FFFFFF"/>
                <w:sz w:val="18"/>
                <w:szCs w:val="18"/>
              </w:rPr>
              <w:t xml:space="preserve"> #16264B; strato convenzionale e sovranazionale in blu #2E5AA0; strato nazionale in blu medio #244272; strato regionale in blu chiaro #5B7BB0; fascia di raccordo in oro #C49A48. Sfondo: Bianco con gradiente impercettibile verso il crema #F3EAD6 (85% / 15%).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per i titoli;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Light per le etichette. Dimensioni: 1920 × 1080 </w:t>
            </w:r>
            <w:proofErr w:type="spellStart"/>
            <w:r>
              <w:rPr>
                <w:b/>
                <w:bCs/>
                <w:color w:val="FFFFFF"/>
                <w:sz w:val="18"/>
                <w:szCs w:val="18"/>
              </w:rPr>
              <w:t>px</w:t>
            </w:r>
            <w:proofErr w:type="spellEnd"/>
            <w:r>
              <w:rPr>
                <w:b/>
                <w:bCs/>
                <w:color w:val="FFFFFF"/>
                <w:sz w:val="18"/>
                <w:szCs w:val="18"/>
              </w:rPr>
              <w:t>. Valori da rappresentare: Costituzionale: articoli 32 (salute), 3 (uguaglianza sostanziale), 117 (competenza concorrente). Convenzionale e sovranazionale: Carta dei diritti fondamentali dell’Unione europea (articolo 35), Convenzione sui diritti delle persone con disabilità (articolo 25). Nazionale: livelli essenziali di assistenza, Missione 6 del PNRR. Regionale: legge regionale 11/2023. Variante 3D (consigliata): Strati con leggero spessore e rilievo, fascia di raccordo in evidenza; ombre tenui, senza compromissione della leggibilità della gerarchia. Fonte (piè di figura): Elaborazione della gerarchia delle fonti del diritto alla salute (Costituzione, strumenti convenzionali e sovranazionali, norme nazionali e regionali). Figura 13.A — La gerarchia delle fonti del fondamento del diritto alla salute: dai principi costituzionali e convenzionali, fondamento ultimo della riforma, alle norme nazionali e regionali, fondamento prossimo che ne dà attuazione.</w:t>
            </w:r>
          </w:p>
          <w:p w14:paraId="0E8C3879" w14:textId="77777777" w:rsidR="007C4598" w:rsidRDefault="00000000">
            <w:pPr>
              <w:spacing w:before="120" w:after="60"/>
              <w:jc w:val="center"/>
            </w:pPr>
            <w:r>
              <w:rPr>
                <w:noProof/>
              </w:rPr>
              <w:drawing>
                <wp:inline distT="0" distB="0" distL="0" distR="0" wp14:anchorId="44385435" wp14:editId="40035370">
                  <wp:extent cx="8229600" cy="4629150"/>
                  <wp:effectExtent l="0" t="0" r="0" b="0"/>
                  <wp:docPr id="172" name="Infografica72" descr="La gerarchia delle fonti del diritto alla sal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nfografica72"/>
                          <pic:cNvPicPr>
                            <a:picLocks noChangeAspect="1" noChangeArrowheads="1"/>
                          </pic:cNvPicPr>
                        </pic:nvPicPr>
                        <pic:blipFill>
                          <a:blip r:embed="rId133">
                            <a:extLst>
                              <a:ext uri="{96DAC541-7B7A-43D3-8B79-37D633B846F1}">
                                <asvg:svgBlip xmlns:asvg="http://schemas.microsoft.com/office/drawing/2016/SVG/main" r:embed="rId134"/>
                              </a:ext>
                            </a:extLst>
                          </a:blip>
                          <a:stretch>
                            <a:fillRect/>
                          </a:stretch>
                        </pic:blipFill>
                        <pic:spPr bwMode="auto">
                          <a:xfrm>
                            <a:off x="0" y="0"/>
                            <a:ext cx="8229600" cy="4629150"/>
                          </a:xfrm>
                          <a:prstGeom prst="rect">
                            <a:avLst/>
                          </a:prstGeom>
                          <a:noFill/>
                          <a:ln>
                            <a:noFill/>
                          </a:ln>
                        </pic:spPr>
                      </pic:pic>
                    </a:graphicData>
                  </a:graphic>
                </wp:inline>
              </w:drawing>
            </w:r>
          </w:p>
          <w:p w14:paraId="345F45A3" w14:textId="77777777" w:rsidR="007C4598" w:rsidRDefault="00000000">
            <w:pPr>
              <w:spacing w:before="40" w:after="200"/>
              <w:jc w:val="center"/>
            </w:pPr>
            <w:r>
              <w:rPr>
                <w:i/>
                <w:color w:val="2E5A8F"/>
                <w:sz w:val="16"/>
                <w:szCs w:val="16"/>
              </w:rPr>
              <w:t>Fig. 13.A — La gerarchia delle fonti del diritto alla salute. Elaborazione dello studio · Luigi De Michele · Giugno 2026.</w:t>
            </w:r>
          </w:p>
        </w:tc>
      </w:tr>
    </w:tbl>
    <w:p w14:paraId="6CC2C6B5" w14:textId="77777777" w:rsidR="007C4598" w:rsidRDefault="007C4598"/>
    <w:p w14:paraId="074E0844" w14:textId="77777777" w:rsidR="007C4598" w:rsidRDefault="00000000">
      <w:pPr>
        <w:pStyle w:val="Titolo2"/>
        <w:spacing w:before="200" w:after="100"/>
      </w:pPr>
      <w:r>
        <w:rPr>
          <w:sz w:val="22"/>
          <w:szCs w:val="22"/>
        </w:rPr>
        <w:t>13.1.4  Il fondamento del primo livello psicologico nei principi costituzionali e convenzionali</w:t>
      </w:r>
    </w:p>
    <w:p w14:paraId="579FCB94" w14:textId="77777777" w:rsidR="007C4598" w:rsidRDefault="007C4598"/>
    <w:p w14:paraId="2851D36B" w14:textId="77777777" w:rsidR="007C4598" w:rsidRDefault="00000000">
      <w:pPr>
        <w:jc w:val="both"/>
      </w:pPr>
      <w:r>
        <w:t>Il primo livello psicologico trova nei principi costituzionali e convenzionali un fondamento articolato, che ne radica l’istituzione in una pluralità di principi convergenti. Il fondamento del primo livello psicologico non risiede in un singolo principio, ma nella convergenza di più principi, ciascuno dei quali concorre a fondarlo sotto un profilo distinto. Il diritto alla salute, esteso alla salute mentale, fonda la provvista pubblica della cura del disagio mentale, e perciò l’istituzione del primo livello psicologico come servizio pubblico che eroga tale cura. Il principio di uguaglianza sostanziale fonda l’estensione dell’accesso alla cura ai gruppi svantaggiati, e perciò la gratuità e la bassa soglia di accesso del primo livello psicologico, che rimuovono gli ostacoli di fatto all’uguaglianza. La tutela delle persone con disabilità fonda la provvista dei servizi senza discriminazione, e perciò l’accessibilità del primo livello psicologico a tutti, comprese le persone il cui disagio configuri una disabilità. La competenza concorrente in materia di tutela della salute fonda la potestà della Regione di organizzare il servizio, e perciò l’istituzione del primo livello psicologico attraverso la legge regionale. La convergenza di questi principi costituisce il fondamento articolato del primo livello psicologico: esso è fondato nel diritto alla salute quanto alla provvista della cura, nell’uguaglianza sostanziale quanto all’estensione dell’accesso, nella tutela delle persone con disabilità quanto alla non discriminazione, e nella competenza concorrente quanto alla potestà regionale di organizzarlo.</w:t>
      </w:r>
      <w:r>
        <w:rPr>
          <w:color w:val="555555"/>
          <w:sz w:val="16"/>
          <w:szCs w:val="16"/>
          <w:vertAlign w:val="superscript"/>
        </w:rPr>
        <w:t>[4]</w:t>
      </w:r>
    </w:p>
    <w:p w14:paraId="662883DD" w14:textId="77777777" w:rsidR="007C4598" w:rsidRDefault="007C4598"/>
    <w:p w14:paraId="3B57A6E1" w14:textId="77777777" w:rsidR="007C4598" w:rsidRDefault="00000000">
      <w:pPr>
        <w:jc w:val="both"/>
      </w:pPr>
      <w:r>
        <w:t>Il fondamento del primo livello psicologico nei principi costituzionali e convenzionali si connette alle valutazioni del valore condotte nelle parti precedenti, di cui costituisce il radicamento giuridico. Le parti precedenti hanno valutato il primo livello psicologico sotto i profili del valore — l’efficacia, la convenienza, l’equità — e la presente voce ne mostra il fondamento nei principi, sì che le valutazioni del valore trovino il proprio radicamento giuridico. L’efficacia del primo livello psicologico nel ridurre il disagio mentale, che la sesta parte ha documentato, attua il diritto alla salute, che fonda la provvista della cura efficace; sicché l’efficacia non è soltanto un pregio del primo livello psicologico, ma l’attuazione del diritto alla salute, che esige la provvista di cure efficaci. La convenienza del primo livello psicologico, che le parti economiche hanno stabilito, concorre alla sostenibilità della provvista pubblica, che il diritto alla salute esige sia garantita in modo durevole; sicché la convenienza non è soltanto un pregio economico, ma una condizione della sostenibilità della provvista che il diritto alla salute fonda. L’equità del primo livello psicologico, che la dodicesima parte ha esaminato, attua il principio di uguaglianza sostanziale, che fonda l’estensione dell’accesso ai gruppi svantaggiati; sicché l’equità non è soltanto un pregio distributivo, ma l’attuazione del principio di uguaglianza sostanziale, che esige la rimozione degli ostacoli all’uguaglianza. Il fondamento del primo livello psicologico nei principi costituzionali e convenzionali radica dunque le valutazioni del valore nel diritto: ciò che le parti precedenti hanno valutato come pregi del primo livello psicologico, la presente voce lo fonda come attuazione dei principi costituzionali e convenzionali, sì che il valore della riforma si fondi sulla sua legittimità.</w:t>
      </w:r>
    </w:p>
    <w:p w14:paraId="2CA9C74D" w14:textId="77777777" w:rsidR="007C4598" w:rsidRDefault="007C4598"/>
    <w:p w14:paraId="084FAC58" w14:textId="77777777" w:rsidR="007C4598" w:rsidRDefault="00000000">
      <w:pPr>
        <w:pStyle w:val="Titolo2"/>
        <w:spacing w:before="200" w:after="100"/>
      </w:pPr>
      <w:r>
        <w:rPr>
          <w:sz w:val="22"/>
          <w:szCs w:val="22"/>
        </w:rPr>
        <w:t>13.1.5  I confini della voce e il carattere normativo dell’analisi</w:t>
      </w:r>
    </w:p>
    <w:p w14:paraId="73935780" w14:textId="77777777" w:rsidR="007C4598" w:rsidRDefault="007C4598"/>
    <w:p w14:paraId="7690B7CB" w14:textId="77777777" w:rsidR="007C4598" w:rsidRDefault="00000000">
      <w:pPr>
        <w:jc w:val="both"/>
      </w:pPr>
      <w:r>
        <w:t>La voce ha carattere normativo, e ciò ne determina il metodo, distinto da quello delle parti empiriche dello studio. La voce non misura grandezze, né formula stime in bande prudenziali falsificabili, ma esamina principi costituzionali e convenzionali, e ne valuta la portata come fondamento della riforma; il suo metodo è perciò quello dell’analisi giuridica, che ricostruisce il contenuto dei principi e ne trae il fondamento della riforma, e non quello dell’analisi empirica, che misura grandezze e ne stima il valore. La gradazione dell’evidenza secondo i criteri GRADE, che governa le stime empiriche dello studio, non si applica alla voce, perché essa non formula stime empiriche, ma proposizioni giuridiche, la cui solidità si valuta secondo il loro radicamento nelle fonti, e non secondo la qualità dell’evidenza empirica. Le proposizioni della voce — che la riforma è fondata nel diritto alla salute, nell’uguaglianza sostanziale, nella tutela delle persone con disabilità e nella competenza concorrente — sono proposizioni giuridiche, solide in quanto radicate nelle fonti costituzionali e convenzionali, e la loro solidità si valuta secondo tale radicamento. Il carattere normativo della voce non la rende perciò meno rigorosa delle parti empiriche, ma ne muta il criterio del rigore: il rigore della voce risiede nella correttezza dell’analisi giuridica e nel radicamento delle proposizioni nelle fonti, anziché nella qualità dell’evidenza empirica e nella prudenza delle stime.</w:t>
      </w:r>
    </w:p>
    <w:p w14:paraId="28E7CEF9" w14:textId="77777777" w:rsidR="007C4598" w:rsidRDefault="007C4598"/>
    <w:p w14:paraId="5FFBF368" w14:textId="77777777" w:rsidR="007C4598" w:rsidRDefault="00000000">
      <w:pPr>
        <w:jc w:val="both"/>
      </w:pPr>
      <w:r>
        <w:t xml:space="preserve">I confini della voce ne delimitano la portata e ne rimettono taluni aspetti alle voci successive. La voce stabilisce il fondamento ultimo della riforma nel quadro costituzionale e convenzionale, e non il fondamento prossimo nel quadro normativo regionale e nazionale, che è oggetto della seconda voce; essa esamina i principi supremi, e non le norme che li specificano, che la seconda voce ricostruirà. La voce mostra il fondamento della riforma nei principi del diritto alla salute, dell’uguaglianza sostanziale e della tutela delle persone con disabilità, e non le cornici di responsabilità che ne governano l’attuazione — la protezione dei dati e la </w:t>
      </w:r>
      <w:proofErr w:type="spellStart"/>
      <w:r>
        <w:t>governance</w:t>
      </w:r>
      <w:proofErr w:type="spellEnd"/>
      <w:r>
        <w:t xml:space="preserve"> dell’Intelligenza Artificiale, l’etica professionale e la supervisione umana, i profili organizzativi e di responsabilità — che le voci successive esamineranno. La voce richiama le valutazioni del valore condotte nelle parti precedenti, e ne mostra il radicamento giuridico, ma non le rifà, né ne modifica le grandezze, preservando i vincoli invarianti dello studio ove esse sono richiamate. Entro questi confini, la voce stabilisce che la riforma del primo livello psicologico trova nel quadro costituzionale e convenzionale del diritto alla salute il proprio fondamento ultimo, articolato nella convergenza dei principi del diritto alla salute, dell’uguaglianza sostanziale, della tutela delle persone con disabilità e della competenza concorrente; e che tale fondamento radica nel diritto le valutazioni del valore condotte nelle parti precedenti, sì che il valore della riforma si fondi sulla sua legittimità costituzionale e convenzionale.</w:t>
      </w:r>
    </w:p>
    <w:p w14:paraId="5FB5CB86" w14:textId="77777777" w:rsidR="007C4598" w:rsidRDefault="007C4598"/>
    <w:p w14:paraId="5C4DBF5A" w14:textId="77777777" w:rsidR="007C4598" w:rsidRDefault="00000000">
      <w:pPr>
        <w:pStyle w:val="Titolo1"/>
        <w:pageBreakBefore/>
      </w:pPr>
      <w:r>
        <w:rPr>
          <w:sz w:val="22"/>
          <w:szCs w:val="22"/>
        </w:rPr>
        <w:t>13.2  Il quadro normativo regionale e nazionale e gli atti attuativi</w:t>
      </w:r>
    </w:p>
    <w:p w14:paraId="2DB2BA36" w14:textId="77777777" w:rsidR="007C4598" w:rsidRDefault="007C4598"/>
    <w:p w14:paraId="3C9E6D47" w14:textId="77777777" w:rsidR="007C4598" w:rsidRDefault="00000000">
      <w:pPr>
        <w:jc w:val="both"/>
      </w:pPr>
      <w:r>
        <w:rPr>
          <w:i/>
          <w:iCs/>
        </w:rPr>
        <w:t>La seconda voce stabilisce il fondamento prossimo della riforma nel quadro normativo regionale e nazionale. Essa espone la logica del quadro normativo come fonte e limite, ricostruisce il quadro nazionale entro cui la riforma si colloca, esamina il quadro regionale che la istituisce, considera gli atti attuativi e il rapporto tra le fonti, e ne traccia infine i confini, dichiarando il rinvio alle voci successive e alla parte dedicata all’attuazione.</w:t>
      </w:r>
    </w:p>
    <w:p w14:paraId="24D31775" w14:textId="77777777" w:rsidR="007C4598" w:rsidRDefault="007C4598"/>
    <w:p w14:paraId="5137B51A" w14:textId="77777777" w:rsidR="007C4598" w:rsidRDefault="00000000">
      <w:pPr>
        <w:pStyle w:val="Titolo2"/>
        <w:spacing w:before="200" w:after="100"/>
      </w:pPr>
      <w:r>
        <w:rPr>
          <w:sz w:val="22"/>
          <w:szCs w:val="22"/>
        </w:rPr>
        <w:t>13.2.1  La logica del quadro normativo come fonte e limite</w:t>
      </w:r>
    </w:p>
    <w:p w14:paraId="612B78DD" w14:textId="77777777" w:rsidR="007C4598" w:rsidRDefault="007C4598"/>
    <w:p w14:paraId="5BC8AEFE" w14:textId="77777777" w:rsidR="007C4598" w:rsidRDefault="00000000">
      <w:pPr>
        <w:jc w:val="both"/>
      </w:pPr>
      <w:r>
        <w:t>Il quadro normativo è la cornice delle norme che istituiscono la riforma e ne disciplinano l’organizzazione, e costituisce il fondamento prossimo della riforma. Mentre il quadro costituzionale e convenzionale costituisce il fondamento ultimo, radicando la riforma nei principi supremi, il quadro normativo costituisce il fondamento prossimo, istituendo la riforma attraverso le norme che ne danno esistenza giuridica e ne disciplinano l’organizzazione. La riforma esiste come istituzione giuridica perché una norma la istituisce: la norma istitutiva conferisce alla riforma esistenza giuridica, definendone l’oggetto, le figure, le funzioni e l’organizzazione, e costituendo il fondamento prossimo dal quale la riforma trae la propria disciplina. Il quadro normativo opera, rispetto alla riforma, come fonte e come limite: come fonte, esso istituisce la riforma e ne disciplina l’organizzazione, costituendo il fondamento della sua esistenza e della sua disciplina; come limite, esso circoscrive la riforma entro i confini che le norme tracciano, e le impone la conformità ad esse. La logica del quadro normativo muove dal riconoscimento che la riforma, per esistere come istituzione giuridica e operare secondo una disciplina, richiede un fondamento normativo, che la istituisca e ne disciplini l’organizzazione; e che tale fondamento normativo costituisce, accanto al fondamento costituzionale e convenzionale, la cornice di legittimità della riforma, sotto il profilo della sua esistenza giuridica e della sua disciplina.</w:t>
      </w:r>
      <w:r>
        <w:rPr>
          <w:color w:val="555555"/>
          <w:sz w:val="16"/>
          <w:szCs w:val="16"/>
          <w:vertAlign w:val="superscript"/>
        </w:rPr>
        <w:t>[6]</w:t>
      </w:r>
    </w:p>
    <w:p w14:paraId="3CEE3804" w14:textId="77777777" w:rsidR="007C4598" w:rsidRDefault="007C4598"/>
    <w:p w14:paraId="19E7C0F4" w14:textId="77777777" w:rsidR="007C4598" w:rsidRDefault="00000000">
      <w:pPr>
        <w:jc w:val="both"/>
      </w:pPr>
      <w:r>
        <w:t>Il quadro normativo della riforma si articola in un livello nazionale e in un livello regionale, in un rapporto governato dalla ripartizione delle competenze. La materia della tutela della salute è, secondo la Costituzione, oggetto di competenza concorrente tra lo Stato e le Regioni: allo Stato spetta la determinazione dei principi fondamentali, alle Regioni spetta la potestà legislativa nel rispetto di tali principi. Questa ripartizione delle competenze governa il rapporto tra il livello nazionale e il livello regionale del quadro normativo della riforma: il livello nazionale determina i principi fondamentali e i livelli essenziali di assistenza, entro cui la riforma si colloca; il livello regionale istituisce la riforma e ne disciplina l’organizzazione, nel rispetto dei principi fondamentali e dei livelli essenziali. La riforma del primo livello psicologico, istituita da una legge regionale, opera entro questa ripartizione: essa è istituita dalla Regione, nell’esercizio della propria potestà legislativa in materia di tutela della salute, e si colloca entro la cornice dei principi fondamentali e dei livelli essenziali determinati dallo Stato. L’articolazione del quadro normativo in un livello nazionale e in un livello regionale, e il loro rapporto governato dalla ripartizione delle competenze, sono dunque essenziali per intendere il fondamento prossimo della riforma: essa è istituita dal livello regionale, ma entro la cornice del livello nazionale, e il suo fondamento prossimo risiede nella legge regionale che la istituisce, collocata entro la cornice delle norme nazionali.</w:t>
      </w:r>
    </w:p>
    <w:p w14:paraId="6AE21FC3" w14:textId="77777777" w:rsidR="007C4598" w:rsidRDefault="007C4598"/>
    <w:p w14:paraId="7FE974D8" w14:textId="77777777" w:rsidR="007C4598" w:rsidRDefault="00000000">
      <w:pPr>
        <w:pStyle w:val="Titolo2"/>
        <w:spacing w:before="200" w:after="100"/>
      </w:pPr>
      <w:r>
        <w:rPr>
          <w:sz w:val="22"/>
          <w:szCs w:val="22"/>
        </w:rPr>
        <w:t>13.2.2  Il quadro nazionale entro cui la riforma si colloca</w:t>
      </w:r>
    </w:p>
    <w:p w14:paraId="3A349029" w14:textId="77777777" w:rsidR="007C4598" w:rsidRDefault="007C4598"/>
    <w:p w14:paraId="0D8B3AF5" w14:textId="77777777" w:rsidR="007C4598" w:rsidRDefault="00000000">
      <w:pPr>
        <w:jc w:val="both"/>
      </w:pPr>
      <w:r>
        <w:t>Il quadro nazionale entro cui la riforma si colloca è costituito dai livelli essenziali di assistenza, dalle risorse del Piano nazionale di ripresa e resilienza e dalla disciplina delle cure primarie. I livelli essenziali di assistenza, definiti con decreto del Presidente del Consiglio dei Ministri, costituiscono il livello minimo di assistenza sanitaria che deve essere garantito su tutto il territorio nazionale, e definiscono il contenuto minimo del diritto alla salute; essi costituiscono la cornice entro cui la riforma colloca il primo livello psicologico, che si aggiunge ai livelli essenziali, ampliando la provvista pubblica della cura del disagio mentale oltre il livello minimo garantito. La Missione 6 del Piano nazionale di ripresa e resilienza, dedicata alla salute, finanzia il rafforzamento dell’assistenza sanitaria territoriale, attraverso l’istituzione delle Case della Comunità e il potenziamento dei servizi di prossimità; essa costituisce il contesto del rafforzamento territoriale entro cui la riforma si inscrive, e le Case della Comunità costituiscono il luogo entro cui il primo livello psicologico può essere collocato, integrandosi con gli altri servizi territoriali. L’Accordo Collettivo Nazionale per la medicina generale disciplina le cure primarie, e in particolare il rapporto tra il Servizio sanitario e i medici di medicina generale; esso costituisce il contesto dell’integrazione del primo livello psicologico con la medicina generale, che la quarta parte ha posto al centro del modello organizzativo. Il quadro nazionale costituisce dunque la cornice entro cui la riforma si colloca, determinando i livelli essenziali entro cui essa si aggiunge, le risorse e il contesto del rafforzamento territoriale entro cui essa si inscrive, e la disciplina delle cure primarie entro cui essa si integra.</w:t>
      </w:r>
      <w:r>
        <w:rPr>
          <w:color w:val="555555"/>
          <w:sz w:val="16"/>
          <w:szCs w:val="16"/>
          <w:vertAlign w:val="superscript"/>
        </w:rPr>
        <w:t>[7]</w:t>
      </w:r>
    </w:p>
    <w:p w14:paraId="3161761D" w14:textId="77777777" w:rsidR="007C4598" w:rsidRDefault="007C4598"/>
    <w:p w14:paraId="02FCF75A" w14:textId="77777777" w:rsidR="007C4598" w:rsidRDefault="00000000">
      <w:pPr>
        <w:jc w:val="both"/>
      </w:pPr>
      <w:r>
        <w:t>Al quadro nazionale delle norme si aggiunge il dibattito nazionale sulla figura dello psicologo di base, che costituisce il contesto in cui la riforma regionale si inscrive. La figura dello psicologo di base è stata oggetto, sul piano nazionale, di un dibattito che ha condotto a misure parziali e a proposte di istituzione. Tra le misure parziali, la legge di bilancio ha introdotto un contributo per il sostegno delle spese di assistenza psicologica, che ha riconosciuto il bisogno di cura psicologica e ha apprestato un sostegno alla provvista privata, senza tuttavia istituire un servizio pubblico di primo livello psicologico. Tra le proposte, sono state avanzate iniziative per l’istituzione di una figura nazionale di psicologo di base, che estendano la provvista pubblica della cura psicologica di primo livello su tutto il territorio nazionale; tali proposte, allo stato, non hanno condotto all’istituzione di una figura nazionale, sì che la provvista pubblica del primo livello psicologico è rimessa alle iniziative regionali. La riforma del primo livello psicologico in Puglia si inscrive in questo contesto nazionale: essa costituisce un’iniziativa regionale che istituisce il primo livello psicologico nella Regione, in assenza di una figura nazionale, e che anticipa, sul piano regionale, l’istituzione che il dibattito nazionale ha proposto e non ancora realizzato. Il contesto nazionale del dibattito sulla figura dello psicologo di base costituisce dunque lo sfondo in cui la riforma regionale si inscrive, e ne accresce il rilievo, perché essa attua, sul piano regionale, un’istituzione che il piano nazionale ha riconosciuto come bisogno e proposto come obiettivo, e di cui la riforma regionale costituisce una realizzazione anticipata e un possibile modello.</w:t>
      </w:r>
    </w:p>
    <w:p w14:paraId="3DA9EFBE" w14:textId="77777777" w:rsidR="007C4598" w:rsidRDefault="007C4598"/>
    <w:p w14:paraId="3B5F20C5" w14:textId="77777777" w:rsidR="007C4598" w:rsidRDefault="00000000">
      <w:pPr>
        <w:pStyle w:val="Titolo2"/>
        <w:spacing w:before="200" w:after="100"/>
      </w:pPr>
      <w:r>
        <w:rPr>
          <w:sz w:val="22"/>
          <w:szCs w:val="22"/>
        </w:rPr>
        <w:t>13.2.3  Il quadro regionale che istituisce la riforma</w:t>
      </w:r>
    </w:p>
    <w:p w14:paraId="4B7900C1" w14:textId="77777777" w:rsidR="007C4598" w:rsidRDefault="007C4598"/>
    <w:p w14:paraId="7C1EC81F" w14:textId="77777777" w:rsidR="007C4598" w:rsidRDefault="00000000">
      <w:pPr>
        <w:jc w:val="both"/>
      </w:pPr>
      <w:r>
        <w:t xml:space="preserve">Il fondamento prossimo della riforma risiede nella legge regionale che istituisce il Servizio di Psicologia di Base in Puglia, dalla quale la riforma trae la propria esistenza giuridica e la propria disciplina. La Regione Puglia, nell’esercizio della propria potestà legislativa in materia di tutela della salute, ha istituito il Servizio di Psicologia di Base con la legge regionale numero undici del </w:t>
      </w:r>
      <w:proofErr w:type="spellStart"/>
      <w:r>
        <w:t>duemilaventitré</w:t>
      </w:r>
      <w:proofErr w:type="spellEnd"/>
      <w:r>
        <w:t xml:space="preserve">, che costituisce il fondamento prossimo della riforma oggetto dello studio. La legge regionale istituisce il servizio, definisce la figura dello psicologo di base, ne disciplina le funzioni e l’organizzazione, e appresta il fondamento per la sua attuazione; essa conferisce alla riforma esistenza giuridica, costituendola come istituzione dell’ordinamento regionale, e ne disciplina l’organizzazione, definendo la cornice entro cui il servizio opera. La riforma del primo livello psicologico esiste come istituzione giuridica perché la legge regionale la istituisce: senza la legge regionale, la riforma sarebbe un progetto privo di esistenza giuridica; con la legge regionale, essa diviene un’istituzione dell’ordinamento regionale, dotata di una disciplina. Il fondamento prossimo della riforma risiede dunque nella legge regionale numero undici del </w:t>
      </w:r>
      <w:proofErr w:type="spellStart"/>
      <w:r>
        <w:t>duemilaventitré</w:t>
      </w:r>
      <w:proofErr w:type="spellEnd"/>
      <w:r>
        <w:t>, che la istituisce e ne disciplina l’organizzazione; ed è questa legge che costituisce l’oggetto della valutazione condotta nell’intero studio, il quale valuta la riforma che la legge regionale istituisce, sotto i profili del valore e della legittimità.</w:t>
      </w:r>
      <w:r>
        <w:rPr>
          <w:color w:val="555555"/>
          <w:sz w:val="16"/>
          <w:szCs w:val="16"/>
          <w:vertAlign w:val="superscript"/>
        </w:rPr>
        <w:t>[8]</w:t>
      </w:r>
    </w:p>
    <w:p w14:paraId="43F04F90" w14:textId="77777777" w:rsidR="007C4598" w:rsidRDefault="007C4598"/>
    <w:p w14:paraId="75291C5A" w14:textId="77777777" w:rsidR="007C4598" w:rsidRDefault="00000000">
      <w:pPr>
        <w:jc w:val="both"/>
      </w:pPr>
      <w:r>
        <w:t>La legge regionale colloca la riforma entro la cornice del quadro nazionale e dei principi costituzionali, in coerenza con la ripartizione delle competenze. La legge regionale, nell’istituire il Servizio di Psicologia di Base, esercita la potestà legislativa regionale in materia di tutela della salute, nel rispetto dei principi fondamentali determinati dallo Stato e dei livelli essenziali di assistenza; essa si colloca perciò entro la cornice del quadro nazionale, aggiungendo alla provvista pubblica garantita dai livelli essenziali la provvista del primo livello psicologico, e collocando il servizio entro il contesto del rafforzamento territoriale e dell’integrazione con la medicina generale. La legge regionale attua, inoltre, i principi costituzionali del diritto alla salute e dell’uguaglianza sostanziale, estendendo la provvista pubblica della cura del disagio mentale e rimuovendo gli ostacoli di fatto all’uguaglianza nell’accesso; essa costituisce perciò lo strumento attraverso cui i principi costituzionali e convenzionali, esaminati nella prima voce, trovano attuazione nella disciplina concreta della riforma. Il fondamento prossimo della riforma nella legge regionale si connette dunque al fondamento ultimo nei principi costituzionali e convenzionali: la legge regionale istituisce la riforma, attuando i principi costituzionali e convenzionali, e collocandola entro la cornice del quadro nazionale, sì che il fondamento prossimo e il fondamento ultimo della riforma si compongano in una cornice di legittimità coerente, dai principi supremi alla disciplina concreta.</w:t>
      </w:r>
    </w:p>
    <w:p w14:paraId="4531AF1E" w14:textId="77777777" w:rsidR="007C4598" w:rsidRDefault="007C4598"/>
    <w:p w14:paraId="1E17E67F" w14:textId="77777777" w:rsidR="007C4598" w:rsidRDefault="00000000">
      <w:pPr>
        <w:pStyle w:val="Titolo2"/>
        <w:spacing w:before="200" w:after="100"/>
      </w:pPr>
      <w:r>
        <w:rPr>
          <w:sz w:val="22"/>
          <w:szCs w:val="22"/>
        </w:rPr>
        <w:t>13.2.4  Gli atti attuativi e il rapporto tra le fonti</w:t>
      </w:r>
    </w:p>
    <w:p w14:paraId="15F24C63" w14:textId="77777777" w:rsidR="007C4598" w:rsidRDefault="007C4598"/>
    <w:p w14:paraId="0B6938ED" w14:textId="77777777" w:rsidR="007C4598" w:rsidRDefault="00000000">
      <w:pPr>
        <w:jc w:val="both"/>
      </w:pPr>
      <w:r>
        <w:t>La legge regionale richiede, per la propria piena attuazione, atti attuativi che ne specifichino la disciplina e ne organizzino la realizzazione. La legge regionale, nell’istituire il servizio e nel disciplinarne le linee fondamentali, rimette a successivi atti attuativi la specificazione della disciplina e l’organizzazione concreta della realizzazione; tali atti attuativi — le delibere della Giunta regionale, le linee guida, gli atti di organizzazione — costituiscono il livello di specificazione della disciplina, che traduce le linee fondamentali della legge regionale nelle regole concrete dell’organizzazione e del funzionamento del servizio. Gli atti attuativi sono essenziali per la piena attuazione della riforma, perché la legge regionale, da sola, istituisce il servizio e ne disciplina le linee fondamentali, ma non ne organizza la realizzazione concreta, che è rimessa agli atti attuativi; sì che la riforma, per passare dall’istituzione alla realizzazione, richiede gli atti attuativi che ne specifichino la disciplina e ne organizzino il funzionamento. Il rapporto tra la legge regionale e gli atti attuativi è governato dalla gerarchia delle fonti: la legge regionale costituisce il fondamento, gli atti attuativi ne costituiscono la specificazione, nel rispetto delle linee fondamentali che la legge regionale stabilisce. La piena attuazione della riforma richiede dunque, accanto alla legge regionale che la istituisce, gli atti attuativi che ne specificano la disciplina e ne organizzano la realizzazione; e la presente voce indica tali atti attuativi come la condizione della piena attuazione, la cui adozione è rimessa alla sede dell’attuazione.</w:t>
      </w:r>
      <w:r>
        <w:rPr>
          <w:color w:val="555555"/>
          <w:sz w:val="16"/>
          <w:szCs w:val="16"/>
          <w:vertAlign w:val="superscript"/>
        </w:rPr>
        <w:t>[9]</w:t>
      </w:r>
    </w:p>
    <w:p w14:paraId="5EB99019" w14:textId="77777777" w:rsidR="007C4598" w:rsidRDefault="007C4598"/>
    <w:p w14:paraId="0FD9EB2C" w14:textId="77777777" w:rsidR="007C4598" w:rsidRDefault="00000000">
      <w:pPr>
        <w:jc w:val="both"/>
      </w:pPr>
      <w:r>
        <w:t>Il rapporto tra le fonti del quadro normativo — costituzionali, convenzionali, nazionali e regionali — compone una cornice di legittimità articolata, che fonda la riforma a più livelli. La cornice di legittimità della riforma non risiede in una singola fonte, ma nella composizione di una pluralità di fonti, ciascuna delle quali concorre a fondare la riforma sotto un profilo distinto e a un livello distinto. I principi costituzionali e convenzionali costituiscono il fondamento ultimo, radicando la riforma nei principi supremi del diritto alla salute, dell’uguaglianza sostanziale e della tutela delle persone con disabilità. Le norme nazionali costituiscono la cornice entro cui la riforma si colloca, determinando i livelli essenziali, le risorse e la disciplina delle cure primarie. La legge regionale costituisce il fondamento prossimo, istituendo la riforma e disciplinandone le linee fondamentali. Gli atti attuativi costituiscono il livello di specificazione, traducendo le linee fondamentali nelle regole concrete. La composizione di queste fonti, governata dalla gerarchia delle fonti e dalla ripartizione delle competenze, costituisce la cornice di legittimità articolata della riforma, che la fonda a più livelli, dai principi supremi alla disciplina concreta. La riforma del primo livello psicologico trova dunque la propria legittimità non in una singola fonte, ma nella composizione coerente di una pluralità di fonti, che la fondano nei principi costituzionali e convenzionali, la collocano entro la cornice nazionale, la istituiscono attraverso la legge regionale e ne specificano la disciplina attraverso gli atti attuativi.</w:t>
      </w:r>
    </w:p>
    <w:p w14:paraId="361FB387" w14:textId="77777777" w:rsidR="007C4598" w:rsidRDefault="007C4598"/>
    <w:p w14:paraId="793712E3" w14:textId="77777777" w:rsidR="007C4598" w:rsidRDefault="00000000">
      <w:pPr>
        <w:pStyle w:val="Titolo2"/>
        <w:spacing w:before="200" w:after="100"/>
      </w:pPr>
      <w:r>
        <w:rPr>
          <w:sz w:val="22"/>
          <w:szCs w:val="22"/>
        </w:rPr>
        <w:t>13.2.5  I confini della voce e il rinvio all’attuazione</w:t>
      </w:r>
    </w:p>
    <w:p w14:paraId="50DC8E4B" w14:textId="77777777" w:rsidR="007C4598" w:rsidRDefault="007C4598"/>
    <w:p w14:paraId="384BA871" w14:textId="77777777" w:rsidR="007C4598" w:rsidRDefault="00000000">
      <w:pPr>
        <w:jc w:val="both"/>
      </w:pPr>
      <w:r>
        <w:t>La voce ha carattere normativo, come la precedente, e ne condivide il metodo dell’analisi giuridica. La voce non misura grandezze, né formula stime, ma ricostruisce il quadro normativo della riforma, e ne valuta la portata come fondamento prossimo; il suo metodo è quello dell’analisi giuridica, che ricostruisce il contenuto delle norme e ne trae il fondamento della riforma, e non quello dell’analisi empirica. La gradazione dell’evidenza secondo i criteri GRADE non si applica alla voce, che non formula stime empiriche, ma proposizioni giuridiche, la cui solidità si valuta secondo il loro radicamento nelle norme. Le proposizioni della voce — che la riforma è istituita dalla legge regionale, collocata entro la cornice nazionale, e richiede atti attuativi per la propria piena attuazione — sono proposizioni giuridiche, solide in quanto radicate nelle norme, e la loro solidità si valuta secondo tale radicamento. Il carattere normativo della voce ne muta il criterio del rigore, come per la precedente: il rigore della voce risiede nella correttezza dell’analisi giuridica e nel radicamento delle proposizioni nelle norme, anziché nella qualità dell’evidenza empirica e nella prudenza delle stime.</w:t>
      </w:r>
    </w:p>
    <w:p w14:paraId="4989BEAF" w14:textId="77777777" w:rsidR="007C4598" w:rsidRDefault="007C4598"/>
    <w:p w14:paraId="44650BED" w14:textId="77777777" w:rsidR="007C4598" w:rsidRDefault="00000000">
      <w:pPr>
        <w:jc w:val="both"/>
      </w:pPr>
      <w:r>
        <w:t>I confini della voce ne delimitano la portata e ne rimettono taluni aspetti alle voci successive e alla parte dedicata all’attuazione. La voce stabilisce il fondamento prossimo della riforma nel quadro normativo regionale e nazionale, e non il fondamento ultimo nei principi costituzionali e convenzionali, esaminato nella prima voce; essa ricostruisce le norme che istituiscono e disciplinano la riforma, e non le cornici di responsabilità che ne governano l’attuazione, esaminate nelle voci successive. La voce indica gli atti attuativi come la condizione della piena attuazione della riforma, ma non li adotta né ne determina il contenuto, rimettendone l’adozione alla quattordicesima parte, dedicata all’attuazione, che dovrà tradurre le linee fondamentali della legge regionale nelle regole concrete dell’organizzazione e del funzionamento. La voce richiama il contesto nazionale del dibattito sulla figura dello psicologo di base, e ne mostra il rilievo per la riforma regionale, ma non lo valuta sotto il profilo della scalabilità nazionale, che la quattordicesima parte esaminerà. Entro questi confini, la voce stabilisce che la riforma del primo livello psicologico trova nel quadro normativo regionale e nazionale il proprio fondamento prossimo, costituito dalla legge regionale che la istituisce, collocata entro la cornice delle norme nazionali e fondata nei principi costituzionali e convenzionali; e che la sua piena attuazione richiede gli atti attuativi che ne specifichino la disciplina, la cui adozione è rimessa alla parte dedicata all’attuazione.</w:t>
      </w:r>
    </w:p>
    <w:p w14:paraId="73876075" w14:textId="77777777" w:rsidR="007C4598" w:rsidRDefault="007C4598"/>
    <w:p w14:paraId="2B8C4EC8" w14:textId="77777777" w:rsidR="007C4598" w:rsidRDefault="00000000">
      <w:pPr>
        <w:pStyle w:val="Titolo1"/>
        <w:pageBreakBefore/>
      </w:pPr>
      <w:r>
        <w:rPr>
          <w:sz w:val="22"/>
          <w:szCs w:val="22"/>
        </w:rPr>
        <w:t xml:space="preserve">13.3  La protezione dei dati e la </w:t>
      </w:r>
      <w:proofErr w:type="spellStart"/>
      <w:r>
        <w:rPr>
          <w:sz w:val="22"/>
          <w:szCs w:val="22"/>
        </w:rPr>
        <w:t>governance</w:t>
      </w:r>
      <w:proofErr w:type="spellEnd"/>
      <w:r>
        <w:rPr>
          <w:sz w:val="22"/>
          <w:szCs w:val="22"/>
        </w:rPr>
        <w:t xml:space="preserve"> dell’Intelligenza Artificiale</w:t>
      </w:r>
    </w:p>
    <w:p w14:paraId="40B7263F" w14:textId="77777777" w:rsidR="007C4598" w:rsidRDefault="007C4598"/>
    <w:p w14:paraId="4D4325B0" w14:textId="77777777" w:rsidR="007C4598" w:rsidRDefault="00000000">
      <w:pPr>
        <w:jc w:val="both"/>
      </w:pPr>
      <w:r>
        <w:rPr>
          <w:i/>
          <w:iCs/>
        </w:rPr>
        <w:t xml:space="preserve">La terza voce stabilisce la cornice di responsabilità nell’impiego degli strumenti digitali, ossia le regole che assicurano la riservatezza, la responsabilità e la trasparenza nel trattamento dei dati e nell’uso dell’Intelligenza Artificiale. Essa espone la logica della cornice di responsabilità nell’impiego degli strumenti, esamina la protezione dei dati sanitari, considera la </w:t>
      </w:r>
      <w:proofErr w:type="spellStart"/>
      <w:r>
        <w:rPr>
          <w:i/>
          <w:iCs/>
        </w:rPr>
        <w:t>governance</w:t>
      </w:r>
      <w:proofErr w:type="spellEnd"/>
      <w:r>
        <w:rPr>
          <w:i/>
          <w:iCs/>
        </w:rPr>
        <w:t xml:space="preserve"> dell’Intelligenza Artificiale nella sua posizione subordinata, individua nella riservatezza, nella responsabilità e nella trasparenza i principi della </w:t>
      </w:r>
      <w:proofErr w:type="spellStart"/>
      <w:r>
        <w:rPr>
          <w:i/>
          <w:iCs/>
        </w:rPr>
        <w:t>governance</w:t>
      </w:r>
      <w:proofErr w:type="spellEnd"/>
      <w:r>
        <w:rPr>
          <w:i/>
          <w:iCs/>
        </w:rPr>
        <w:t>, e ne traccia infine i confini, dichiarando il rinvio alle voci successive e alla parte dedicata all’attuazione.</w:t>
      </w:r>
    </w:p>
    <w:p w14:paraId="2409B2DF" w14:textId="77777777" w:rsidR="007C4598" w:rsidRDefault="007C4598"/>
    <w:p w14:paraId="231FD800" w14:textId="77777777" w:rsidR="007C4598" w:rsidRDefault="00000000">
      <w:pPr>
        <w:pStyle w:val="Titolo2"/>
        <w:spacing w:before="200" w:after="100"/>
      </w:pPr>
      <w:r>
        <w:rPr>
          <w:sz w:val="22"/>
          <w:szCs w:val="22"/>
        </w:rPr>
        <w:t>13.3.1  La logica della cornice di responsabilità nell’impiego degli strumenti</w:t>
      </w:r>
    </w:p>
    <w:p w14:paraId="17AE3A50" w14:textId="77777777" w:rsidR="007C4598" w:rsidRDefault="007C4598"/>
    <w:p w14:paraId="11FFDF64" w14:textId="77777777" w:rsidR="007C4598" w:rsidRDefault="00000000">
      <w:pPr>
        <w:jc w:val="both"/>
      </w:pPr>
      <w:r>
        <w:t>La cornice di responsabilità nell’impiego degli strumenti è l’insieme delle regole che governano l’uso degli strumenti digitali e dell’Intelligenza Artificiale nella riforma, assicurandone la conformità ai principi di tutela della persona. Mentre le voci precedenti hanno stabilito il fondamento della riforma — ultimo nei principi costituzionali e convenzionali, prossimo nel quadro normativo — la presente voce stabilisce le regole che governano l’azione della riforma sotto un profilo specifico: l’impiego degli strumenti digitali e dell’Intelligenza Artificiale, che la quarta parte ha collocato tra le leve abilitanti del primo livello psicologico. L’impiego di tali strumenti, che tratta dati di salute mentale e può avvalersi dell’Intelligenza Artificiale, richiede una cornice di responsabilità, ossia un insieme di regole che ne assicurino la conformità ai principi di tutela della persona, e in particolare alla riservatezza dei dati, alla responsabilità nell’uso degli strumenti e alla trasparenza dei trattamenti. La cornice di responsabilità non è un ostacolo all’impiego degli strumenti, ma la condizione della sua legittimità: gli strumenti digitali e l’Intelligenza Artificiale possono essere impiegati nella riforma in quanto il loro impiego sia conforme alle regole che ne assicurano la tutela della persona; e la cornice di responsabilità stabilisce tali regole, rendendo legittimo l’impiego degli strumenti che vi si conforma. La logica della cornice di responsabilità muove dal riconoscimento che l’impiego degli strumenti digitali e dell’Intelligenza Artificiale, in un servizio che tratta dati di salute mentale, è legittimo soltanto in quanto governato da regole di tutela della persona; e che tali regole costituiscono la cornice di responsabilità entro cui l’impiego degli strumenti è ammesso.</w:t>
      </w:r>
      <w:r>
        <w:rPr>
          <w:color w:val="555555"/>
          <w:sz w:val="16"/>
          <w:szCs w:val="16"/>
          <w:vertAlign w:val="superscript"/>
        </w:rPr>
        <w:t>[10]</w:t>
      </w:r>
    </w:p>
    <w:p w14:paraId="2029A804" w14:textId="77777777" w:rsidR="007C4598" w:rsidRDefault="007C4598"/>
    <w:p w14:paraId="791F6D21" w14:textId="77777777" w:rsidR="007C4598" w:rsidRDefault="00000000">
      <w:pPr>
        <w:jc w:val="both"/>
      </w:pPr>
      <w:r>
        <w:t xml:space="preserve">La cornice di responsabilità nell’impiego degli strumenti si compone di due ambiti, distinti ma connessi: la protezione dei dati e la </w:t>
      </w:r>
      <w:proofErr w:type="spellStart"/>
      <w:r>
        <w:t>governance</w:t>
      </w:r>
      <w:proofErr w:type="spellEnd"/>
      <w:r>
        <w:t xml:space="preserve"> dell’Intelligenza Artificiale. La protezione dei dati attiene al trattamento dei dati personali, e in particolare dei dati di salute, che il servizio raccoglie e tratta nell’erogazione della cura; essa stabilisce le regole che assicurano la riservatezza, la sicurezza e la liceità del trattamento, in conformità alla disciplina della protezione dei dati personali. La </w:t>
      </w:r>
      <w:proofErr w:type="spellStart"/>
      <w:r>
        <w:t>governance</w:t>
      </w:r>
      <w:proofErr w:type="spellEnd"/>
      <w:r>
        <w:t xml:space="preserve"> dell’Intelligenza Artificiale attiene all’uso dei sistemi di Intelligenza Artificiale, che il servizio può impiegare come leva abilitante nella sua posizione subordinata; essa stabilisce le regole che assicurano la responsabilità, la trasparenza e la supervisione umana nell’uso di tali sistemi, in conformità alla disciplina dell’Intelligenza Artificiale. I due ambiti sono distinti, perché attengono a oggetti diversi — il trattamento dei dati l’uno, l’uso dei sistemi di Intelligenza Artificiale l’altro — ma connessi, perché i sistemi di Intelligenza Artificiale, ove impiegati, trattano dati, e l’uso dei sistemi è perciò anche un trattamento di dati, soggetto alle regole della protezione dei dati oltre che alle regole della </w:t>
      </w:r>
      <w:proofErr w:type="spellStart"/>
      <w:r>
        <w:t>governance</w:t>
      </w:r>
      <w:proofErr w:type="spellEnd"/>
      <w:r>
        <w:t xml:space="preserve"> dell’Intelligenza Artificiale. La presente voce esamina i due ambiti distintamente, dedicando la prossima sottosezione alla protezione dei dati e la successiva alla </w:t>
      </w:r>
      <w:proofErr w:type="spellStart"/>
      <w:r>
        <w:t>governance</w:t>
      </w:r>
      <w:proofErr w:type="spellEnd"/>
      <w:r>
        <w:t xml:space="preserve"> dell’Intelligenza Artificiale, e ne mostra infine la connessione nei principi comuni della riservatezza, della responsabilità e della trasparenza, che governano entrambi gli ambiti.</w:t>
      </w:r>
    </w:p>
    <w:p w14:paraId="45AA765C" w14:textId="77777777" w:rsidR="007C4598" w:rsidRDefault="007C4598"/>
    <w:p w14:paraId="378B8C80" w14:textId="77777777" w:rsidR="007C4598" w:rsidRDefault="00000000">
      <w:pPr>
        <w:pStyle w:val="Titolo2"/>
        <w:spacing w:before="200" w:after="100"/>
      </w:pPr>
      <w:r>
        <w:rPr>
          <w:sz w:val="22"/>
          <w:szCs w:val="22"/>
        </w:rPr>
        <w:t>13.3.2  La protezione dei dati sanitari</w:t>
      </w:r>
    </w:p>
    <w:p w14:paraId="7F99E59C" w14:textId="77777777" w:rsidR="007C4598" w:rsidRDefault="007C4598"/>
    <w:p w14:paraId="4E0A8D14" w14:textId="77777777" w:rsidR="007C4598" w:rsidRDefault="00000000">
      <w:pPr>
        <w:jc w:val="both"/>
      </w:pPr>
      <w:r>
        <w:t>Il trattamento dei dati del primo livello psicologico è soggetto alla disciplina della protezione dei dati personali, che assoggetta i dati di salute a una tutela rafforzata. Il primo livello psicologico, nell’erogazione della cura, raccoglie e tratta dati personali della persona assistita, e in particolare dati relativi alla sua salute mentale; e tali dati, in quanto dati relativi alla salute, costituiscono, secondo la disciplina della protezione dei dati personali, una categoria particolare di dati personali, soggetta a una tutela rafforzata. Il regolamento generale sulla protezione dei dati assoggetta i dati relativi alla salute a un regime di particolare protezione: il loro trattamento è in linea di principio vietato, e ammesso soltanto in presenza di una delle condizioni che il regolamento specifica, tra cui la finalità di cura, che ricorre quando il trattamento è necessario per finalità di diagnosi, assistenza o terapia sanitaria. Il trattamento dei dati del primo livello psicologico si fonda sulla finalità di cura: esso è necessario per l’erogazione della cura del disagio mentale, e trova in tale finalità la condizione che ne legittima il trattamento, in deroga al divieto generale di trattamento dei dati relativi alla salute. La protezione dei dati sanitari nel primo livello psicologico richiede dunque che il trattamento dei dati relativi alla salute mentale si fondi sulla finalità di cura, e si conformi alle regole che la disciplina della protezione dei dati stabilisce per il trattamento dei dati di tale categoria particolare.</w:t>
      </w:r>
      <w:r>
        <w:rPr>
          <w:color w:val="555555"/>
          <w:sz w:val="16"/>
          <w:szCs w:val="16"/>
          <w:vertAlign w:val="superscript"/>
        </w:rPr>
        <w:t>[11]</w:t>
      </w:r>
    </w:p>
    <w:p w14:paraId="05D31867" w14:textId="77777777" w:rsidR="007C4598" w:rsidRDefault="007C4598"/>
    <w:p w14:paraId="0E5BDC9F" w14:textId="77777777" w:rsidR="007C4598" w:rsidRDefault="00000000">
      <w:pPr>
        <w:jc w:val="both"/>
      </w:pPr>
      <w:r>
        <w:t>Il trattamento dei dati del primo livello psicologico si conforma ai principi della protezione dei dati, che ne governano le modalità. Oltre a fondarsi sulla finalità di cura, il trattamento dei dati del primo livello psicologico si conforma ai principi che la disciplina della protezione dei dati stabilisce per ogni trattamento: il principio di liceità, che richiede un fondamento giuridico del trattamento; il principio di minimizzazione, che limita i dati trattati a quanto necessario alle finalità; il principio di limitazione delle finalità, che vincola il trattamento alle finalità determinate per cui i dati sono raccolti; il principio di sicurezza, che impone misure adeguate a proteggere i dati; il principio della protezione fin dalla progettazione, che integra la protezione dei dati nella progettazione del trattamento. La tabella che segue ricostruisce i principi della protezione dei dati sanitari e la loro applicazione al primo livello psicologico, indicando per ciascun principio il contenuto e l’applicazione alla riforma.</w:t>
      </w:r>
    </w:p>
    <w:p w14:paraId="752B71E3"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0AFBC9DC"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EBCFF2A" w14:textId="77777777" w:rsidR="007C4598" w:rsidRDefault="00000000">
            <w:pPr>
              <w:spacing w:after="40"/>
            </w:pPr>
            <w:r>
              <w:rPr>
                <w:b/>
                <w:bCs/>
                <w:color w:val="FFFFFF"/>
                <w:sz w:val="18"/>
                <w:szCs w:val="18"/>
              </w:rPr>
              <w:t>Principio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3959EBC" w14:textId="77777777" w:rsidR="007C4598" w:rsidRDefault="00000000">
            <w:pPr>
              <w:spacing w:after="40"/>
            </w:pPr>
            <w:r>
              <w:rPr>
                <w:b/>
                <w:bCs/>
                <w:color w:val="FFFFFF"/>
                <w:sz w:val="18"/>
                <w:szCs w:val="18"/>
              </w:rPr>
              <w:t>Contenuto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DF78025" w14:textId="77777777" w:rsidR="007C4598" w:rsidRDefault="00000000">
            <w:pPr>
              <w:spacing w:after="40"/>
            </w:pPr>
            <w:r>
              <w:rPr>
                <w:b/>
                <w:bCs/>
                <w:color w:val="FFFFFF"/>
                <w:sz w:val="18"/>
                <w:szCs w:val="18"/>
              </w:rPr>
              <w:t>Applicazione al primo livello psicologico</w:t>
            </w:r>
          </w:p>
        </w:tc>
      </w:tr>
      <w:tr w:rsidR="007C4598" w14:paraId="04496D4D"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87BBC29" w14:textId="77777777" w:rsidR="007C4598" w:rsidRDefault="00000000">
            <w:pPr>
              <w:spacing w:after="40"/>
            </w:pPr>
            <w:r>
              <w:t>Liceità e base giuridica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DEE566C" w14:textId="77777777" w:rsidR="007C4598" w:rsidRDefault="00000000">
            <w:pPr>
              <w:spacing w:after="40"/>
            </w:pPr>
            <w:r>
              <w:t>Il trattamento richiede una base giuridica; per i dati relativi alla salute, la finalità di cura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B764BDE" w14:textId="77777777" w:rsidR="007C4598" w:rsidRDefault="00000000">
            <w:pPr>
              <w:spacing w:after="40"/>
            </w:pPr>
            <w:r>
              <w:t>Il trattamento dei dati si fonda sulla finalità di cura del disagio mentale</w:t>
            </w:r>
          </w:p>
        </w:tc>
      </w:tr>
      <w:tr w:rsidR="007C4598" w14:paraId="41886FAF"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FF2DACC" w14:textId="77777777" w:rsidR="007C4598" w:rsidRDefault="00000000">
            <w:pPr>
              <w:spacing w:after="40"/>
            </w:pPr>
            <w:r>
              <w:t>Minimizzazione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2C083F2" w14:textId="77777777" w:rsidR="007C4598" w:rsidRDefault="00000000">
            <w:pPr>
              <w:spacing w:after="40"/>
            </w:pPr>
            <w:r>
              <w:t>I dati trattati sono limitati a quanto necessario alle finalità</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E92D1D3" w14:textId="77777777" w:rsidR="007C4598" w:rsidRDefault="00000000">
            <w:pPr>
              <w:spacing w:after="40"/>
            </w:pPr>
            <w:r>
              <w:t>Sono trattati i soli dati necessari all’erogazione della cura</w:t>
            </w:r>
          </w:p>
        </w:tc>
      </w:tr>
      <w:tr w:rsidR="007C4598" w14:paraId="45B746C0"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A3152DC" w14:textId="77777777" w:rsidR="007C4598" w:rsidRDefault="00000000">
            <w:pPr>
              <w:spacing w:after="40"/>
            </w:pPr>
            <w:r>
              <w:t>Limitazione delle finalità</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14483EF" w14:textId="77777777" w:rsidR="007C4598" w:rsidRDefault="00000000">
            <w:pPr>
              <w:spacing w:after="40"/>
            </w:pPr>
            <w:r>
              <w:t>I dati sono raccolti per finalità determinate e non trattati in modo incompatibile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C8642A2" w14:textId="77777777" w:rsidR="007C4598" w:rsidRDefault="00000000">
            <w:pPr>
              <w:spacing w:after="40"/>
            </w:pPr>
            <w:r>
              <w:t>I dati sono trattati per la sola finalità di cura, non per altre finalità</w:t>
            </w:r>
          </w:p>
        </w:tc>
      </w:tr>
      <w:tr w:rsidR="007C4598" w14:paraId="39E94D60"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321FE02" w14:textId="77777777" w:rsidR="007C4598" w:rsidRDefault="00000000">
            <w:pPr>
              <w:spacing w:after="40"/>
            </w:pPr>
            <w:r>
              <w:t>Sicurezza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A1A466D" w14:textId="77777777" w:rsidR="007C4598" w:rsidRDefault="00000000">
            <w:pPr>
              <w:spacing w:after="40"/>
            </w:pPr>
            <w:r>
              <w:t>Il trattamento garantisce una sicurezza adeguata dei dati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D0CAA2E" w14:textId="77777777" w:rsidR="007C4598" w:rsidRDefault="00000000">
            <w:pPr>
              <w:spacing w:after="40"/>
            </w:pPr>
            <w:r>
              <w:t>I dati sono protetti da misure di sicurezza adeguate alla loro sensibilità</w:t>
            </w:r>
          </w:p>
        </w:tc>
      </w:tr>
      <w:tr w:rsidR="007C4598" w14:paraId="3BB063CA"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64A2B39" w14:textId="77777777" w:rsidR="007C4598" w:rsidRDefault="00000000">
            <w:pPr>
              <w:spacing w:after="40"/>
            </w:pPr>
            <w:r>
              <w:t>Protezione fin dalla progettazione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6691143" w14:textId="77777777" w:rsidR="007C4598" w:rsidRDefault="00000000">
            <w:pPr>
              <w:spacing w:after="40"/>
            </w:pPr>
            <w:r>
              <w:t>La protezione dei dati è integrata nella progettazione del trattamento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7C7EBDE" w14:textId="77777777" w:rsidR="007C4598" w:rsidRDefault="00000000">
            <w:pPr>
              <w:spacing w:after="40"/>
            </w:pPr>
            <w:r>
              <w:t>Gli strumenti del servizio integrano la protezione dei dati fin dalla progettazione</w:t>
            </w:r>
          </w:p>
        </w:tc>
      </w:tr>
    </w:tbl>
    <w:p w14:paraId="78F10270" w14:textId="77777777" w:rsidR="007C4598" w:rsidRDefault="007C4598"/>
    <w:p w14:paraId="50F77C85" w14:textId="77777777" w:rsidR="007C4598" w:rsidRDefault="00000000">
      <w:pPr>
        <w:jc w:val="both"/>
      </w:pPr>
      <w:r>
        <w:rPr>
          <w:i/>
          <w:iCs/>
        </w:rPr>
        <w:t>Tabella 13.2 — I principi della protezione dei dati sanitari e la loro applicazione al primo livello psicologico. Il trattamento dei dati di salute mentale si fonda sulla finalità di cura e si conforma ai principi di liceità, minimizzazione, limitazione delle finalità, sicurezza e protezione fin dalla progettazione.</w:t>
      </w:r>
    </w:p>
    <w:p w14:paraId="4170E17E" w14:textId="77777777" w:rsidR="007C4598" w:rsidRDefault="007C4598"/>
    <w:p w14:paraId="22877D2F" w14:textId="77777777" w:rsidR="007C4598" w:rsidRDefault="00000000">
      <w:pPr>
        <w:jc w:val="both"/>
      </w:pPr>
      <w:r>
        <w:t>La particolare sensibilità dei dati di salute mentale richiede, nel trattamento, una cautela rafforzata, che la cornice di responsabilità assicura. I dati relativi alla salute mentale presentano una particolare sensibilità, perché attengono alla sfera più intima della persona, e perché la loro divulgazione può esporre la persona a pregiudizio, in ragione del persistente stigma che grava sul disagio mentale. Questa particolare sensibilità richiede, nel trattamento dei dati del primo livello psicologico, una cautela rafforzata, che eccede la cautela richiesta per il trattamento di altri dati di salute: la riservatezza dei dati di salute mentale è una condizione della fiducia della persona nel servizio, e la sua violazione comprometterebbe non soltanto la tutela della persona, ma la stessa funzione del servizio, che si fonda sulla fiducia della persona a confidare il proprio disagio. La cornice di responsabilità assicura questa cautela rafforzata, stabilendo regole di riservatezza e di sicurezza adeguate alla particolare sensibilità dei dati di salute mentale, e integrando la protezione dei dati nella progettazione degli strumenti del servizio. La protezione dei dati sanitari nel primo livello psicologico non è dunque un adempimento formale, ma una condizione sostanziale della tutela della persona e della funzione del servizio: essa assicura la riservatezza dei dati di salute mentale, che è condizione della fiducia della persona, e che il servizio, fondato su tale fiducia, deve garantire con una cautela rafforzata, proporzionata alla particolare sensibilità dei dati che tratta.</w:t>
      </w:r>
    </w:p>
    <w:p w14:paraId="42DA48D1" w14:textId="77777777" w:rsidR="007C4598" w:rsidRDefault="007C4598"/>
    <w:p w14:paraId="4B286479" w14:textId="77777777" w:rsidR="007C4598" w:rsidRDefault="00000000">
      <w:pPr>
        <w:pStyle w:val="Titolo2"/>
        <w:spacing w:before="200" w:after="100"/>
      </w:pPr>
      <w:r>
        <w:rPr>
          <w:sz w:val="22"/>
          <w:szCs w:val="22"/>
        </w:rPr>
        <w:t xml:space="preserve">13.3.3  La </w:t>
      </w:r>
      <w:proofErr w:type="spellStart"/>
      <w:r>
        <w:rPr>
          <w:sz w:val="22"/>
          <w:szCs w:val="22"/>
        </w:rPr>
        <w:t>governance</w:t>
      </w:r>
      <w:proofErr w:type="spellEnd"/>
      <w:r>
        <w:rPr>
          <w:sz w:val="22"/>
          <w:szCs w:val="22"/>
        </w:rPr>
        <w:t xml:space="preserve"> dell’Intelligenza Artificiale nella sua posizione subordinata</w:t>
      </w:r>
    </w:p>
    <w:p w14:paraId="67A35B08" w14:textId="77777777" w:rsidR="007C4598" w:rsidRDefault="007C4598"/>
    <w:p w14:paraId="00E84363" w14:textId="77777777" w:rsidR="007C4598" w:rsidRDefault="00000000">
      <w:pPr>
        <w:jc w:val="both"/>
      </w:pPr>
      <w:r>
        <w:t xml:space="preserve">La </w:t>
      </w:r>
      <w:proofErr w:type="spellStart"/>
      <w:r>
        <w:t>governance</w:t>
      </w:r>
      <w:proofErr w:type="spellEnd"/>
      <w:r>
        <w:t xml:space="preserve"> dell’Intelligenza Artificiale stabilisce le regole che governano l’uso dei sistemi di Intelligenza Artificiale nella riforma, nella posizione subordinata che la quarta parte ha loro assegnato. La quarta parte ha collocato l’Intelligenza Artificiale tra le leve abilitanti del primo livello psicologico, in una posizione subordinata: essa non è il centro della riforma, ma uno strumento che, sotto la supervisione umana, può accrescere l’efficacia del primo livello psicologico in talune funzioni di supporto, senza sostituire il professionista nel giudizio clinico. La </w:t>
      </w:r>
      <w:proofErr w:type="spellStart"/>
      <w:r>
        <w:t>governance</w:t>
      </w:r>
      <w:proofErr w:type="spellEnd"/>
      <w:r>
        <w:t xml:space="preserve"> dell’Intelligenza Artificiale stabilisce le regole che governano l’uso dei sistemi di Intelligenza Artificiale in questa posizione subordinata, assicurandone la responsabilità, la trasparenza e la supervisione umana. La posizione subordinata dell’Intelligenza Artificiale è il presupposto della sua </w:t>
      </w:r>
      <w:proofErr w:type="spellStart"/>
      <w:r>
        <w:t>governance</w:t>
      </w:r>
      <w:proofErr w:type="spellEnd"/>
      <w:r>
        <w:t xml:space="preserve">: poiché l’Intelligenza Artificiale è uno strumento di supporto sotto la supervisione umana, e non un sostituto del professionista, la sua </w:t>
      </w:r>
      <w:proofErr w:type="spellStart"/>
      <w:r>
        <w:t>governance</w:t>
      </w:r>
      <w:proofErr w:type="spellEnd"/>
      <w:r>
        <w:t xml:space="preserve"> è volta a mantenerla in tale posizione, assicurando che il professionista conservi la supervisione e la responsabilità del giudizio clinico, e che l’Intelligenza Artificiale operi come strumento di supporto, e non come decisore autonomo. La </w:t>
      </w:r>
      <w:proofErr w:type="spellStart"/>
      <w:r>
        <w:t>governance</w:t>
      </w:r>
      <w:proofErr w:type="spellEnd"/>
      <w:r>
        <w:t xml:space="preserve"> dell’Intelligenza Artificiale conferma e presidia dunque la posizione subordinata che la quarta parte ha assegnato all’Intelligenza Artificiale: essa non amplia il ruolo dell’Intelligenza Artificiale, ma lo circoscrive entro i confini della posizione subordinata, assicurando che essa rimanga uno strumento di supporto sotto la supervisione umana.</w:t>
      </w:r>
      <w:r>
        <w:rPr>
          <w:color w:val="555555"/>
          <w:sz w:val="16"/>
          <w:szCs w:val="16"/>
          <w:vertAlign w:val="superscript"/>
        </w:rPr>
        <w:t>[12]</w:t>
      </w:r>
    </w:p>
    <w:p w14:paraId="696DDBA5" w14:textId="77777777" w:rsidR="007C4598" w:rsidRDefault="007C4598"/>
    <w:p w14:paraId="36902900" w14:textId="77777777" w:rsidR="007C4598" w:rsidRDefault="00000000">
      <w:pPr>
        <w:jc w:val="both"/>
      </w:pPr>
      <w:r>
        <w:t xml:space="preserve">La </w:t>
      </w:r>
      <w:proofErr w:type="spellStart"/>
      <w:r>
        <w:t>governance</w:t>
      </w:r>
      <w:proofErr w:type="spellEnd"/>
      <w:r>
        <w:t xml:space="preserve"> dell’Intelligenza Artificiale si fonda sulla disciplina dell’Intelligenza Artificiale, che assoggetta i sistemi impiegati in àmbito sanitario a obblighi rafforzati. Il regolamento sull’intelligenza artificiale assoggetta i sistemi di Intelligenza Artificiale a una disciplina graduata secondo il rischio: i sistemi che presentano un rischio elevato per i diritti delle persone sono assoggettati a obblighi rafforzati, tra cui la trasparenza, la supervisione umana, l’accuratezza e la robustezza. I sistemi di Intelligenza Artificiale impiegati in àmbito sanitario possono ricadere, secondo la loro funzione, tra i sistemi ad alto rischio, in ragione dell’incidenza che le loro indicazioni possono avere sulla salute delle persone; e il loro impiego nel primo livello psicologico è perciò assoggettato agli obblighi rafforzati che la disciplina dell’Intelligenza Artificiale stabilisce per i sistemi ad alto rischio. La </w:t>
      </w:r>
      <w:proofErr w:type="spellStart"/>
      <w:r>
        <w:t>governance</w:t>
      </w:r>
      <w:proofErr w:type="spellEnd"/>
      <w:r>
        <w:t xml:space="preserve"> dell’Intelligenza Artificiale nel primo livello psicologico richiede dunque che i sistemi di Intelligenza Artificiale eventualmente impiegati si conformino a tali obblighi: la trasparenza, che rende comprensibile il funzionamento del sistema; la supervisione umana, che mantiene il professionista nella posizione di controllo; l’accuratezza e la robustezza, che assicurano l’affidabilità del sistema. La disciplina dell’Intelligenza Artificiale fornisce così la cornice della </w:t>
      </w:r>
      <w:proofErr w:type="spellStart"/>
      <w:r>
        <w:t>governance</w:t>
      </w:r>
      <w:proofErr w:type="spellEnd"/>
      <w:r>
        <w:t xml:space="preserve"> dell’Intelligenza Artificiale nel primo livello psicologico, assoggettando i sistemi eventualmente impiegati agli obblighi rafforzati che ne assicurano la responsabilità, la trasparenza e la supervisione umana, e che presidiano la posizione subordinata dell’Intelligenza Artificiale.</w:t>
      </w:r>
    </w:p>
    <w:p w14:paraId="5381C50F"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158F70DB"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471A50B" w14:textId="77777777" w:rsidR="007C4598" w:rsidRDefault="00000000">
            <w:pPr>
              <w:spacing w:after="40"/>
            </w:pPr>
            <w:r>
              <w:rPr>
                <w:b/>
                <w:bCs/>
                <w:color w:val="FFFFFF"/>
                <w:sz w:val="18"/>
                <w:szCs w:val="18"/>
              </w:rPr>
              <w:t xml:space="preserve">◆ SEGNAPOSTO INFOGRAFICA — 13.B · DA INSERIRE A POSTERIORI Titolo previsto: La cornice di responsabilità nell’impiego degli strumenti digitali e dell’Intelligenza Artificiale CODICE CANVA-FRIENDLY (scheda di generazione) Tipo di grafico: Schema a due ambiti connessi: a sinistra la protezione dei dati (con i principi di liceità, minimizzazione, limitazione delle finalità, sicurezza, protezione fin dalla progettazione); a destra la </w:t>
            </w:r>
            <w:proofErr w:type="spellStart"/>
            <w:r>
              <w:rPr>
                <w:b/>
                <w:bCs/>
                <w:color w:val="FFFFFF"/>
                <w:sz w:val="18"/>
                <w:szCs w:val="18"/>
              </w:rPr>
              <w:t>governance</w:t>
            </w:r>
            <w:proofErr w:type="spellEnd"/>
            <w:r>
              <w:rPr>
                <w:b/>
                <w:bCs/>
                <w:color w:val="FFFFFF"/>
                <w:sz w:val="18"/>
                <w:szCs w:val="18"/>
              </w:rPr>
              <w:t xml:space="preserve"> dell’Intelligenza Artificiale (con gli obblighi di trasparenza, supervisione umana, accuratezza, robustezza); al centro la zona di connessione, in cui l’uso dei sistemi di Intelligenza Artificiale è anche trattamento di dati. Lettura: I due ambiti sono distinti ma connessi: la </w:t>
            </w:r>
            <w:proofErr w:type="spellStart"/>
            <w:r>
              <w:rPr>
                <w:b/>
                <w:bCs/>
                <w:color w:val="FFFFFF"/>
                <w:sz w:val="18"/>
                <w:szCs w:val="18"/>
              </w:rPr>
              <w:t>governance</w:t>
            </w:r>
            <w:proofErr w:type="spellEnd"/>
            <w:r>
              <w:rPr>
                <w:b/>
                <w:bCs/>
                <w:color w:val="FFFFFF"/>
                <w:sz w:val="18"/>
                <w:szCs w:val="18"/>
              </w:rPr>
              <w:t xml:space="preserve"> dell’Intelligenza Artificiale presidia la posizione subordinata dello strumento, mentre la protezione dei dati ne governa il trattamento; entrambi convergono nei principi di riservatezza, responsabilità e trasparenza. Palette: Ambito protezione dati in blu #2E5AA0; ambito </w:t>
            </w:r>
            <w:proofErr w:type="spellStart"/>
            <w:r>
              <w:rPr>
                <w:b/>
                <w:bCs/>
                <w:color w:val="FFFFFF"/>
                <w:sz w:val="18"/>
                <w:szCs w:val="18"/>
              </w:rPr>
              <w:t>governance</w:t>
            </w:r>
            <w:proofErr w:type="spellEnd"/>
            <w:r>
              <w:rPr>
                <w:b/>
                <w:bCs/>
                <w:color w:val="FFFFFF"/>
                <w:sz w:val="18"/>
                <w:szCs w:val="18"/>
              </w:rPr>
              <w:t xml:space="preserve"> dell’Intelligenza Artificiale in </w:t>
            </w:r>
            <w:proofErr w:type="spellStart"/>
            <w:r>
              <w:rPr>
                <w:b/>
                <w:bCs/>
                <w:color w:val="FFFFFF"/>
                <w:sz w:val="18"/>
                <w:szCs w:val="18"/>
              </w:rPr>
              <w:t>navy</w:t>
            </w:r>
            <w:proofErr w:type="spellEnd"/>
            <w:r>
              <w:rPr>
                <w:b/>
                <w:bCs/>
                <w:color w:val="FFFFFF"/>
                <w:sz w:val="18"/>
                <w:szCs w:val="18"/>
              </w:rPr>
              <w:t xml:space="preserve"> #16264B; zona di connessione in oro #C49A48; principi in blu chiaro #5B7BB0. Sfondo: Bianco con gradiente impercettibile verso il crema #F3EAD6 (85% / 15%).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per i titoli;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Light per le etichette. Dimensioni: 1920 × 1080 </w:t>
            </w:r>
            <w:proofErr w:type="spellStart"/>
            <w:r>
              <w:rPr>
                <w:b/>
                <w:bCs/>
                <w:color w:val="FFFFFF"/>
                <w:sz w:val="18"/>
                <w:szCs w:val="18"/>
              </w:rPr>
              <w:t>px</w:t>
            </w:r>
            <w:proofErr w:type="spellEnd"/>
            <w:r>
              <w:rPr>
                <w:b/>
                <w:bCs/>
                <w:color w:val="FFFFFF"/>
                <w:sz w:val="18"/>
                <w:szCs w:val="18"/>
              </w:rPr>
              <w:t xml:space="preserve">. Valori da rappresentare: Protezione dati: liceità e finalità di cura, minimizzazione, limitazione delle finalità, sicurezza, protezione fin dalla progettazione. </w:t>
            </w:r>
            <w:proofErr w:type="spellStart"/>
            <w:r>
              <w:rPr>
                <w:b/>
                <w:bCs/>
                <w:color w:val="FFFFFF"/>
                <w:sz w:val="18"/>
                <w:szCs w:val="18"/>
              </w:rPr>
              <w:t>Governance</w:t>
            </w:r>
            <w:proofErr w:type="spellEnd"/>
            <w:r>
              <w:rPr>
                <w:b/>
                <w:bCs/>
                <w:color w:val="FFFFFF"/>
                <w:sz w:val="18"/>
                <w:szCs w:val="18"/>
              </w:rPr>
              <w:t xml:space="preserve"> dell’Intelligenza Artificiale: posizione subordinata, trasparenza, supervisione umana, accuratezza, robustezza, sistemi ad alto rischio in sanità. Connessione: l’uso dei sistemi è anche trattamento di dati. Principi comuni: riservatezza, responsabilità, trasparenza. Variante 3D (consigliata): Due blocchi affiancati con leggero rilievo, zona di connessione in evidenza al centro; ombre tenui, senza compromissione della leggibilità della distinzione tra gli ambiti. Fonte (piè di figura): Elaborazione della cornice di responsabilità nell’impiego degli strumenti digitali e dell’Intelligenza Artificiale (protezione dei dati e </w:t>
            </w:r>
            <w:proofErr w:type="spellStart"/>
            <w:r>
              <w:rPr>
                <w:b/>
                <w:bCs/>
                <w:color w:val="FFFFFF"/>
                <w:sz w:val="18"/>
                <w:szCs w:val="18"/>
              </w:rPr>
              <w:t>governance</w:t>
            </w:r>
            <w:proofErr w:type="spellEnd"/>
            <w:r>
              <w:rPr>
                <w:b/>
                <w:bCs/>
                <w:color w:val="FFFFFF"/>
                <w:sz w:val="18"/>
                <w:szCs w:val="18"/>
              </w:rPr>
              <w:t xml:space="preserve"> dell’Intelligenza Artificiale). Figura 13.B — La cornice di responsabilità nell’impiego degli strumenti digitali e dell’Intelligenza Artificiale: la protezione dei dati e la </w:t>
            </w:r>
            <w:proofErr w:type="spellStart"/>
            <w:r>
              <w:rPr>
                <w:b/>
                <w:bCs/>
                <w:color w:val="FFFFFF"/>
                <w:sz w:val="18"/>
                <w:szCs w:val="18"/>
              </w:rPr>
              <w:t>governance</w:t>
            </w:r>
            <w:proofErr w:type="spellEnd"/>
            <w:r>
              <w:rPr>
                <w:b/>
                <w:bCs/>
                <w:color w:val="FFFFFF"/>
                <w:sz w:val="18"/>
                <w:szCs w:val="18"/>
              </w:rPr>
              <w:t xml:space="preserve"> dell’Intelligenza Artificiale, distinte ma connesse, convergenti nei principi di riservatezza, responsabilità e trasparenza.</w:t>
            </w:r>
          </w:p>
          <w:p w14:paraId="06D5739C" w14:textId="77777777" w:rsidR="007C4598" w:rsidRDefault="00000000">
            <w:pPr>
              <w:spacing w:before="120" w:after="60"/>
              <w:jc w:val="center"/>
            </w:pPr>
            <w:r>
              <w:rPr>
                <w:noProof/>
              </w:rPr>
              <w:drawing>
                <wp:inline distT="0" distB="0" distL="0" distR="0" wp14:anchorId="5AA4D5E3" wp14:editId="00AE5C61">
                  <wp:extent cx="8229600" cy="4629150"/>
                  <wp:effectExtent l="0" t="0" r="0" b="0"/>
                  <wp:docPr id="173" name="Infografica73" descr="La cornice di responsabilità: protezione dati e governance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nfografica73"/>
                          <pic:cNvPicPr>
                            <a:picLocks noChangeAspect="1" noChangeArrowheads="1"/>
                          </pic:cNvPicPr>
                        </pic:nvPicPr>
                        <pic:blipFill>
                          <a:blip r:embed="rId135">
                            <a:extLst>
                              <a:ext uri="{96DAC541-7B7A-43D3-8B79-37D633B846F1}">
                                <asvg:svgBlip xmlns:asvg="http://schemas.microsoft.com/office/drawing/2016/SVG/main" r:embed="rId136"/>
                              </a:ext>
                            </a:extLst>
                          </a:blip>
                          <a:stretch>
                            <a:fillRect/>
                          </a:stretch>
                        </pic:blipFill>
                        <pic:spPr bwMode="auto">
                          <a:xfrm>
                            <a:off x="0" y="0"/>
                            <a:ext cx="8229600" cy="4629150"/>
                          </a:xfrm>
                          <a:prstGeom prst="rect">
                            <a:avLst/>
                          </a:prstGeom>
                          <a:noFill/>
                          <a:ln>
                            <a:noFill/>
                          </a:ln>
                        </pic:spPr>
                      </pic:pic>
                    </a:graphicData>
                  </a:graphic>
                </wp:inline>
              </w:drawing>
            </w:r>
          </w:p>
          <w:p w14:paraId="45C0EEA1" w14:textId="77777777" w:rsidR="007C4598" w:rsidRDefault="00000000">
            <w:pPr>
              <w:spacing w:before="40" w:after="200"/>
              <w:jc w:val="center"/>
            </w:pPr>
            <w:r>
              <w:rPr>
                <w:i/>
                <w:color w:val="2E5A8F"/>
                <w:sz w:val="16"/>
                <w:szCs w:val="16"/>
              </w:rPr>
              <w:t xml:space="preserve">Fig. 13.B — La cornice di responsabilità: protezione dati e </w:t>
            </w:r>
            <w:proofErr w:type="spellStart"/>
            <w:r>
              <w:rPr>
                <w:i/>
                <w:color w:val="2E5A8F"/>
                <w:sz w:val="16"/>
                <w:szCs w:val="16"/>
              </w:rPr>
              <w:t>governance</w:t>
            </w:r>
            <w:proofErr w:type="spellEnd"/>
            <w:r>
              <w:rPr>
                <w:i/>
                <w:color w:val="2E5A8F"/>
                <w:sz w:val="16"/>
                <w:szCs w:val="16"/>
              </w:rPr>
              <w:t xml:space="preserve"> IA. Elaborazione dello studio · Luigi De Michele · Giugno 2026.</w:t>
            </w:r>
          </w:p>
        </w:tc>
      </w:tr>
    </w:tbl>
    <w:p w14:paraId="3AE93748" w14:textId="77777777" w:rsidR="007C4598" w:rsidRDefault="007C4598"/>
    <w:p w14:paraId="1FFAA810" w14:textId="77777777" w:rsidR="007C4598" w:rsidRDefault="00000000">
      <w:pPr>
        <w:pStyle w:val="Titolo2"/>
        <w:spacing w:before="200" w:after="100"/>
      </w:pPr>
      <w:r>
        <w:rPr>
          <w:sz w:val="22"/>
          <w:szCs w:val="22"/>
        </w:rPr>
        <w:t xml:space="preserve">13.3.4  La riservatezza, la responsabilità e la trasparenza come principi della </w:t>
      </w:r>
      <w:proofErr w:type="spellStart"/>
      <w:r>
        <w:rPr>
          <w:sz w:val="22"/>
          <w:szCs w:val="22"/>
        </w:rPr>
        <w:t>governance</w:t>
      </w:r>
      <w:proofErr w:type="spellEnd"/>
    </w:p>
    <w:p w14:paraId="6E0E3EA8" w14:textId="77777777" w:rsidR="007C4598" w:rsidRDefault="007C4598"/>
    <w:p w14:paraId="3386B2DC" w14:textId="77777777" w:rsidR="007C4598" w:rsidRDefault="00000000">
      <w:pPr>
        <w:jc w:val="both"/>
      </w:pPr>
      <w:r>
        <w:t xml:space="preserve">I due ambiti della cornice di responsabilità — la protezione dei dati e la </w:t>
      </w:r>
      <w:proofErr w:type="spellStart"/>
      <w:r>
        <w:t>governance</w:t>
      </w:r>
      <w:proofErr w:type="spellEnd"/>
      <w:r>
        <w:t xml:space="preserve"> dell’Intelligenza Artificiale — convergono in tre principi comuni: la riservatezza, la responsabilità e la trasparenza. La riservatezza è il principio che assicura la protezione dei dati della persona dalla divulgazione non autorizzata, e governa sia il trattamento dei dati, che deve mantenerli riservati, sia l’uso dei sistemi di Intelligenza Artificiale, che deve avvenire nel rispetto della riservatezza dei dati trattati; essa è, per i dati di salute mentale, un principio rafforzato, in ragione della loro particolare sensibilità. La responsabilità è il principio che imputa al titolare del trattamento e all’utilizzatore dei sistemi la conformità alle regole, e governa sia il trattamento dei dati, di cui il titolare risponde, sia l’uso dei sistemi di Intelligenza Artificiale, di cui l’utilizzatore risponde, mantenendo la supervisione e il controllo; essa assicura che vi sia sempre un soggetto responsabile del trattamento e dell’uso, e che la responsabilità non sia diluita o trasferita al sistema. La trasparenza è il principio che rende comprensibili il trattamento dei dati e il funzionamento dei sistemi, e governa sia il trattamento dei dati, di cui la persona deve essere informata, sia l’uso dei sistemi di Intelligenza Artificiale, il cui funzionamento deve essere comprensibile; essa assicura che la persona conosca il trattamento dei propri dati e che il funzionamento dei sistemi sia intellegibile, e non opaco. I tre principi della riservatezza, della responsabilità e della trasparenza convergono dunque dai due ambiti della cornice di responsabilità, e ne costituiscono il fondamento comune: essi governano sia la protezione dei dati sia la </w:t>
      </w:r>
      <w:proofErr w:type="spellStart"/>
      <w:r>
        <w:t>governance</w:t>
      </w:r>
      <w:proofErr w:type="spellEnd"/>
      <w:r>
        <w:t xml:space="preserve"> dell’Intelligenza Artificiale, e ne assicurano la conformità ai principi di tutela della persona.</w:t>
      </w:r>
      <w:r>
        <w:rPr>
          <w:color w:val="555555"/>
          <w:sz w:val="16"/>
          <w:szCs w:val="16"/>
          <w:vertAlign w:val="superscript"/>
        </w:rPr>
        <w:t>[13]</w:t>
      </w:r>
    </w:p>
    <w:p w14:paraId="5188771D" w14:textId="77777777" w:rsidR="007C4598" w:rsidRDefault="007C4598"/>
    <w:p w14:paraId="7B4E8187" w14:textId="77777777" w:rsidR="007C4598" w:rsidRDefault="00000000">
      <w:pPr>
        <w:jc w:val="both"/>
      </w:pPr>
      <w:r>
        <w:t>I tre principi della riservatezza, della responsabilità e della trasparenza assicurano che l’impiego degli strumenti sia conforme alla tutela della persona, e ne costituiscono la condizione di legittimità. La riservatezza assicura che la persona sia protetta dalla divulgazione dei propri dati di salute mentale, che la esporrebbe a pregiudizio; e la sua osservanza è condizione della fiducia della persona nel servizio, che si fonda sulla riservatezza della relazione clinica. La responsabilità assicura che vi sia sempre un soggetto responsabile dell’impiego degli strumenti, che risponda della conformità alle regole; e la sua osservanza è condizione della tutela della persona, che può fare affidamento su un soggetto responsabile, e non su un sistema privo di responsabilità. La trasparenza assicura che la persona conosca il trattamento dei propri dati e che il funzionamento dei sistemi sia comprensibile; e la sua osservanza è condizione dell’autodeterminazione della persona, che può conoscere e controllare l’impiego degli strumenti che la riguardano. I tre principi sono dunque le condizioni di legittimità dell’impiego degli strumenti nella riforma: l’impiego degli strumenti digitali e dell’Intelligenza Artificiale è legittimo in quanto conforme alla riservatezza, alla responsabilità e alla trasparenza, che ne assicurano la conformità alla tutela della persona; e la cornice di responsabilità, stabilendo le regole che attuano tali principi, rende legittimo l’impiego degli strumenti che vi si conforma, e illegittimo l’impiego che vi si sottrae.</w:t>
      </w:r>
    </w:p>
    <w:p w14:paraId="0DCC0AC3" w14:textId="77777777" w:rsidR="007C4598" w:rsidRDefault="007C4598"/>
    <w:p w14:paraId="67C591E9" w14:textId="77777777" w:rsidR="007C4598" w:rsidRDefault="00000000">
      <w:pPr>
        <w:pStyle w:val="Titolo2"/>
        <w:spacing w:before="200" w:after="100"/>
      </w:pPr>
      <w:r>
        <w:rPr>
          <w:sz w:val="22"/>
          <w:szCs w:val="22"/>
        </w:rPr>
        <w:t>13.3.5  I confini della voce</w:t>
      </w:r>
    </w:p>
    <w:p w14:paraId="217B84E4" w14:textId="77777777" w:rsidR="007C4598" w:rsidRDefault="007C4598"/>
    <w:p w14:paraId="1AA5F23A" w14:textId="77777777" w:rsidR="007C4598" w:rsidRDefault="00000000">
      <w:pPr>
        <w:jc w:val="both"/>
      </w:pPr>
      <w:r>
        <w:t xml:space="preserve">La voce ha carattere normativo, come le precedenti, e ne condivide il metodo. La voce non misura grandezze, né formula stime, ma ricostruisce le regole della protezione dei dati e della </w:t>
      </w:r>
      <w:proofErr w:type="spellStart"/>
      <w:r>
        <w:t>governance</w:t>
      </w:r>
      <w:proofErr w:type="spellEnd"/>
      <w:r>
        <w:t xml:space="preserve"> dell’Intelligenza Artificiale, e ne valuta la portata come cornice di responsabilità; il suo metodo è quello dell’analisi giuridica, e non quello dell’analisi empirica. La gradazione dell’evidenza secondo i criteri GRADE non si applica alla voce, che formula proposizioni giuridiche, la cui solidità si valuta secondo il loro radicamento nelle norme della protezione dei dati e dell’Intelligenza Artificiale. Le proposizioni della voce — che il trattamento dei dati del primo livello psicologico si fonda sulla finalità di cura e si conforma ai principi della protezione dei dati, e che l’uso dei sistemi di Intelligenza Artificiale è governato nella posizione subordinata dagli obblighi rafforzati e dai principi della riservatezza, della responsabilità e della trasparenza — sono proposizioni giuridiche, solide in quanto radicate nelle norme, e la loro solidità si valuta secondo tale radicamento.</w:t>
      </w:r>
    </w:p>
    <w:p w14:paraId="6B4A54EA" w14:textId="77777777" w:rsidR="007C4598" w:rsidRDefault="007C4598"/>
    <w:p w14:paraId="1DA8778A" w14:textId="77777777" w:rsidR="007C4598" w:rsidRDefault="00000000">
      <w:pPr>
        <w:jc w:val="both"/>
      </w:pPr>
      <w:r>
        <w:t xml:space="preserve">I confini della voce ne delimitano la portata e ne rimettono taluni aspetti alle voci successive e alla parte dedicata all’attuazione. La voce stabilisce la cornice di responsabilità nell’impiego degli strumenti digitali e dell’Intelligenza Artificiale, e non l’etica professionale e la supervisione umana, che sono oggetto della quarta voce, né i profili organizzativi e di responsabilità, che sono oggetto della quinta; essa esamina le regole della protezione dei dati e della </w:t>
      </w:r>
      <w:proofErr w:type="spellStart"/>
      <w:r>
        <w:t>governance</w:t>
      </w:r>
      <w:proofErr w:type="spellEnd"/>
      <w:r>
        <w:t xml:space="preserve"> dell’Intelligenza Artificiale, e non le regole deontologiche dell’azione professionale né l’organizzazione del servizio, che le voci successive esamineranno. La voce stabilisce i principi della cornice di responsabilità — la riservatezza, la responsabilità, la trasparenza — e gli obblighi che li attuano, ma non le misure concrete della loro attuazione, la cui adozione è rimessa alla quattordicesima parte, dedicata all’attuazione, che dovrà tradurre i principi e gli obblighi nelle misure concrete di protezione dei dati e di </w:t>
      </w:r>
      <w:proofErr w:type="spellStart"/>
      <w:r>
        <w:t>governance</w:t>
      </w:r>
      <w:proofErr w:type="spellEnd"/>
      <w:r>
        <w:t xml:space="preserve"> dell’Intelligenza Artificiale. La voce conferma la posizione subordinata dell’Intelligenza Artificiale, stabilita dalla quarta parte, e ne presidia il mantenimento attraverso la </w:t>
      </w:r>
      <w:proofErr w:type="spellStart"/>
      <w:r>
        <w:t>governance</w:t>
      </w:r>
      <w:proofErr w:type="spellEnd"/>
      <w:r>
        <w:t>, ma non ne rifà la valutazione del contributo, condotta dalle parti precedenti. Entro questi confini, la voce stabilisce che l’impiego degli strumenti digitali e dell’Intelligenza Artificiale nel primo livello psicologico è legittimo in quanto governato dalla cornice di responsabilità, che assicura la riservatezza, la responsabilità e la trasparenza nel trattamento dei dati e nell’uso dei sistemi; e che tale cornice presidia la posizione subordinata dell’Intelligenza Artificiale, assicurando che essa rimanga uno strumento di supporto sotto la supervisione umana.</w:t>
      </w:r>
      <w:r>
        <w:rPr>
          <w:color w:val="555555"/>
          <w:sz w:val="16"/>
          <w:szCs w:val="16"/>
          <w:vertAlign w:val="superscript"/>
        </w:rPr>
        <w:t>[14]</w:t>
      </w:r>
    </w:p>
    <w:p w14:paraId="62FEBD93" w14:textId="77777777" w:rsidR="007C4598" w:rsidRDefault="007C4598"/>
    <w:p w14:paraId="61BBA570" w14:textId="77777777" w:rsidR="007C4598" w:rsidRDefault="00000000">
      <w:pPr>
        <w:pStyle w:val="Titolo1"/>
        <w:pageBreakBefore/>
      </w:pPr>
      <w:r>
        <w:rPr>
          <w:sz w:val="22"/>
          <w:szCs w:val="22"/>
        </w:rPr>
        <w:t>13.4  L’etica professionale e la supervisione umana</w:t>
      </w:r>
    </w:p>
    <w:p w14:paraId="76C6AF3F" w14:textId="77777777" w:rsidR="007C4598" w:rsidRDefault="007C4598"/>
    <w:p w14:paraId="3F3E03DD" w14:textId="77777777" w:rsidR="007C4598" w:rsidRDefault="00000000">
      <w:pPr>
        <w:jc w:val="both"/>
      </w:pPr>
      <w:r>
        <w:rPr>
          <w:i/>
          <w:iCs/>
        </w:rPr>
        <w:t>La quarta voce stabilisce la cornice deontologica dell’azione del professionista, ossia le regole etiche che ne governano la condotta e che assicurano la supervisione umana sugli strumenti. Essa espone la logica della cornice deontologica, esamina il codice deontologico degli psicologi e i suoi principi, considera la supervisione umana sugli strumenti digitali e sull’Intelligenza Artificiale, individua nell’autonomia e nella responsabilità professionale i cardini della cornice, e ne traccia infine i confini, dichiarando il rinvio alla voce successiva e alla parte dedicata all’attuazione.</w:t>
      </w:r>
    </w:p>
    <w:p w14:paraId="4927186A" w14:textId="77777777" w:rsidR="007C4598" w:rsidRDefault="007C4598"/>
    <w:p w14:paraId="7BE08042" w14:textId="77777777" w:rsidR="007C4598" w:rsidRDefault="00000000">
      <w:pPr>
        <w:pStyle w:val="Titolo2"/>
        <w:spacing w:before="200" w:after="100"/>
      </w:pPr>
      <w:r>
        <w:rPr>
          <w:sz w:val="22"/>
          <w:szCs w:val="22"/>
        </w:rPr>
        <w:t>13.4.1  La logica della cornice deontologica</w:t>
      </w:r>
    </w:p>
    <w:p w14:paraId="6EA55770" w14:textId="77777777" w:rsidR="007C4598" w:rsidRDefault="007C4598"/>
    <w:p w14:paraId="58186071" w14:textId="77777777" w:rsidR="007C4598" w:rsidRDefault="00000000">
      <w:pPr>
        <w:jc w:val="both"/>
      </w:pPr>
      <w:r>
        <w:t>La cornice deontologica è l’insieme delle regole etiche che governano la condotta del professionista nell’esercizio della professione, e che assicurano la conformità della sua azione ai principi della deontologia professionale. Mentre la voce precedente ha stabilito la cornice di responsabilità nell’impiego degli strumenti, la presente voce stabilisce la cornice deontologica dell’azione del professionista, ossia le regole etiche che ne governano la condotta. Il primo livello psicologico è erogato da un professionista — lo psicologo di base — la cui azione è governata da una deontologia professionale, ossia da un insieme di regole etiche che disciplinano l’esercizio della professione, e che ne assicurano la conformità ai principi del rispetto della persona, della riservatezza, dell’autonomia e della responsabilità. La cornice deontologica non è esterna alla riforma, ma ne costituisce una dimensione essenziale: la riforma è erogata da professionisti, e la conformità dell’azione professionale alla deontologia è perciò una condizione della legittimità della riforma, sotto il profilo della condotta di chi la eroga. La logica della cornice deontologica muove dal riconoscimento che il primo livello psicologico, in quanto erogato da professionisti, è governato dalla deontologia professionale, e che la conformità dell’azione professionale alla deontologia costituisce una condizione della legittimità della riforma; e che tale conformità è assicurata dalla cornice deontologica, che stabilisce le regole etiche dell’azione professionale e ne presidia l’osservanza.</w:t>
      </w:r>
      <w:r>
        <w:rPr>
          <w:color w:val="555555"/>
          <w:sz w:val="16"/>
          <w:szCs w:val="16"/>
          <w:vertAlign w:val="superscript"/>
        </w:rPr>
        <w:t>[15]</w:t>
      </w:r>
    </w:p>
    <w:p w14:paraId="3A38B986" w14:textId="77777777" w:rsidR="007C4598" w:rsidRDefault="007C4598"/>
    <w:p w14:paraId="2D3227CB" w14:textId="77777777" w:rsidR="007C4598" w:rsidRDefault="00000000">
      <w:pPr>
        <w:jc w:val="both"/>
      </w:pPr>
      <w:r>
        <w:t>La cornice deontologica dell’azione professionale si connette alla cornice di responsabilità nell’impiego degli strumenti, e in particolare alla supervisione umana. Le due cornici — la cornice deontologica dell’azione professionale e la cornice di responsabilità nell’impiego degli strumenti — sono distinte, perché attengono a oggetti diversi: l’una alla condotta del professionista, l’altra all’impiego degli strumenti digitali e dell’Intelligenza Artificiale. Ma esse si connettono nel punto della supervisione umana: la cornice di responsabilità nell’impiego degli strumenti richiede che il professionista mantenga la supervisione sugli strumenti e sui sistemi di Intelligenza Artificiale, e la cornice deontologica fonda tale supervisione nell’autonomia e nella responsabilità professionale, che impongono al professionista di mantenere il controllo del proprio giudizio clinico, e di non delegarlo allo strumento. La supervisione umana sugli strumenti è dunque il punto di connessione tra le due cornici: essa è richiesta dalla cornice di responsabilità, quale obbligo dell’impiego degli strumenti, ed è fondata dalla cornice deontologica, quale espressione dell’autonomia e della responsabilità professionale. La presente voce esamina la cornice deontologica dell’azione professionale, e in particolare la supervisione umana sugli strumenti, mostrandone il fondamento nella deontologia professionale, e la connessione con la cornice di responsabilità esaminata nella voce precedente; e stabilisce così che la supervisione umana sugli strumenti non è soltanto un obbligo dell’impiego degli strumenti, ma un’espressione dell’autonomia e della responsabilità professionale, che la deontologia impone.</w:t>
      </w:r>
    </w:p>
    <w:p w14:paraId="782D4F9D" w14:textId="77777777" w:rsidR="007C4598" w:rsidRDefault="007C4598"/>
    <w:p w14:paraId="7D543510" w14:textId="77777777" w:rsidR="007C4598" w:rsidRDefault="00000000">
      <w:pPr>
        <w:pStyle w:val="Titolo2"/>
        <w:spacing w:before="200" w:after="100"/>
      </w:pPr>
      <w:r>
        <w:rPr>
          <w:sz w:val="22"/>
          <w:szCs w:val="22"/>
        </w:rPr>
        <w:t>13.4.2  Il codice deontologico degli psicologi e i suoi principi</w:t>
      </w:r>
    </w:p>
    <w:p w14:paraId="2284B0C2" w14:textId="77777777" w:rsidR="007C4598" w:rsidRDefault="007C4598"/>
    <w:p w14:paraId="577DC563" w14:textId="77777777" w:rsidR="007C4598" w:rsidRDefault="00000000">
      <w:pPr>
        <w:jc w:val="both"/>
      </w:pPr>
      <w:r>
        <w:t>La condotta dello psicologo di base è governata dal codice deontologico degli psicologi, che stabilisce le regole etiche dell’esercizio della professione. La professione di psicologo è, nell’ordinamento italiano, una professione regolamentata, il cui esercizio è subordinato all’iscrizione all’albo e governato da un codice deontologico, che stabilisce le regole etiche dell’esercizio della professione; e lo psicologo di base, in quanto psicologo, è soggetto al codice deontologico degli psicologi, che ne governa la condotta nell’esercizio del primo livello psicologico. Il codice deontologico degli psicologi stabilisce i principi etici che governano l’azione dello psicologo, tra cui il segreto professionale, che impone allo psicologo di mantenere riservato quanto appreso nell’esercizio della professione; il consenso informato, che subordina l’intervento al consenso consapevole della persona; l’autonomia e la responsabilità, che impongono allo psicologo di esercitare il proprio giudizio con autonomia e di risponderne; e la centralità della relazione clinica, che pone la relazione tra lo psicologo e la persona al fondamento dell’intervento. La condotta dello psicologo di base nell’esercizio del primo livello psicologico è governata da questi principi, che ne assicurano la conformità alla deontologia professionale. La tabella che segue ricostruisce i principi dell’etica professionale e della supervisione umana, indicando per ciascuno il contenuto e il rilievo per la riforma.</w:t>
      </w:r>
      <w:r>
        <w:rPr>
          <w:color w:val="555555"/>
          <w:sz w:val="16"/>
          <w:szCs w:val="16"/>
          <w:vertAlign w:val="superscript"/>
        </w:rPr>
        <w:t>[16]</w:t>
      </w:r>
    </w:p>
    <w:p w14:paraId="0F0A48AD"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107E6EA0"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892C2EE" w14:textId="77777777" w:rsidR="007C4598" w:rsidRDefault="00000000">
            <w:pPr>
              <w:spacing w:after="40"/>
            </w:pPr>
            <w:r>
              <w:rPr>
                <w:b/>
                <w:bCs/>
                <w:color w:val="FFFFFF"/>
                <w:sz w:val="18"/>
                <w:szCs w:val="18"/>
              </w:rPr>
              <w:t>Principio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14CF323" w14:textId="77777777" w:rsidR="007C4598" w:rsidRDefault="00000000">
            <w:pPr>
              <w:spacing w:after="40"/>
            </w:pPr>
            <w:r>
              <w:rPr>
                <w:b/>
                <w:bCs/>
                <w:color w:val="FFFFFF"/>
                <w:sz w:val="18"/>
                <w:szCs w:val="18"/>
              </w:rPr>
              <w:t>Contenuto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01854EB" w14:textId="77777777" w:rsidR="007C4598" w:rsidRDefault="00000000">
            <w:pPr>
              <w:spacing w:after="40"/>
            </w:pPr>
            <w:r>
              <w:rPr>
                <w:b/>
                <w:bCs/>
                <w:color w:val="FFFFFF"/>
                <w:sz w:val="18"/>
                <w:szCs w:val="18"/>
              </w:rPr>
              <w:t>Rilievo per il primo livello psicologico</w:t>
            </w:r>
          </w:p>
        </w:tc>
      </w:tr>
      <w:tr w:rsidR="007C4598" w14:paraId="01E396C1"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D66ACE4" w14:textId="77777777" w:rsidR="007C4598" w:rsidRDefault="00000000">
            <w:pPr>
              <w:spacing w:after="40"/>
            </w:pPr>
            <w:r>
              <w:t>Segreto professionale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7038C95" w14:textId="77777777" w:rsidR="007C4598" w:rsidRDefault="00000000">
            <w:pPr>
              <w:spacing w:after="40"/>
            </w:pPr>
            <w:r>
              <w:t>Il professionista è tenuto al segreto su quanto appreso nell’esercizio della professione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E34FD3A" w14:textId="77777777" w:rsidR="007C4598" w:rsidRDefault="00000000">
            <w:pPr>
              <w:spacing w:after="40"/>
            </w:pPr>
            <w:r>
              <w:t>Tutela la riservatezza della relazione clinica nel primo livello psicologico</w:t>
            </w:r>
          </w:p>
        </w:tc>
      </w:tr>
      <w:tr w:rsidR="007C4598" w14:paraId="05E259CE"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31B272F" w14:textId="77777777" w:rsidR="007C4598" w:rsidRDefault="00000000">
            <w:pPr>
              <w:spacing w:after="40"/>
            </w:pPr>
            <w:r>
              <w:t>Consenso informato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3BAEAFB" w14:textId="77777777" w:rsidR="007C4598" w:rsidRDefault="00000000">
            <w:pPr>
              <w:spacing w:after="40"/>
            </w:pPr>
            <w:r>
              <w:t>L’intervento richiede il consenso consapevole della persona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4D54C72" w14:textId="77777777" w:rsidR="007C4598" w:rsidRDefault="00000000">
            <w:pPr>
              <w:spacing w:after="40"/>
            </w:pPr>
            <w:r>
              <w:t>L’accesso al primo livello psicologico si fonda sul consenso informato</w:t>
            </w:r>
          </w:p>
        </w:tc>
      </w:tr>
      <w:tr w:rsidR="007C4598" w14:paraId="1E43E63B"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79BE3A4" w14:textId="77777777" w:rsidR="007C4598" w:rsidRDefault="00000000">
            <w:pPr>
              <w:spacing w:after="40"/>
            </w:pPr>
            <w:r>
              <w:t>Autonomia e responsabilità</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278E013" w14:textId="77777777" w:rsidR="007C4598" w:rsidRDefault="00000000">
            <w:pPr>
              <w:spacing w:after="40"/>
            </w:pPr>
            <w:r>
              <w:t>Il professionista esercita il proprio giudizio con autonomia e ne risponde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238F60B" w14:textId="77777777" w:rsidR="007C4598" w:rsidRDefault="00000000">
            <w:pPr>
              <w:spacing w:after="40"/>
            </w:pPr>
            <w:r>
              <w:t>Lo psicologo di base è responsabile del proprio giudizio clinico</w:t>
            </w:r>
          </w:p>
        </w:tc>
      </w:tr>
      <w:tr w:rsidR="007C4598" w14:paraId="401BBDBD"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DE41DEE" w14:textId="77777777" w:rsidR="007C4598" w:rsidRDefault="00000000">
            <w:pPr>
              <w:spacing w:after="40"/>
            </w:pPr>
            <w:r>
              <w:t>Supervisione umana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35D0BA7" w14:textId="77777777" w:rsidR="007C4598" w:rsidRDefault="00000000">
            <w:pPr>
              <w:spacing w:after="40"/>
            </w:pPr>
            <w:r>
              <w:t>Il professionista mantiene la supervisione sugli strumenti e il controllo del giudizio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394D77D" w14:textId="77777777" w:rsidR="007C4598" w:rsidRDefault="00000000">
            <w:pPr>
              <w:spacing w:after="40"/>
            </w:pPr>
            <w:r>
              <w:t>L’Intelligenza Artificiale non sostituisce il giudizio dello psicologo di base</w:t>
            </w:r>
          </w:p>
        </w:tc>
      </w:tr>
      <w:tr w:rsidR="007C4598" w14:paraId="6BF0785E"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34AC1A6" w14:textId="77777777" w:rsidR="007C4598" w:rsidRDefault="00000000">
            <w:pPr>
              <w:spacing w:after="40"/>
            </w:pPr>
            <w:r>
              <w:t>Centralità della relazione clinica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5F3A371" w14:textId="77777777" w:rsidR="007C4598" w:rsidRDefault="00000000">
            <w:pPr>
              <w:spacing w:after="40"/>
            </w:pPr>
            <w:r>
              <w:t>La relazione tra il professionista e la persona è il fondamento dell’intervento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ED2115A" w14:textId="77777777" w:rsidR="007C4598" w:rsidRDefault="00000000">
            <w:pPr>
              <w:spacing w:after="40"/>
            </w:pPr>
            <w:r>
              <w:t>Il primo livello psicologico si fonda sulla relazione clinica, non sullo strumento</w:t>
            </w:r>
          </w:p>
        </w:tc>
      </w:tr>
    </w:tbl>
    <w:p w14:paraId="0346A3B7" w14:textId="77777777" w:rsidR="007C4598" w:rsidRDefault="007C4598"/>
    <w:p w14:paraId="480356CE" w14:textId="77777777" w:rsidR="007C4598" w:rsidRDefault="00000000">
      <w:pPr>
        <w:jc w:val="both"/>
      </w:pPr>
      <w:r>
        <w:rPr>
          <w:i/>
          <w:iCs/>
        </w:rPr>
        <w:t>Tabella 13.3 — I principi dell’etica professionale e della supervisione umana e il loro rilievo per il primo livello psicologico. La condotta dello psicologo di base è governata dal segreto professionale, dal consenso informato, dall’autonomia e responsabilità, dalla supervisione umana e dalla centralità della relazione clinica.</w:t>
      </w:r>
    </w:p>
    <w:p w14:paraId="432606F0" w14:textId="77777777" w:rsidR="007C4598" w:rsidRDefault="007C4598"/>
    <w:p w14:paraId="24E4F776" w14:textId="77777777" w:rsidR="007C4598" w:rsidRDefault="00000000">
      <w:pPr>
        <w:jc w:val="both"/>
      </w:pPr>
      <w:r>
        <w:t>Tra i principi del codice deontologico, il segreto professionale e il consenso informato rivestono uno specifico rilievo per la tutela della persona nel primo livello psicologico. Il segreto professionale impone allo psicologo di mantenere riservato quanto appreso nell’esercizio della professione, e tutela così la riservatezza della relazione clinica, che è condizione della fiducia della persona a confidare il proprio disagio; esso si connette alla riservatezza dei dati, esaminata nella voce precedente, costituendone la dimensione deontologica: ciò che la protezione dei dati assicura come riservatezza del trattamento, il segreto professionale lo assicura come riservatezza della condotta del professionista. Il consenso informato subordina l’intervento al consenso consapevole della persona, che deve essere informata della natura dell’intervento e prestarvi il proprio consenso; esso tutela l’autodeterminazione della persona, che decide consapevolmente del proprio accesso alla cura, e si connette alla trasparenza, esaminata nella voce precedente, costituendone la dimensione deontologica: ciò che la trasparenza assicura come comprensibilità del trattamento, il consenso informato lo assicura come consapevolezza della persona nell’accesso all’intervento. Il segreto professionale e il consenso informato costituiscono dunque i principi deontologici che tutelano la riservatezza e l’autodeterminazione della persona nel primo livello psicologico, e che si connettono ai principi della cornice di responsabilità esaminati nella voce precedente, costituendone la dimensione deontologica, propria della condotta del professionista.</w:t>
      </w:r>
    </w:p>
    <w:p w14:paraId="7EF62E46" w14:textId="77777777" w:rsidR="007C4598" w:rsidRDefault="007C4598"/>
    <w:p w14:paraId="455A2D6A" w14:textId="77777777" w:rsidR="007C4598" w:rsidRDefault="00000000">
      <w:pPr>
        <w:pStyle w:val="Titolo2"/>
        <w:spacing w:before="200" w:after="100"/>
      </w:pPr>
      <w:r>
        <w:rPr>
          <w:sz w:val="22"/>
          <w:szCs w:val="22"/>
        </w:rPr>
        <w:t>13.4.3  La supervisione umana sugli strumenti digitali e sull’Intelligenza Artificiale</w:t>
      </w:r>
    </w:p>
    <w:p w14:paraId="2F8D0A42" w14:textId="77777777" w:rsidR="007C4598" w:rsidRDefault="007C4598"/>
    <w:p w14:paraId="50CF5C25" w14:textId="77777777" w:rsidR="007C4598" w:rsidRDefault="00000000">
      <w:pPr>
        <w:jc w:val="both"/>
      </w:pPr>
      <w:r>
        <w:t xml:space="preserve">La supervisione umana sugli strumenti è il principio per cui il professionista mantiene il controllo del proprio giudizio clinico, e non lo delega agli strumenti digitali o all’Intelligenza Artificiale. Il primo livello psicologico può avvalersi di strumenti digitali e dell’Intelligenza Artificiale come leve abilitanti, nella posizione subordinata che la quarta parte ha loro assegnato; ma l’impiego di tali strumenti è governato dal principio della supervisione umana, per cui il professionista mantiene il controllo del proprio giudizio clinico, e non lo delega agli strumenti. La supervisione umana implica che gli strumenti digitali e l’Intelligenza Artificiale operino come supporto al giudizio del professionista, e non come suoi sostituti: essi possono fornire indicazioni, elaborazioni o supporti, ma il giudizio clinico — la valutazione del disagio, la scelta dell’intervento, la conduzione della relazione — rimane del professionista, che lo esercita con autonomia e ne risponde. La supervisione umana è il presidio della posizione subordinata dell’Intelligenza Artificiale: essa assicura che l’Intelligenza Artificiale rimanga uno strumento di supporto, sotto il controllo del professionista, e non divenga un decisore autonomo, che sostituisca il giudizio clinico; e mantiene così l’Intelligenza Artificiale nella posizione subordinata che la quarta parte ha stabilita, e che la </w:t>
      </w:r>
      <w:proofErr w:type="spellStart"/>
      <w:r>
        <w:t>governance</w:t>
      </w:r>
      <w:proofErr w:type="spellEnd"/>
      <w:r>
        <w:t xml:space="preserve"> dell’Intelligenza Artificiale, esaminata nella voce precedente, presidia. La supervisione umana sugli strumenti è dunque il principio che assicura che il giudizio clinico rimanga del professionista, e che gli strumenti digitali e l’Intelligenza Artificiale operino come supporto, e non come sostituti, del giudizio clinico.</w:t>
      </w:r>
      <w:r>
        <w:rPr>
          <w:color w:val="555555"/>
          <w:sz w:val="16"/>
          <w:szCs w:val="16"/>
          <w:vertAlign w:val="superscript"/>
        </w:rPr>
        <w:t>[17]</w:t>
      </w:r>
    </w:p>
    <w:p w14:paraId="3E0ECCEF" w14:textId="77777777" w:rsidR="007C4598" w:rsidRDefault="007C4598"/>
    <w:p w14:paraId="58D8D054" w14:textId="77777777" w:rsidR="007C4598" w:rsidRDefault="00000000">
      <w:pPr>
        <w:jc w:val="both"/>
      </w:pPr>
      <w:r>
        <w:t xml:space="preserve">La supervisione umana trova il proprio fondamento nell’autonomia e nella responsabilità professionale, che impongono al professionista di mantenere il controllo del proprio giudizio. La supervisione umana non è soltanto un obbligo dell’impiego degli strumenti, stabilito dalla disciplina dell’Intelligenza Artificiale, ma un’espressione dell’autonomia e della responsabilità professionale, che la deontologia impone. L’autonomia professionale implica che il professionista eserciti il proprio giudizio con indipendenza, e non lo subordini a fattori esterni che ne compromettano l’indipendenza; e l’impiego dell’Intelligenza Artificiale, ove conducesse alla delega del giudizio clinico al sistema, comprometterebbe l’autonomia professionale, subordinando il giudizio del professionista al sistema. La responsabilità professionale implica che il professionista risponda del proprio giudizio, e non possa trasferirne la responsabilità a fattori esterni; e l’impiego dell’Intelligenza Artificiale, ove conducesse alla delega del giudizio clinico al sistema, diluirebbe la responsabilità professionale, trasferendola al sistema, che non risponde. La supervisione umana è dunque imposta dall’autonomia e dalla responsabilità professionale: essa assicura che il professionista mantenga il controllo del proprio giudizio, conservandone l’autonomia, e che il professionista risponda del proprio giudizio, conservandone la responsabilità. La supervisione umana sugli strumenti trova così, nella cornice deontologica, un fondamento che si aggiunge a quello che la disciplina dell’Intelligenza Artificiale le fornisce: essa è richiesta dalla </w:t>
      </w:r>
      <w:proofErr w:type="spellStart"/>
      <w:r>
        <w:t>governance</w:t>
      </w:r>
      <w:proofErr w:type="spellEnd"/>
      <w:r>
        <w:t xml:space="preserve"> dell’Intelligenza Artificiale, quale obbligo dell’impiego degli strumenti, ed è imposta dalla deontologia professionale, quale espressione dell’autonomia e della responsabilità del professionista, che non può delegare allo strumento il proprio giudizio clinico.</w:t>
      </w:r>
    </w:p>
    <w:p w14:paraId="10BD08C0"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7D046F51"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F05663F" w14:textId="77777777" w:rsidR="007C4598" w:rsidRDefault="00000000">
            <w:pPr>
              <w:spacing w:after="40"/>
            </w:pPr>
            <w:r>
              <w:rPr>
                <w:b/>
                <w:bCs/>
                <w:color w:val="FFFFFF"/>
                <w:sz w:val="18"/>
                <w:szCs w:val="18"/>
              </w:rPr>
              <w:t xml:space="preserve">◆ SEGNAPOSTO INFOGRAFICA — 13.C · DA INSERIRE A POSTERIORI Titolo previsto: La supervisione umana sugli strumenti digitali e sull’Intelligenza Artificiale CODICE CANVA-FRIENDLY (scheda di generazione) Tipo di grafico: Schema che rappresenta il rapporto tra il professionista, gli strumenti e il giudizio clinico: al centro il professionista, che esercita il giudizio clinico; in posizione subordinata gli strumenti digitali e l’Intelligenza Artificiale, che forniscono supporto; le frecce indicano che il supporto confluisce nel giudizio del professionista, che resta il decisore. Lettura: Il giudizio clinico rimane del professionista; gli strumenti operano come supporto sotto la sua supervisione. La supervisione umana è fondata nell’autonomia e nella responsabilità professionale e presidia la posizione subordinata dell’Intelligenza Artificiale. Palette: Professionista e giudizio clinico in </w:t>
            </w:r>
            <w:proofErr w:type="spellStart"/>
            <w:r>
              <w:rPr>
                <w:b/>
                <w:bCs/>
                <w:color w:val="FFFFFF"/>
                <w:sz w:val="18"/>
                <w:szCs w:val="18"/>
              </w:rPr>
              <w:t>navy</w:t>
            </w:r>
            <w:proofErr w:type="spellEnd"/>
            <w:r>
              <w:rPr>
                <w:b/>
                <w:bCs/>
                <w:color w:val="FFFFFF"/>
                <w:sz w:val="18"/>
                <w:szCs w:val="18"/>
              </w:rPr>
              <w:t xml:space="preserve"> #16264B; strumenti e Intelligenza Artificiale in blu chiaro #5B7BB0; frecce di supporto in blu #2E5AA0; fascia dell’autonomia e responsabilità in oro #C49A48. Sfondo: Bianco con gradiente impercettibile verso il crema #F3EAD6 (85% / 15%).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per i titoli;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Light per le etichette. Dimensioni: 1920 × 1080 </w:t>
            </w:r>
            <w:proofErr w:type="spellStart"/>
            <w:r>
              <w:rPr>
                <w:b/>
                <w:bCs/>
                <w:color w:val="FFFFFF"/>
                <w:sz w:val="18"/>
                <w:szCs w:val="18"/>
              </w:rPr>
              <w:t>px</w:t>
            </w:r>
            <w:proofErr w:type="spellEnd"/>
            <w:r>
              <w:rPr>
                <w:b/>
                <w:bCs/>
                <w:color w:val="FFFFFF"/>
                <w:sz w:val="18"/>
                <w:szCs w:val="18"/>
              </w:rPr>
              <w:t>. Valori da rappresentare: Professionista: esercizio del giudizio clinico, autonomia, responsabilità. Strumenti e Intelligenza Artificiale: supporto, posizione subordinata. Supervisione umana: controllo del giudizio, non delega allo strumento. Principi deontologici: segreto professionale, consenso informato, centralità della relazione clinica. Variante 3D (consigliata): Professionista in posizione centrale rilevata; strumenti in posizione subordinata; frecce di supporto convergenti; ombre tenui, senza compromissione della leggibilità del rapporto. Fonte (piè di figura): Elaborazione della supervisione umana sugli strumenti digitali e sull’Intelligenza Artificiale, fondata nell’autonomia e nella responsabilità professionale. Figura 13.C — La supervisione umana sugli strumenti digitali e sull’Intelligenza Artificiale: il giudizio clinico rimane del professionista, che esercita la supervisione sugli strumenti, in posizione subordinata; la supervisione è fondata nell’autonomia e nella responsabilità professionale.</w:t>
            </w:r>
          </w:p>
          <w:p w14:paraId="4D305714" w14:textId="77777777" w:rsidR="007C4598" w:rsidRDefault="00000000">
            <w:pPr>
              <w:spacing w:before="120" w:after="60"/>
              <w:jc w:val="center"/>
            </w:pPr>
            <w:r>
              <w:rPr>
                <w:noProof/>
              </w:rPr>
              <w:drawing>
                <wp:inline distT="0" distB="0" distL="0" distR="0" wp14:anchorId="3C1AB2D4" wp14:editId="674B54B1">
                  <wp:extent cx="8229600" cy="4629150"/>
                  <wp:effectExtent l="0" t="0" r="0" b="0"/>
                  <wp:docPr id="174" name="Infografica74" descr="La supervisione umana sugli strumenti digitali e sul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nfografica74"/>
                          <pic:cNvPicPr>
                            <a:picLocks noChangeAspect="1" noChangeArrowheads="1"/>
                          </pic:cNvPicPr>
                        </pic:nvPicPr>
                        <pic:blipFill>
                          <a:blip r:embed="rId137">
                            <a:extLst>
                              <a:ext uri="{96DAC541-7B7A-43D3-8B79-37D633B846F1}">
                                <asvg:svgBlip xmlns:asvg="http://schemas.microsoft.com/office/drawing/2016/SVG/main" r:embed="rId138"/>
                              </a:ext>
                            </a:extLst>
                          </a:blip>
                          <a:stretch>
                            <a:fillRect/>
                          </a:stretch>
                        </pic:blipFill>
                        <pic:spPr bwMode="auto">
                          <a:xfrm>
                            <a:off x="0" y="0"/>
                            <a:ext cx="8229600" cy="4629150"/>
                          </a:xfrm>
                          <a:prstGeom prst="rect">
                            <a:avLst/>
                          </a:prstGeom>
                          <a:noFill/>
                          <a:ln>
                            <a:noFill/>
                          </a:ln>
                        </pic:spPr>
                      </pic:pic>
                    </a:graphicData>
                  </a:graphic>
                </wp:inline>
              </w:drawing>
            </w:r>
          </w:p>
          <w:p w14:paraId="52896C16" w14:textId="77777777" w:rsidR="007C4598" w:rsidRDefault="00000000">
            <w:pPr>
              <w:spacing w:before="40" w:after="200"/>
              <w:jc w:val="center"/>
            </w:pPr>
            <w:r>
              <w:rPr>
                <w:i/>
                <w:color w:val="2E5A8F"/>
                <w:sz w:val="16"/>
                <w:szCs w:val="16"/>
              </w:rPr>
              <w:t>Fig. 13.C — La supervisione umana sugli strumenti digitali e sull'IA. Elaborazione dello studio · Luigi De Michele · Giugno 2026.</w:t>
            </w:r>
          </w:p>
        </w:tc>
      </w:tr>
    </w:tbl>
    <w:p w14:paraId="2E2F62C6" w14:textId="77777777" w:rsidR="007C4598" w:rsidRDefault="007C4598"/>
    <w:p w14:paraId="6AED126E" w14:textId="77777777" w:rsidR="007C4598" w:rsidRDefault="00000000">
      <w:pPr>
        <w:pStyle w:val="Titolo2"/>
        <w:spacing w:before="200" w:after="100"/>
      </w:pPr>
      <w:r>
        <w:rPr>
          <w:sz w:val="22"/>
          <w:szCs w:val="22"/>
        </w:rPr>
        <w:t>13.4.4  L’autonomia e la responsabilità professionale come cardini della cornice</w:t>
      </w:r>
    </w:p>
    <w:p w14:paraId="23E8F143" w14:textId="77777777" w:rsidR="007C4598" w:rsidRDefault="007C4598"/>
    <w:p w14:paraId="3A7C4F03" w14:textId="77777777" w:rsidR="007C4598" w:rsidRDefault="00000000">
      <w:pPr>
        <w:jc w:val="both"/>
      </w:pPr>
      <w:r>
        <w:t>L’autonomia e la responsabilità professionale costituiscono i cardini della cornice deontologica, da cui discendono gli altri principi e la supervisione umana. L’autonomia professionale è il principio per cui il professionista esercita il proprio giudizio con indipendenza, secondo la propria competenza e coscienza, e non subordina il giudizio a fattori esterni che ne compromettano l’indipendenza. La responsabilità professionale è il principio per cui il professionista risponde del proprio giudizio e della propria condotta, e non può trasferirne la responsabilità a fattori esterni. I due principi sono connessi, e costituiscono insieme il cardine della cornice deontologica: l’autonomia implica la responsabilità, perché chi esercita il giudizio con indipendenza ne risponde; e la responsabilità implica l’autonomia, perché chi risponde del giudizio deve esercitarlo con indipendenza. Dai due principi discendono gli altri principi della cornice deontologica: il segreto professionale, che il professionista osserva nell’esercizio autonomo e responsabile della professione; il consenso informato, che il professionista acquisisce nell’esercizio autonomo e responsabile dell’intervento; la centralità della relazione clinica, che il professionista conduce nell’esercizio autonomo e responsabile della professione; e la supervisione umana, che il professionista mantiene quale espressione dell’autonomia e della responsabilità. L’autonomia e la responsabilità professionale costituiscono dunque i cardini della cornice deontologica, da cui discendono gli altri principi e la supervisione umana, e che assicurano che il professionista eserciti il proprio giudizio con indipendenza e ne risponda.</w:t>
      </w:r>
      <w:r>
        <w:rPr>
          <w:color w:val="555555"/>
          <w:sz w:val="16"/>
          <w:szCs w:val="16"/>
          <w:vertAlign w:val="superscript"/>
        </w:rPr>
        <w:t>[18]</w:t>
      </w:r>
    </w:p>
    <w:p w14:paraId="4DEFFE5B" w14:textId="77777777" w:rsidR="007C4598" w:rsidRDefault="007C4598"/>
    <w:p w14:paraId="0AFDC1DA" w14:textId="77777777" w:rsidR="007C4598" w:rsidRDefault="00000000">
      <w:pPr>
        <w:jc w:val="both"/>
      </w:pPr>
      <w:r>
        <w:t>I cardini dell’autonomia e della responsabilità professionale assicurano che la riforma, pur avvalendosi di strumenti, rimanga fondata sull’azione del professionista, che ne è responsabile. La riforma del primo livello psicologico può avvalersi di strumenti digitali e dell’Intelligenza Artificiale, e può articolarsi in un’organizzazione complessa, che la quinta voce esaminerà; ma essa rimane fondata, sotto il profilo deontologico, sull’azione del professionista, che esercita il giudizio clinico con autonomia e ne risponde. I cardini dell’autonomia e della responsabilità professionale assicurano questo fondamento: essi impongono che il giudizio clinico rimanga del professionista, e non sia delegato agli strumenti né diluito nell’organizzazione; e che il professionista risponda del proprio giudizio, e non possa trasferirne la responsabilità agli strumenti né all’organizzazione. La riforma, pur avvalendosi di strumenti e articolandosi in un’organizzazione, rimane dunque fondata sull’azione del professionista, che ne è responsabile: gli strumenti operano come supporto sotto la supervisione del professionista, l’organizzazione distribuisce le funzioni senza sottrarre al professionista la responsabilità del giudizio clinico, e il professionista rimane il soggetto responsabile dell’azione clinica. I cardini dell’autonomia e della responsabilità professionale costituiscono così la garanzia che la riforma rimanga fondata sull’azione del professionista, e che l’impiego degli strumenti e l’articolazione dell’organizzazione non sottraggano al professionista la responsabilità del giudizio clinico, che la deontologia gli imputa.</w:t>
      </w:r>
    </w:p>
    <w:p w14:paraId="4402850A" w14:textId="77777777" w:rsidR="007C4598" w:rsidRDefault="007C4598"/>
    <w:p w14:paraId="2FB696FE" w14:textId="77777777" w:rsidR="007C4598" w:rsidRDefault="00000000">
      <w:pPr>
        <w:pStyle w:val="Titolo2"/>
        <w:spacing w:before="200" w:after="100"/>
      </w:pPr>
      <w:r>
        <w:rPr>
          <w:sz w:val="22"/>
          <w:szCs w:val="22"/>
        </w:rPr>
        <w:t>13.4.5  I confini della voce</w:t>
      </w:r>
    </w:p>
    <w:p w14:paraId="0ACB5742" w14:textId="77777777" w:rsidR="007C4598" w:rsidRDefault="007C4598"/>
    <w:p w14:paraId="35DF2F4E" w14:textId="77777777" w:rsidR="007C4598" w:rsidRDefault="00000000">
      <w:pPr>
        <w:jc w:val="both"/>
      </w:pPr>
      <w:r>
        <w:t>La voce ha carattere normativo, come le precedenti, e ne condivide il metodo. La voce non misura grandezze, né formula stime, ma ricostruisce le regole della deontologia professionale e della supervisione umana, e ne valuta la portata come cornice deontologica; il suo metodo è quello dell’analisi giuridica ed etica, e non quello dell’analisi empirica. La gradazione dell’evidenza secondo i criteri GRADE non si applica alla voce, che formula proposizioni deontologiche, la cui solidità si valuta secondo il loro radicamento nel codice deontologico e nei principi dell’autonomia e della responsabilità professionale. Le proposizioni della voce — che la condotta dello psicologo di base è governata dal codice deontologico, e che la supervisione umana sugli strumenti è imposta dall’autonomia e dalla responsabilità professionale — sono proposizioni deontologiche, solide in quanto radicate nel codice e nei principi della professione, e la loro solidità si valuta secondo tale radicamento.</w:t>
      </w:r>
    </w:p>
    <w:p w14:paraId="4E26A33E" w14:textId="77777777" w:rsidR="007C4598" w:rsidRDefault="007C4598"/>
    <w:p w14:paraId="3B516E8B" w14:textId="77777777" w:rsidR="007C4598" w:rsidRDefault="00000000">
      <w:pPr>
        <w:jc w:val="both"/>
      </w:pPr>
      <w:r>
        <w:t>I confini della voce ne delimitano la portata e ne rimettono taluni aspetti alla voce successiva e alla parte dedicata all’attuazione. La voce stabilisce la cornice deontologica dell’azione professionale e la supervisione umana sugli strumenti, e non i profili organizzativi e di responsabilità, che sono oggetto della quinta voce; essa esamina le regole etiche della condotta del professionista, e non l’organizzazione del servizio e la distribuzione delle funzioni e delle responsabilità tra le figure e le istituzioni, che la quinta voce esaminerà. La voce stabilisce i principi della cornice deontologica — il segreto professionale, il consenso informato, l’autonomia e la responsabilità, la supervisione umana, la centralità della relazione clinica — ma non le misure concrete della loro osservanza, la cui adozione è rimessa alla quattordicesima parte, dedicata all’attuazione, che dovrà tradurre i principi deontologici nelle misure concrete che ne assicurano l’osservanza. La voce conferma la posizione subordinata dell’Intelligenza Artificiale, presidiandola attraverso la supervisione umana, ma non ne rifà la valutazione del contributo, condotta dalle parti precedenti. Entro questi confini, la voce stabilisce che la condotta dello psicologo di base nel primo livello psicologico è governata dalla cornice deontologica, che ne assicura la conformità ai principi del segreto professionale, del consenso informato, dell’autonomia e della responsabilità, della supervisione umana e della centralità della relazione clinica; e che la supervisione umana sugli strumenti, imposta dall’autonomia e dalla responsabilità professionale, presidia la posizione subordinata dell’Intelligenza Artificiale, assicurando che il giudizio clinico rimanga del professionista.</w:t>
      </w:r>
      <w:r>
        <w:rPr>
          <w:color w:val="555555"/>
          <w:sz w:val="16"/>
          <w:szCs w:val="16"/>
          <w:vertAlign w:val="superscript"/>
        </w:rPr>
        <w:t>[19]</w:t>
      </w:r>
    </w:p>
    <w:p w14:paraId="3E0AAF5A" w14:textId="77777777" w:rsidR="007C4598" w:rsidRDefault="007C4598"/>
    <w:p w14:paraId="3AF5D5E7" w14:textId="77777777" w:rsidR="007C4598" w:rsidRDefault="00000000">
      <w:pPr>
        <w:pStyle w:val="Titolo1"/>
        <w:pageBreakBefore/>
      </w:pPr>
      <w:r>
        <w:rPr>
          <w:sz w:val="22"/>
          <w:szCs w:val="22"/>
        </w:rPr>
        <w:t>13.5  I profili organizzativi e di responsabilità</w:t>
      </w:r>
    </w:p>
    <w:p w14:paraId="041BE054" w14:textId="77777777" w:rsidR="007C4598" w:rsidRDefault="007C4598"/>
    <w:p w14:paraId="3C79AF16" w14:textId="77777777" w:rsidR="007C4598" w:rsidRDefault="00000000">
      <w:pPr>
        <w:jc w:val="both"/>
      </w:pPr>
      <w:r>
        <w:rPr>
          <w:i/>
          <w:iCs/>
        </w:rPr>
        <w:t>La quinta voce stabilisce la cornice della distribuzione delle funzioni e delle responsabilità tra le figure e le istituzioni, ossia le regole che disciplinano l’organizzazione del servizio sotto il profilo della responsabilità. Essa espone la logica dei profili organizzativi e di responsabilità, esamina la distribuzione delle funzioni tra le figure, considera la distribuzione delle responsabilità tra le istituzioni, ricostruisce la catena di responsabilità e il raccordo organizzativo, e ne traccia infine i confini, dichiarando il rinvio alle parti dedicate alla cascata, all’attuazione e al monitoraggio.</w:t>
      </w:r>
    </w:p>
    <w:p w14:paraId="233EBE27" w14:textId="77777777" w:rsidR="007C4598" w:rsidRDefault="007C4598"/>
    <w:p w14:paraId="3911ABDF" w14:textId="77777777" w:rsidR="007C4598" w:rsidRDefault="00000000">
      <w:pPr>
        <w:pStyle w:val="Titolo2"/>
        <w:spacing w:before="200" w:after="100"/>
      </w:pPr>
      <w:r>
        <w:rPr>
          <w:sz w:val="22"/>
          <w:szCs w:val="22"/>
        </w:rPr>
        <w:t>13.5.1  La logica dei profili organizzativi e di responsabilità</w:t>
      </w:r>
    </w:p>
    <w:p w14:paraId="75FB4B59" w14:textId="77777777" w:rsidR="007C4598" w:rsidRDefault="007C4598"/>
    <w:p w14:paraId="44867E28" w14:textId="77777777" w:rsidR="007C4598" w:rsidRDefault="00000000">
      <w:pPr>
        <w:jc w:val="both"/>
      </w:pPr>
      <w:r>
        <w:t>I profili organizzativi e di responsabilità sono l’insieme delle regole che disciplinano la distribuzione delle funzioni e delle responsabilità tra le figure e le istituzioni che concorrono alla riforma, assicurandone l’organizzazione ordinata e l’imputazione delle responsabilità. Mentre le voci precedenti hanno stabilito il fondamento della riforma e le cornici di responsabilità nell’impiego degli strumenti e nell’azione professionale, la presente voce stabilisce la cornice dell’organizzazione del servizio sotto il profilo della responsabilità, ossia le regole che distribuiscono le funzioni tra le figure e le istituzioni e che imputano a ciascuna le responsabilità corrispondenti. La riforma del primo livello psicologico è erogata non da un soggetto isolato, ma da una pluralità di figure e di istituzioni che concorrono alla sua realizzazione — lo psicologo di base, il medico di medicina generale, le altre figure, le aziende sanitarie, i distretti, la Regione — e l’organizzazione di tale pluralità richiede una distribuzione ordinata delle funzioni e delle responsabilità, che assegni a ciascun soggetto le proprie funzioni e ne imputi le corrispondenti responsabilità. I profili organizzativi e di responsabilità stabiliscono tale distribuzione: essi assegnano a ciascuna figura e a ciascuna istituzione le proprie funzioni, e ne imputano le corrispondenti responsabilità, assicurando l’organizzazione ordinata del servizio e l’imputazione chiara delle responsabilità. La logica dei profili organizzativi e di responsabilità muove dal riconoscimento che la riforma, in quanto erogata da una pluralità di figure e di istituzioni, richiede una distribuzione ordinata delle funzioni e delle responsabilità, che ne assicuri l’organizzazione e l’imputazione delle responsabilità; e che tale distribuzione costituisce una condizione della legittimità della riforma, sotto il profilo della sua organizzazione e della sua responsabilità.</w:t>
      </w:r>
      <w:r>
        <w:rPr>
          <w:color w:val="555555"/>
          <w:sz w:val="16"/>
          <w:szCs w:val="16"/>
          <w:vertAlign w:val="superscript"/>
        </w:rPr>
        <w:t>[20]</w:t>
      </w:r>
    </w:p>
    <w:p w14:paraId="76A2A2DD" w14:textId="77777777" w:rsidR="007C4598" w:rsidRDefault="007C4598"/>
    <w:p w14:paraId="584EEC6C" w14:textId="77777777" w:rsidR="007C4598" w:rsidRDefault="00000000">
      <w:pPr>
        <w:jc w:val="both"/>
      </w:pPr>
      <w:r>
        <w:t>I profili organizzativi e di responsabilità si distinguono da due dimensioni che la riforma esamina altrove, e a cui tuttavia si connettono: l’architettura della cascata e il modello organizzativo operativo. L’architettura della cascata, che la terza parte dello studio esamina, ordina le figure connesse alla riforma secondo l’influenza nel progetto e la capacità di generare rientro economico o revisione della spesa; essa è un ordinamento per influenza e per valore, distinto dalla distribuzione delle responsabilità, che ordina le figure secondo le funzioni e le responsabilità. Il modello organizzativo operativo, che la quarta parte esamina, descrive il funzionamento del servizio — la cura per intensità crescente, l’assistenza collaborativa, i percorsi assistenziali — ; esso è una descrizione del funzionamento, distinta dalla distribuzione delle responsabilità, che disciplina l’imputazione delle responsabilità. I profili organizzativi e di responsabilità, esaminati nella presente voce, si distinguono da entrambe le dimensioni: essi non ordinano le figure per influenza e per valore, come la cascata, né descrivono il funzionamento del servizio, come il modello operativo, ma distribuiscono le funzioni e imputano le responsabilità, sotto il profilo della responsabilità giuridica e organizzativa. Le tre dimensioni si connettono tuttavia: la distribuzione delle responsabilità presuppone l’architettura delle figure che la cascata ordina, e disciplina l’imputazione delle responsabilità nel funzionamento che il modello operativo descrive. La presente voce esamina la distribuzione delle responsabilità, distinta dalla cascata e dal modello operativo, ma a essi connessa, e ne mostra la funzione propria: l’imputazione ordinata delle responsabilità tra le figure e le istituzioni, che assicura la responsabilità della riforma sotto il profilo organizzativo.</w:t>
      </w:r>
    </w:p>
    <w:p w14:paraId="66D0D9E7" w14:textId="77777777" w:rsidR="007C4598" w:rsidRDefault="007C4598"/>
    <w:p w14:paraId="7544579E" w14:textId="77777777" w:rsidR="007C4598" w:rsidRDefault="00000000">
      <w:pPr>
        <w:pStyle w:val="Titolo2"/>
        <w:spacing w:before="200" w:after="100"/>
      </w:pPr>
      <w:r>
        <w:rPr>
          <w:sz w:val="22"/>
          <w:szCs w:val="22"/>
        </w:rPr>
        <w:t>13.5.2  La distribuzione delle funzioni tra le figure</w:t>
      </w:r>
    </w:p>
    <w:p w14:paraId="59E24D65" w14:textId="77777777" w:rsidR="007C4598" w:rsidRDefault="007C4598"/>
    <w:p w14:paraId="59C0056A" w14:textId="77777777" w:rsidR="007C4598" w:rsidRDefault="00000000">
      <w:pPr>
        <w:jc w:val="both"/>
      </w:pPr>
      <w:r>
        <w:t>La distribuzione delle funzioni tra le figure assegna a ciascuna figura le proprie funzioni nell’erogazione del primo livello psicologico, secondo un ordine che pone lo psicologo di base all’apice della funzione clinica. Lo psicologo di base, che la riforma istituisce, è la figura che eroga il primo livello psicologico, e che esercita la funzione clinica propria del servizio: la valutazione del disagio, la conduzione dell’intervento psicologico di primo livello, la relazione clinica con la persona. Lo psicologo di base è perciò all’apice della funzione clinica del primo livello psicologico, di cui esercita la funzione propria, e di cui risponde sotto il profilo del giudizio clinico. Accanto allo psicologo di base, il medico di medicina generale esercita la funzione di integrazione con le cure primarie: egli intercetta il disagio nella relazione con il proprio assistito, opera l’invio allo psicologo di base ove il disagio richieda l’intervento psicologico, e mantiene l’integrazione tra la cura del disagio mentale e la cura della salute fisica. Le altre figure — l’infermiere, lo psichiatra consulente, l’assistente sociale, e le ulteriori figure che la cascata ordina — esercitano funzioni di concorso, ciascuna secondo la propria competenza, nel concorso alla realizzazione del primo livello psicologico. La distribuzione delle funzioni tra le figure assegna dunque a ciascuna le proprie funzioni, secondo un ordine che pone lo psicologo di base all’apice della funzione clinica, il medico di medicina generale nella funzione di integrazione, e le altre figure nelle funzioni di concorso.</w:t>
      </w:r>
      <w:r>
        <w:rPr>
          <w:color w:val="555555"/>
          <w:sz w:val="16"/>
          <w:szCs w:val="16"/>
          <w:vertAlign w:val="superscript"/>
        </w:rPr>
        <w:t>[21]</w:t>
      </w:r>
    </w:p>
    <w:p w14:paraId="369C98A9" w14:textId="77777777" w:rsidR="007C4598" w:rsidRDefault="007C4598"/>
    <w:p w14:paraId="30996D7A" w14:textId="77777777" w:rsidR="007C4598" w:rsidRDefault="00000000">
      <w:pPr>
        <w:jc w:val="both"/>
      </w:pPr>
      <w:r>
        <w:t>La distribuzione delle funzioni tra le figure si connette all’architettura della cascata, che la terza parte esamina, e di cui la presente voce assume l’ordinamento per applicarvi la distribuzione delle responsabilità. La terza parte ordina le figure connesse alla riforma secondo l’influenza nel progetto e la capacità di generare rientro economico o revisione della spesa, ponendo lo psicologo di base all’apice della cascata come attore sistemico e origine; e tale ordinamento per influenza e per valore costituisce l’architettura entro cui la presente voce distribuisce le funzioni e le responsabilità. La distribuzione delle funzioni, che la presente voce esamina, assume l’architettura delle figure che la cascata ordina, e vi applica la distribuzione delle responsabilità: essa assegna a ciascuna figura, nell’architettura che la cascata ordina, le proprie funzioni, e ne imputa le corrispondenti responsabilità. La connessione tra la distribuzione delle funzioni e l’architettura della cascata è dunque quella tra la dimensione della responsabilità e la dimensione dell’influenza e del valore: la cascata ordina le figure per influenza e per valore, la presente voce vi distribuisce le funzioni e le responsabilità; e le due dimensioni si compongono nella figura dello psicologo di base, che è all’apice della cascata per influenza e per valore, e all’apice della funzione clinica per la responsabilità del giudizio clinico. La presente voce assume dunque l’architettura della cascata, e vi applica la distribuzione delle funzioni e delle responsabilità, mostrando come la dimensione della responsabilità si componga con la dimensione dell’influenza e del valore, e come lo psicologo di base sia all’apice sotto entrambe le dimensioni.</w:t>
      </w:r>
    </w:p>
    <w:p w14:paraId="0909B23F" w14:textId="77777777" w:rsidR="007C4598" w:rsidRDefault="007C4598"/>
    <w:p w14:paraId="5407D4F5" w14:textId="77777777" w:rsidR="007C4598" w:rsidRDefault="00000000">
      <w:pPr>
        <w:pStyle w:val="Titolo2"/>
        <w:spacing w:before="200" w:after="100"/>
      </w:pPr>
      <w:r>
        <w:rPr>
          <w:sz w:val="22"/>
          <w:szCs w:val="22"/>
        </w:rPr>
        <w:t>13.5.3  La distribuzione delle responsabilità tra le istituzioni</w:t>
      </w:r>
    </w:p>
    <w:p w14:paraId="4B818C13" w14:textId="77777777" w:rsidR="007C4598" w:rsidRDefault="007C4598"/>
    <w:p w14:paraId="43E7A346" w14:textId="77777777" w:rsidR="007C4598" w:rsidRDefault="00000000">
      <w:pPr>
        <w:jc w:val="both"/>
      </w:pPr>
      <w:r>
        <w:t>La distribuzione delle responsabilità tra le istituzioni assegna a ciascuna istituzione le proprie responsabilità nell’organizzazione del servizio, secondo la ripartizione delle competenze tra i livelli. Oltre alle figure che esercitano le funzioni cliniche e di concorso, alla realizzazione della riforma concorrono le istituzioni del sistema sanitario regionale, a ciascuna delle quali la distribuzione delle responsabilità assegna le proprie responsabilità organizzative. La Regione esercita la responsabilità della programmazione e dell’indirizzo del servizio: essa programma il servizio sul territorio regionale, ne stabilisce gli indirizzi, e ne assicura la coerenza con la programmazione sanitaria regionale. Le aziende sanitarie locali esercitano la responsabilità dell’organizzazione del servizio sul territorio di competenza: esse organizzano l’erogazione del servizio nelle proprie aree, ne assicurano la realizzazione, e ne rispondono sotto il profilo organizzativo. I distretti esercitano la responsabilità dell’articolazione territoriale del servizio: essi articolano il servizio nelle proprie aree distrettuali, assicurandone la prossimità ai territori, e ne rispondono sotto il profilo dell’articolazione distrettuale. La distribuzione delle responsabilità tra le istituzioni assegna dunque a ciascuna le proprie responsabilità organizzative, secondo la ripartizione delle competenze tra i livelli: la Regione la programmazione e l’indirizzo, le aziende sanitarie l’organizzazione, i distretti l’articolazione territoriale. La tabella che segue ricostruisce la distribuzione delle funzioni e delle responsabilità tra le figure e le istituzioni, indicando per ciascun soggetto la funzione e la responsabilità.</w:t>
      </w:r>
      <w:r>
        <w:rPr>
          <w:color w:val="555555"/>
          <w:sz w:val="16"/>
          <w:szCs w:val="16"/>
          <w:vertAlign w:val="superscript"/>
        </w:rPr>
        <w:t>[22]</w:t>
      </w:r>
    </w:p>
    <w:p w14:paraId="286F7D43"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08263F46"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8253C18" w14:textId="77777777" w:rsidR="007C4598" w:rsidRDefault="00000000">
            <w:pPr>
              <w:spacing w:after="40"/>
            </w:pPr>
            <w:r>
              <w:rPr>
                <w:b/>
                <w:bCs/>
                <w:color w:val="FFFFFF"/>
                <w:sz w:val="18"/>
                <w:szCs w:val="18"/>
              </w:rPr>
              <w:t>Soggetto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77F4CDF" w14:textId="77777777" w:rsidR="007C4598" w:rsidRDefault="00000000">
            <w:pPr>
              <w:spacing w:after="40"/>
            </w:pPr>
            <w:r>
              <w:rPr>
                <w:b/>
                <w:bCs/>
                <w:color w:val="FFFFFF"/>
                <w:sz w:val="18"/>
                <w:szCs w:val="18"/>
              </w:rPr>
              <w:t>Funzione</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9B4CCEB" w14:textId="77777777" w:rsidR="007C4598" w:rsidRDefault="00000000">
            <w:pPr>
              <w:spacing w:after="40"/>
            </w:pPr>
            <w:r>
              <w:rPr>
                <w:b/>
                <w:bCs/>
                <w:color w:val="FFFFFF"/>
                <w:sz w:val="18"/>
                <w:szCs w:val="18"/>
              </w:rPr>
              <w:t>Responsabilità</w:t>
            </w:r>
          </w:p>
        </w:tc>
      </w:tr>
      <w:tr w:rsidR="007C4598" w14:paraId="32DAB1B6"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E56031F" w14:textId="77777777" w:rsidR="007C4598" w:rsidRDefault="00000000">
            <w:pPr>
              <w:spacing w:after="40"/>
            </w:pPr>
            <w:r>
              <w:t>Psicologo di base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4C299ED" w14:textId="77777777" w:rsidR="007C4598" w:rsidRDefault="00000000">
            <w:pPr>
              <w:spacing w:after="40"/>
            </w:pPr>
            <w:r>
              <w:t>Erogazione del primo livello psicologico, valutazione del disagio, conduzione dell’intervento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897CE86" w14:textId="77777777" w:rsidR="007C4598" w:rsidRDefault="00000000">
            <w:pPr>
              <w:spacing w:after="40"/>
            </w:pPr>
            <w:r>
              <w:t>Responsabilità del giudizio clinico e della condotta professionale</w:t>
            </w:r>
          </w:p>
        </w:tc>
      </w:tr>
      <w:tr w:rsidR="007C4598" w14:paraId="756D18A9"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AE07474" w14:textId="77777777" w:rsidR="007C4598" w:rsidRDefault="00000000">
            <w:pPr>
              <w:spacing w:after="40"/>
            </w:pPr>
            <w:r>
              <w:t>Medico di medicina generale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FE037BE" w14:textId="77777777" w:rsidR="007C4598" w:rsidRDefault="00000000">
            <w:pPr>
              <w:spacing w:after="40"/>
            </w:pPr>
            <w:r>
              <w:t>Integrazione con le cure primarie, intercettazione del disagio, invio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7C7574E" w14:textId="77777777" w:rsidR="007C4598" w:rsidRDefault="00000000">
            <w:pPr>
              <w:spacing w:after="40"/>
            </w:pPr>
            <w:r>
              <w:t>Responsabilità della valutazione clinica di competenza e dell’integrazione</w:t>
            </w:r>
          </w:p>
        </w:tc>
      </w:tr>
      <w:tr w:rsidR="007C4598" w14:paraId="77E18E92"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557F69D" w14:textId="77777777" w:rsidR="007C4598" w:rsidRDefault="00000000">
            <w:pPr>
              <w:spacing w:after="40"/>
            </w:pPr>
            <w:r>
              <w:t>Altre figure di concorso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A9CE28A" w14:textId="77777777" w:rsidR="007C4598" w:rsidRDefault="00000000">
            <w:pPr>
              <w:spacing w:after="40"/>
            </w:pPr>
            <w:r>
              <w:t>Concorso alla realizzazione secondo la propria competenza (infermiere, psichiatra consulente, assistente sociale, e altre)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FABAB8F" w14:textId="77777777" w:rsidR="007C4598" w:rsidRDefault="00000000">
            <w:pPr>
              <w:spacing w:after="40"/>
            </w:pPr>
            <w:r>
              <w:t>Responsabilità della funzione di concorso esercitata</w:t>
            </w:r>
          </w:p>
        </w:tc>
      </w:tr>
      <w:tr w:rsidR="007C4598" w14:paraId="0BD9A271"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3278062" w14:textId="77777777" w:rsidR="007C4598" w:rsidRDefault="00000000">
            <w:pPr>
              <w:spacing w:after="40"/>
            </w:pPr>
            <w:r>
              <w:t>Distretto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D75077E" w14:textId="77777777" w:rsidR="007C4598" w:rsidRDefault="00000000">
            <w:pPr>
              <w:spacing w:after="40"/>
            </w:pPr>
            <w:r>
              <w:t>Articolazione territoriale del servizio, prossimità ai territori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DAD4916" w14:textId="77777777" w:rsidR="007C4598" w:rsidRDefault="00000000">
            <w:pPr>
              <w:spacing w:after="40"/>
            </w:pPr>
            <w:r>
              <w:t>Responsabilità dell’articolazione distrettuale</w:t>
            </w:r>
          </w:p>
        </w:tc>
      </w:tr>
      <w:tr w:rsidR="007C4598" w14:paraId="37864044"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7398D89" w14:textId="77777777" w:rsidR="007C4598" w:rsidRDefault="00000000">
            <w:pPr>
              <w:spacing w:after="40"/>
            </w:pPr>
            <w:r>
              <w:t>Azienda sanitaria locale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5F79B5C" w14:textId="77777777" w:rsidR="007C4598" w:rsidRDefault="00000000">
            <w:pPr>
              <w:spacing w:after="40"/>
            </w:pPr>
            <w:r>
              <w:t>Organizzazione del servizio sul territorio di competenza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70FE30C" w14:textId="77777777" w:rsidR="007C4598" w:rsidRDefault="00000000">
            <w:pPr>
              <w:spacing w:after="40"/>
            </w:pPr>
            <w:r>
              <w:t>Responsabilità organizzativa dell’erogazione del servizio</w:t>
            </w:r>
          </w:p>
        </w:tc>
      </w:tr>
      <w:tr w:rsidR="007C4598" w14:paraId="13C7B33B"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45C42C0" w14:textId="77777777" w:rsidR="007C4598" w:rsidRDefault="00000000">
            <w:pPr>
              <w:spacing w:after="40"/>
            </w:pPr>
            <w:r>
              <w:t>Regione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279959E" w14:textId="77777777" w:rsidR="007C4598" w:rsidRDefault="00000000">
            <w:pPr>
              <w:spacing w:after="40"/>
            </w:pPr>
            <w:r>
              <w:t>Programmazione e indirizzo del servizio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D6DAE62" w14:textId="77777777" w:rsidR="007C4598" w:rsidRDefault="00000000">
            <w:pPr>
              <w:spacing w:after="40"/>
            </w:pPr>
            <w:r>
              <w:t>Responsabilità della programmazione e dell’indirizzo</w:t>
            </w:r>
          </w:p>
        </w:tc>
      </w:tr>
    </w:tbl>
    <w:p w14:paraId="6F3398CD" w14:textId="77777777" w:rsidR="007C4598" w:rsidRDefault="007C4598"/>
    <w:p w14:paraId="2979DD6C" w14:textId="77777777" w:rsidR="007C4598" w:rsidRDefault="00000000">
      <w:pPr>
        <w:jc w:val="both"/>
      </w:pPr>
      <w:r>
        <w:rPr>
          <w:i/>
          <w:iCs/>
        </w:rPr>
        <w:t>Tabella 13.4 — La distribuzione delle funzioni e delle responsabilità tra le figure e le istituzioni che concorrono alla riforma. A ciascun soggetto sono assegnate le proprie funzioni e imputate le corrispondenti responsabilità, dallo psicologo di base all’apice della funzione clinica alla Regione, responsabile della programmazione e dell’indirizzo.</w:t>
      </w:r>
    </w:p>
    <w:p w14:paraId="43302FC2" w14:textId="77777777" w:rsidR="007C4598" w:rsidRDefault="007C4598"/>
    <w:p w14:paraId="2AA4EFCF" w14:textId="77777777" w:rsidR="007C4598" w:rsidRDefault="00000000">
      <w:pPr>
        <w:jc w:val="both"/>
      </w:pPr>
      <w:r>
        <w:t>La distribuzione delle responsabilità tra le istituzioni si connette al luogo dell’erogazione del servizio, costituito in larga parte dalla Casa della Comunità. La Missione 6 del Piano nazionale di ripresa e resilienza ha previsto l’istituzione delle Case della Comunità, quali luoghi dell’assistenza sanitaria territoriale di prossimità, entro cui i servizi territoriali si integrano; e il primo livello psicologico può essere collocato, in larga parte, entro la Casa della Comunità, integrandosi con gli altri servizi territoriali che vi hanno sede. La collocazione del primo livello psicologico entro la Casa della Comunità ha rilievo per la distribuzione delle responsabilità organizzative: essa colloca l’erogazione del servizio entro un luogo organizzato, di cui l’azienda sanitaria risponde sotto il profilo organizzativo, e ne assicura l’integrazione con gli altri servizi territoriali, di cui le istituzioni rispondono secondo le proprie competenze. La Casa della Comunità costituisce dunque il luogo entro cui la distribuzione delle responsabilità organizzative si concretizza: l’azienda sanitaria organizza il servizio entro la Casa della Comunità, il distretto ne articola la presenza nei territori, la Regione ne programma la collocazione, e l’integrazione con gli altri servizi territoriali si realizza entro il luogo organizzato che la Casa della Comunità costituisce. La connessione tra la distribuzione delle responsabilità e il luogo dell’erogazione mostra così come l’organizzazione del servizio si concretizzi entro la Casa della Comunità, e come le responsabilità organizzative delle istituzioni si esercitino in rapporto a tale luogo, entro cui il primo livello psicologico si integra con gli altri servizi territoriali.</w:t>
      </w:r>
    </w:p>
    <w:p w14:paraId="149092DF"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3200"/>
      </w:tblGrid>
      <w:tr w:rsidR="007C4598" w14:paraId="12F9B55D" w14:textId="77777777">
        <w:tc>
          <w:tcPr>
            <w:tcW w:w="9026"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95F311C" w14:textId="77777777" w:rsidR="007C4598" w:rsidRDefault="00000000">
            <w:pPr>
              <w:spacing w:after="40"/>
            </w:pPr>
            <w:r>
              <w:rPr>
                <w:b/>
                <w:bCs/>
                <w:color w:val="FFFFFF"/>
                <w:sz w:val="18"/>
                <w:szCs w:val="18"/>
              </w:rPr>
              <w:t xml:space="preserve">◆ SEGNAPOSTO INFOGRAFICA — 13.D · DA INSERIRE A POSTERIORI Titolo previsto: La distribuzione delle funzioni e delle responsabilità tra le figure e le istituzioni CODICE CANVA-FRIENDLY (scheda di generazione) Tipo di grafico: Schema a due colonne connesse: a sinistra le figure (psicologo di base all’apice della funzione clinica, medico di medicina generale nella funzione di integrazione, altre figure di concorso); a destra le istituzioni (Regione per la programmazione e l’indirizzo, azienda sanitaria per l’organizzazione, distretto per l’articolazione territoriale); al centro il luogo dell’erogazione (Casa della Comunità) in cui le funzioni e le responsabilità si concretizzano. Lettura: A ciascun soggetto sono assegnate le proprie funzioni e imputate le corrispondenti responsabilità; lo psicologo di base è all’apice della funzione clinica, la Regione responsabile della programmazione; l’erogazione si concretizza nella Casa della Comunità. Palette: Figure in blu #2E5AA0 (psicologo di base in </w:t>
            </w:r>
            <w:proofErr w:type="spellStart"/>
            <w:r>
              <w:rPr>
                <w:b/>
                <w:bCs/>
                <w:color w:val="FFFFFF"/>
                <w:sz w:val="18"/>
                <w:szCs w:val="18"/>
              </w:rPr>
              <w:t>navy</w:t>
            </w:r>
            <w:proofErr w:type="spellEnd"/>
            <w:r>
              <w:rPr>
                <w:b/>
                <w:bCs/>
                <w:color w:val="FFFFFF"/>
                <w:sz w:val="18"/>
                <w:szCs w:val="18"/>
              </w:rPr>
              <w:t xml:space="preserve"> #16264B); istituzioni in blu medio #244272 (Regione in </w:t>
            </w:r>
            <w:proofErr w:type="spellStart"/>
            <w:r>
              <w:rPr>
                <w:b/>
                <w:bCs/>
                <w:color w:val="FFFFFF"/>
                <w:sz w:val="18"/>
                <w:szCs w:val="18"/>
              </w:rPr>
              <w:t>navy</w:t>
            </w:r>
            <w:proofErr w:type="spellEnd"/>
            <w:r>
              <w:rPr>
                <w:b/>
                <w:bCs/>
                <w:color w:val="FFFFFF"/>
                <w:sz w:val="18"/>
                <w:szCs w:val="18"/>
              </w:rPr>
              <w:t xml:space="preserve"> #16264B); luogo dell’erogazione in oro #C49A48; connessioni in blu chiaro #5B7BB0. Sfondo: Bianco con gradiente impercettibile verso il crema #F3EAD6 (85% / 15%). Font: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per i titoli; </w:t>
            </w:r>
            <w:proofErr w:type="spellStart"/>
            <w:r>
              <w:rPr>
                <w:b/>
                <w:bCs/>
                <w:color w:val="FFFFFF"/>
                <w:sz w:val="18"/>
                <w:szCs w:val="18"/>
              </w:rPr>
              <w:t>Barlow</w:t>
            </w:r>
            <w:proofErr w:type="spellEnd"/>
            <w:r>
              <w:rPr>
                <w:b/>
                <w:bCs/>
                <w:color w:val="FFFFFF"/>
                <w:sz w:val="18"/>
                <w:szCs w:val="18"/>
              </w:rPr>
              <w:t xml:space="preserve"> </w:t>
            </w:r>
            <w:proofErr w:type="spellStart"/>
            <w:r>
              <w:rPr>
                <w:b/>
                <w:bCs/>
                <w:color w:val="FFFFFF"/>
                <w:sz w:val="18"/>
                <w:szCs w:val="18"/>
              </w:rPr>
              <w:t>Semicondensed</w:t>
            </w:r>
            <w:proofErr w:type="spellEnd"/>
            <w:r>
              <w:rPr>
                <w:b/>
                <w:bCs/>
                <w:color w:val="FFFFFF"/>
                <w:sz w:val="18"/>
                <w:szCs w:val="18"/>
              </w:rPr>
              <w:t xml:space="preserve"> Light per le etichette. Dimensioni: 1920 × 1080 </w:t>
            </w:r>
            <w:proofErr w:type="spellStart"/>
            <w:r>
              <w:rPr>
                <w:b/>
                <w:bCs/>
                <w:color w:val="FFFFFF"/>
                <w:sz w:val="18"/>
                <w:szCs w:val="18"/>
              </w:rPr>
              <w:t>px</w:t>
            </w:r>
            <w:proofErr w:type="spellEnd"/>
            <w:r>
              <w:rPr>
                <w:b/>
                <w:bCs/>
                <w:color w:val="FFFFFF"/>
                <w:sz w:val="18"/>
                <w:szCs w:val="18"/>
              </w:rPr>
              <w:t>. Valori da rappresentare: Figure: psicologo di base (giudizio clinico), medico di medicina generale (integrazione), altre figure di concorso. Istituzioni: Regione (programmazione e indirizzo), azienda sanitaria locale (organizzazione), distretto (articolazione territoriale). Luogo: Casa della Comunità (integrazione dei servizi territoriali). Catena di responsabilità: dal giudizio clinico alla programmazione. Variante 3D (consigliata): Due colonne affiancate con leggero rilievo, luogo dell’erogazione in evidenza al centro; psicologo di base e Regione ai vertici delle rispettive colonne; ombre tenui, senza compromissione della leggibilità della distribuzione. Fonte (piè di figura): Elaborazione della distribuzione delle funzioni e delle responsabilità tra le figure e le istituzioni che concorrono alla riforma. Figura 13.D — La distribuzione delle funzioni e delle responsabilità tra le figure e le istituzioni: a ciascun soggetto le proprie funzioni e responsabilità, dallo psicologo di base all’apice della funzione clinica alla Regione responsabile della programmazione, con l’erogazione concretizzata nella Casa della Comunità.</w:t>
            </w:r>
          </w:p>
          <w:p w14:paraId="23EBA636" w14:textId="77777777" w:rsidR="007C4598" w:rsidRDefault="00000000">
            <w:pPr>
              <w:spacing w:before="120" w:after="60"/>
              <w:jc w:val="center"/>
            </w:pPr>
            <w:r>
              <w:rPr>
                <w:noProof/>
              </w:rPr>
              <w:drawing>
                <wp:inline distT="0" distB="0" distL="0" distR="0" wp14:anchorId="4FFD0243" wp14:editId="384C96C3">
                  <wp:extent cx="8229600" cy="4629150"/>
                  <wp:effectExtent l="0" t="0" r="0" b="0"/>
                  <wp:docPr id="175" name="Infografica75" descr="La distribuzione delle funzioni tra figure e istituzio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Infografica75"/>
                          <pic:cNvPicPr>
                            <a:picLocks noChangeAspect="1" noChangeArrowheads="1"/>
                          </pic:cNvPicPr>
                        </pic:nvPicPr>
                        <pic:blipFill>
                          <a:blip r:embed="rId139">
                            <a:extLst>
                              <a:ext uri="{96DAC541-7B7A-43D3-8B79-37D633B846F1}">
                                <asvg:svgBlip xmlns:asvg="http://schemas.microsoft.com/office/drawing/2016/SVG/main" r:embed="rId140"/>
                              </a:ext>
                            </a:extLst>
                          </a:blip>
                          <a:stretch>
                            <a:fillRect/>
                          </a:stretch>
                        </pic:blipFill>
                        <pic:spPr bwMode="auto">
                          <a:xfrm>
                            <a:off x="0" y="0"/>
                            <a:ext cx="8229600" cy="4629150"/>
                          </a:xfrm>
                          <a:prstGeom prst="rect">
                            <a:avLst/>
                          </a:prstGeom>
                          <a:noFill/>
                          <a:ln>
                            <a:noFill/>
                          </a:ln>
                        </pic:spPr>
                      </pic:pic>
                    </a:graphicData>
                  </a:graphic>
                </wp:inline>
              </w:drawing>
            </w:r>
          </w:p>
          <w:p w14:paraId="22543172" w14:textId="77777777" w:rsidR="007C4598" w:rsidRDefault="00000000">
            <w:pPr>
              <w:spacing w:before="40" w:after="200"/>
              <w:jc w:val="center"/>
            </w:pPr>
            <w:r>
              <w:rPr>
                <w:i/>
                <w:color w:val="2E5A8F"/>
                <w:sz w:val="16"/>
                <w:szCs w:val="16"/>
              </w:rPr>
              <w:t>Fig. 13.D — La distribuzione delle funzioni tra figure e istituzioni. Elaborazione dello studio · Luigi De Michele · Giugno 2026.</w:t>
            </w:r>
          </w:p>
        </w:tc>
      </w:tr>
    </w:tbl>
    <w:p w14:paraId="10AF6730" w14:textId="77777777" w:rsidR="007C4598" w:rsidRDefault="007C4598"/>
    <w:p w14:paraId="34164AF8" w14:textId="77777777" w:rsidR="007C4598" w:rsidRDefault="00000000">
      <w:pPr>
        <w:pStyle w:val="Titolo2"/>
        <w:spacing w:before="200" w:after="100"/>
      </w:pPr>
      <w:r>
        <w:rPr>
          <w:sz w:val="22"/>
          <w:szCs w:val="22"/>
        </w:rPr>
        <w:t>13.5.4  La catena di responsabilità e il raccordo organizzativo</w:t>
      </w:r>
    </w:p>
    <w:p w14:paraId="5646DE37" w14:textId="77777777" w:rsidR="007C4598" w:rsidRDefault="007C4598"/>
    <w:p w14:paraId="77C7C0D0" w14:textId="77777777" w:rsidR="007C4598" w:rsidRDefault="00000000">
      <w:pPr>
        <w:jc w:val="both"/>
      </w:pPr>
      <w:r>
        <w:t>La distribuzione delle funzioni e delle responsabilità compone una catena di responsabilità, che connette le responsabilità delle figure e delle istituzioni in un ordine coerente. La catena di responsabilità è l’ordine che connette le responsabilità dei diversi soggetti, dalla responsabilità del giudizio clinico, propria dello psicologo di base, alla responsabilità della programmazione, propria della Regione, attraverso le responsabilità intermedie dell’integrazione, del concorso, dell’articolazione e dell’organizzazione. La catena di responsabilità assicura che ogni aspetto della realizzazione della riforma sia imputato a un soggetto responsabile: il giudizio clinico allo psicologo di base, l’integrazione al medico di medicina generale, il concorso alle altre figure, l’articolazione territoriale al distretto, l’organizzazione all’azienda sanitaria, la programmazione alla Regione. Essa assicura altresì che le responsabilità non si sovrappongano né si confondano, ma si distinguano secondo le funzioni: ciascun soggetto risponde della propria funzione, e non delle funzioni altrui, sì che la responsabilità sia chiara e imputabile. La catena di responsabilità compone dunque le responsabilità dei diversi soggetti in un ordine coerente, che imputa a ciascuno la responsabilità della propria funzione, e che assicura la responsabilità della riforma sotto il profilo organizzativo, attraverso l’imputazione chiara e distinta delle responsabilità.</w:t>
      </w:r>
      <w:r>
        <w:rPr>
          <w:color w:val="555555"/>
          <w:sz w:val="16"/>
          <w:szCs w:val="16"/>
          <w:vertAlign w:val="superscript"/>
        </w:rPr>
        <w:t>[23]</w:t>
      </w:r>
    </w:p>
    <w:p w14:paraId="453CEDCA" w14:textId="77777777" w:rsidR="007C4598" w:rsidRDefault="007C4598"/>
    <w:p w14:paraId="4D7B2C62" w14:textId="77777777" w:rsidR="007C4598" w:rsidRDefault="00000000">
      <w:pPr>
        <w:jc w:val="both"/>
      </w:pPr>
      <w:r>
        <w:t>La catena di responsabilità richiede, per la propria efficacia, un raccordo organizzativo tra i soggetti, che ne coordini le funzioni e le responsabilità. La distribuzione delle funzioni e delle responsabilità tra una pluralità di soggetti richiede, perché la riforma operi ordinatamente, un raccordo tra i soggetti, che ne coordini le funzioni e ne componga le responsabilità nella realizzazione comune del servizio. Il raccordo organizzativo opera a più livelli: tra le figure, coordinandone le funzioni nell’erogazione del servizio — l’integrazione tra lo psicologo di base e il medico di medicina generale, il concorso delle altre figure; tra le istituzioni, coordinandone le responsabilità nell’organizzazione del servizio — il rapporto tra la programmazione regionale, l’organizzazione aziendale e l’articolazione distrettuale; e tra le figure e le istituzioni, coordinando l’esercizio delle funzioni cliniche entro l’organizzazione del servizio. Il raccordo organizzativo è la condizione dell’efficacia della catena di responsabilità: senza il raccordo, le funzioni e le responsabilità distribuite tra i soggetti opererebbero in modo scoordinato, compromettendo la realizzazione ordinata del servizio; con il raccordo, esse si compongono in una realizzazione coordinata, in cui ciascun soggetto esercita la propria funzione in coordinamento con gli altri. Il raccordo organizzativo, le cui modalità concrete sono rimesse alla sede dell’attuazione, costituisce dunque la condizione perché la distribuzione delle funzioni e delle responsabilità, e la catena di responsabilità che essa compone, operino ordinatamente nella realizzazione comune del servizio.</w:t>
      </w:r>
    </w:p>
    <w:p w14:paraId="096288D1" w14:textId="77777777" w:rsidR="007C4598" w:rsidRDefault="007C4598"/>
    <w:p w14:paraId="24276BE8" w14:textId="77777777" w:rsidR="007C4598" w:rsidRDefault="00000000">
      <w:pPr>
        <w:pStyle w:val="Titolo2"/>
        <w:spacing w:before="200" w:after="100"/>
      </w:pPr>
      <w:r>
        <w:rPr>
          <w:sz w:val="22"/>
          <w:szCs w:val="22"/>
        </w:rPr>
        <w:t>13.5.5  I confini della voce</w:t>
      </w:r>
    </w:p>
    <w:p w14:paraId="17635CAE" w14:textId="77777777" w:rsidR="007C4598" w:rsidRDefault="007C4598"/>
    <w:p w14:paraId="59E737EE" w14:textId="77777777" w:rsidR="007C4598" w:rsidRDefault="00000000">
      <w:pPr>
        <w:jc w:val="both"/>
      </w:pPr>
      <w:r>
        <w:t>La voce ha carattere normativo, come le precedenti, e ne condivide il metodo. La voce non misura grandezze, né formula stime, ma ricostruisce la distribuzione delle funzioni e delle responsabilità tra le figure e le istituzioni, e ne valuta la portata come cornice organizzativa e di responsabilità; il suo metodo è quello dell’analisi giuridica e organizzativa, e non quello dell’analisi empirica. La gradazione dell’evidenza secondo i criteri GRADE non si applica alla voce, che formula proposizioni organizzative e di responsabilità, la cui solidità si valuta secondo il loro radicamento nelle norme che disciplinano l’organizzazione del servizio e la ripartizione delle competenze. Le proposizioni della voce — che a ciascuna figura e a ciascuna istituzione sono assegnate le proprie funzioni e imputate le corrispondenti responsabilità, e che la catena di responsabilità richiede un raccordo organizzativo — sono proposizioni organizzative e di responsabilità, solide in quanto radicate nelle norme, e la loro solidità si valuta secondo tale radicamento.</w:t>
      </w:r>
    </w:p>
    <w:p w14:paraId="1659928F" w14:textId="77777777" w:rsidR="007C4598" w:rsidRDefault="007C4598"/>
    <w:p w14:paraId="05583D69" w14:textId="77777777" w:rsidR="007C4598" w:rsidRDefault="00000000">
      <w:pPr>
        <w:jc w:val="both"/>
      </w:pPr>
      <w:r>
        <w:t>I confini della voce ne delimitano la portata e ne rimettono taluni aspetti alle parti dedicate alla cascata, all’attuazione e al monitoraggio. La voce stabilisce la distribuzione delle funzioni e delle responsabilità tra le figure e le istituzioni, e non l’architettura della cascata, che è oggetto della terza parte, di cui essa assume l’ordinamento senza rifarlo; essa distribuisce le funzioni e le responsabilità nell’architettura che la cascata ordina, e non ordina le figure per influenza e per valore, come la cascata. La voce stabilisce la distribuzione delle responsabilità, e non il modello organizzativo operativo, che è oggetto della quarta parte; essa imputa le responsabilità nel funzionamento che il modello operativo descrive, e non descrive il funzionamento. La voce indica il raccordo organizzativo come la condizione dell’efficacia della catena di responsabilità, ma non ne determina le modalità concrete, la cui adozione è rimessa alla quattordicesima parte, dedicata all’attuazione, che dovrà tradurre la distribuzione delle funzioni e delle responsabilità nelle misure concrete del coordinamento organizzativo. L’osservanza della distribuzione delle responsabilità, infine, è oggetto del monitoraggio della quindicesima parte, che verificherà che le funzioni siano esercitate e le responsabilità imputate secondo la distribuzione stabilita. Entro questi confini, la voce stabilisce che la riforma del primo livello psicologico è organizzata secondo una distribuzione ordinata delle funzioni e delle responsabilità tra le figure e le istituzioni, che pone lo psicologo di base all’apice della funzione clinica e imputa a ciascun soggetto la responsabilità della propria funzione, componendo una catena di responsabilità che assicura la responsabilità della riforma sotto il profilo organizzativo.</w:t>
      </w:r>
      <w:r>
        <w:rPr>
          <w:color w:val="555555"/>
          <w:sz w:val="16"/>
          <w:szCs w:val="16"/>
          <w:vertAlign w:val="superscript"/>
        </w:rPr>
        <w:t>[24]</w:t>
      </w:r>
    </w:p>
    <w:p w14:paraId="2538A73C" w14:textId="77777777" w:rsidR="007C4598" w:rsidRDefault="007C4598"/>
    <w:p w14:paraId="09746438" w14:textId="77777777" w:rsidR="007C4598" w:rsidRDefault="00000000">
      <w:pPr>
        <w:pStyle w:val="Titolo1"/>
        <w:pageBreakBefore/>
      </w:pPr>
      <w:r>
        <w:rPr>
          <w:sz w:val="22"/>
          <w:szCs w:val="22"/>
        </w:rPr>
        <w:t>Quadro conclusivo etico-giuridico-organizzativo integrale</w:t>
      </w:r>
    </w:p>
    <w:p w14:paraId="51356D64" w14:textId="77777777" w:rsidR="007C4598" w:rsidRDefault="007C4598"/>
    <w:p w14:paraId="09B28640" w14:textId="77777777" w:rsidR="007C4598" w:rsidRDefault="00000000">
      <w:pPr>
        <w:jc w:val="both"/>
      </w:pPr>
      <w:r>
        <w:rPr>
          <w:i/>
          <w:iCs/>
        </w:rPr>
        <w:t xml:space="preserve">Il quadro conclusivo ricompone i risultati della tredicesima parte in una visione d’insieme, e ne trae il significato per la valutazione complessiva della riforma. La parte ha stabilito la cornice di legittimità e di responsabilità della riforma, esaminandone i profili etico-giuridico-organizzativi lungo cinque voci — il quadro costituzionale e convenzionale, il quadro normativo regionale e nazionale, la protezione dei dati e la </w:t>
      </w:r>
      <w:proofErr w:type="spellStart"/>
      <w:r>
        <w:rPr>
          <w:i/>
          <w:iCs/>
        </w:rPr>
        <w:t>governance</w:t>
      </w:r>
      <w:proofErr w:type="spellEnd"/>
      <w:r>
        <w:rPr>
          <w:i/>
          <w:iCs/>
        </w:rPr>
        <w:t xml:space="preserve"> dell’Intelligenza Artificiale, l’etica professionale e la supervisione umana, e i profili organizzativi e di responsabilità. Il quadro conclusivo raccoglie questi risultati, ne dichiara il posto nello studio, ne mostra la composizione, ne illustra il presidio della posizione subordinata dell’Intelligenza Artificiale, ne ribadisce il fondamento del valore nella legittimità e la distinzione delle dimensioni, e ne prepara il raccordo con l’attuazione e con il monitoraggio.</w:t>
      </w:r>
    </w:p>
    <w:p w14:paraId="20D4EE76" w14:textId="77777777" w:rsidR="007C4598" w:rsidRDefault="007C4598"/>
    <w:p w14:paraId="23CCFAF6" w14:textId="77777777" w:rsidR="007C4598" w:rsidRDefault="00000000">
      <w:pPr>
        <w:pStyle w:val="Titolo2"/>
        <w:spacing w:before="200" w:after="100"/>
      </w:pPr>
      <w:r>
        <w:rPr>
          <w:sz w:val="22"/>
          <w:szCs w:val="22"/>
        </w:rPr>
        <w:t>La cornice di legittimità e di responsabilità e il suo posto nello studio</w:t>
      </w:r>
    </w:p>
    <w:p w14:paraId="09C47DE5" w14:textId="77777777" w:rsidR="007C4598" w:rsidRDefault="007C4598"/>
    <w:p w14:paraId="521E7B74" w14:textId="77777777" w:rsidR="007C4598" w:rsidRDefault="00000000">
      <w:pPr>
        <w:jc w:val="both"/>
      </w:pPr>
      <w:r>
        <w:t xml:space="preserve">Il risultato centrale della tredicesima parte è la cornice di legittimità e di responsabilità della riforma, che ne completa la valutazione con le condizioni del fondamento e delle regole, accanto alle condizioni del valore. Le parti precedenti hanno valutato il valore della riforma — l’efficacia, la convenienza, l’equità — stabilendo quanto la riforma valga e come il suo valore si ripartisca. La tredicesima parte ha posto una domanda ulteriore, distinta da quella del valore: non se la riforma sia efficace, conveniente ed equa, ma se essa sia legittima e responsabile, ossia se trovi nel quadro costituzionale, convenzionale e normativo il proprio fondamento, e se la sua attuazione sia governata da regole di responsabilità che ne assicurino la conformità ai principi. Questa domanda introduce la dimensione della legittimità e della responsabilità, distinta dalla dimensione del valore: il valore attiene a ciò che la riforma produce, la legittimità e la responsabilità attengono al fondamento e alle regole della sua azione. La tredicesima parte ha stabilito che la riforma è legittima e responsabile, ossia che essa trova nel quadro costituzionale, convenzionale e normativo il proprio fondamento, e che la sua attuazione è governata dalle regole di responsabilità — la protezione dei dati, la </w:t>
      </w:r>
      <w:proofErr w:type="spellStart"/>
      <w:r>
        <w:t>governance</w:t>
      </w:r>
      <w:proofErr w:type="spellEnd"/>
      <w:r>
        <w:t xml:space="preserve"> dell’Intelligenza Artificiale, l’etica professionale, i profili organizzativi — che ne assicurano la conformità ai principi. La cornice di legittimità e di responsabilità completa così la valutazione della riforma con le condizioni del fondamento e delle regole, accanto alle condizioni del valore già esaminate.</w:t>
      </w:r>
      <w:r>
        <w:rPr>
          <w:color w:val="555555"/>
          <w:sz w:val="16"/>
          <w:szCs w:val="16"/>
          <w:vertAlign w:val="superscript"/>
        </w:rPr>
        <w:t>[25]</w:t>
      </w:r>
    </w:p>
    <w:p w14:paraId="7672F2FE" w14:textId="77777777" w:rsidR="007C4598" w:rsidRDefault="007C4598"/>
    <w:p w14:paraId="32E10305" w14:textId="77777777" w:rsidR="007C4598" w:rsidRDefault="00000000">
      <w:pPr>
        <w:jc w:val="both"/>
      </w:pPr>
      <w:r>
        <w:t>La cornice di legittimità e di responsabilità occupa, nello studio, un posto autonomo e necessario, che ne completa il disegno senza sovrapporsi alle dimensioni del valore. La valutazione della riforma, che attraversa l’intero studio, si è svolta nelle parti precedenti lungo le dimensioni del valore — l’efficacia, la convenienza, l’equità — che attengono a ciò che la riforma produce. La dimensione della legittimità e della responsabilità non rifà questa valutazione, ma vi aggiunge la valutazione del fondamento e delle regole, che essa presuppone: la cornice di legittimità e di responsabilità muove dal valore già valutato, e ne stabilisce il fondamento giuridico ed etico, senza accrescerlo né diminuirlo. Il posto della dimensione della legittimità e della responsabilità nello studio è perciò quello di un completamento: essa non compete con le dimensioni del valore, ma le presuppone e vi aggiunge la dimensione del fondamento e delle regole, che esse non comprendevano. La valutazione della riforma, senza la dimensione della legittimità e della responsabilità, avrebbe stabilito quanto la riforma valga, ma non se essa sia legittima e responsabile, e sarebbe rimasta perciò incompleta, perché una riforma del primo livello psicologico, destinata a istituire un servizio pubblico, è chiamata a essere non soltanto efficace, conveniente ed equa, ma anche legittima nel suo fondamento e responsabile nella sua attuazione. La tredicesima parte ha colmato questa incompletezza, aggiungendo alla valutazione la dimensione della legittimità e della responsabilità, e ha così reso integrale, anche sotto il profilo del fondamento e delle regole, la valutazione della riforma.</w:t>
      </w:r>
    </w:p>
    <w:p w14:paraId="7D3D9D52" w14:textId="77777777" w:rsidR="007C4598" w:rsidRDefault="007C4598"/>
    <w:p w14:paraId="3FC95012" w14:textId="77777777" w:rsidR="007C4598" w:rsidRDefault="00000000">
      <w:pPr>
        <w:pStyle w:val="Titolo2"/>
        <w:spacing w:before="200" w:after="100"/>
      </w:pPr>
      <w:r>
        <w:rPr>
          <w:sz w:val="22"/>
          <w:szCs w:val="22"/>
        </w:rPr>
        <w:t>La composizione dei cinque profili: dal fondamento ultimo alle regole dell’azione</w:t>
      </w:r>
    </w:p>
    <w:p w14:paraId="291190FE" w14:textId="77777777" w:rsidR="007C4598" w:rsidRDefault="007C4598"/>
    <w:p w14:paraId="21F41A92" w14:textId="77777777" w:rsidR="007C4598" w:rsidRDefault="00000000">
      <w:pPr>
        <w:jc w:val="both"/>
      </w:pPr>
      <w:r>
        <w:t xml:space="preserve">La cornice di legittimità e di responsabilità si compone di cinque profili, ordinati dal fondamento ultimo alle regole dell’azione, in una sequenza coerente. Il primo profilo, il quadro costituzionale e convenzionale, costituisce il fondamento ultimo della riforma, radicandola nei principi del diritto alla salute, dell’uguaglianza sostanziale e della tutela delle persone con disabilità, dai quali ogni altra norma e regola discende. Il secondo profilo, il quadro normativo regionale e nazionale, costituisce il fondamento prossimo, istituendo la riforma attraverso la legge regionale e collocandola entro la cornice delle norme nazionali, sì da specificare i principi costituzionali nella disciplina concreta. Il terzo profilo, la protezione dei dati e la </w:t>
      </w:r>
      <w:proofErr w:type="spellStart"/>
      <w:r>
        <w:t>governance</w:t>
      </w:r>
      <w:proofErr w:type="spellEnd"/>
      <w:r>
        <w:t xml:space="preserve"> dell’Intelligenza Artificiale, costituisce la cornice di responsabilità nell’impiego degli strumenti, assicurando la riservatezza, la responsabilità e la trasparenza nel trattamento dei dati e nell’uso dei sistemi. Il quarto profilo, l’etica professionale e la supervisione umana, costituisce la cornice deontologica dell’azione del professionista, governandone la condotta e fondando la supervisione umana sugli strumenti nell’autonomia e nella responsabilità professionale. Il quinto profilo, i profili organizzativi e di responsabilità, costituisce la cornice dell’organizzazione del servizio, distribuendo le funzioni e le responsabilità tra le figure e le istituzioni e componendo la catena di responsabilità. I cinque profili si compongono in una sequenza coerente, dal fondamento ultimo nei principi costituzionali e convenzionali alle regole dell’azione nell’impiego degli strumenti, nella condotta professionale e nell’organizzazione del servizio.</w:t>
      </w:r>
    </w:p>
    <w:p w14:paraId="2CAC12A8" w14:textId="77777777" w:rsidR="007C4598" w:rsidRDefault="007C4598"/>
    <w:p w14:paraId="605472AC" w14:textId="77777777" w:rsidR="007C4598" w:rsidRDefault="00000000">
      <w:pPr>
        <w:jc w:val="both"/>
      </w:pPr>
      <w:r>
        <w:t>La composizione dei cinque profili mostra che la cornice di legittimità e di responsabilità non è una somma di elementi separati, ma un insieme coerente, in cui ogni profilo si fonda sul precedente e fonda il successivo. Il quadro normativo si fonda sul quadro costituzionale e convenzionale, di cui specifica i principi nella disciplina concreta; le cornici di responsabilità nell’impiego degli strumenti, nell’azione professionale e nell’organizzazione si fondano sul quadro normativo, di cui attuano la disciplina nelle regole dell’azione. La coerenza dei cinque profili risiede in questa fondazione reciproca: il fondamento ultimo nei principi costituzionali e convenzionali si specifica nel fondamento prossimo del quadro normativo, che a sua volta si attua nelle regole dell’azione delle cornici di responsabilità; sì che la cornice di legittimità e di responsabilità si componga in un insieme coerente, dai principi supremi alle regole concrete dell’azione. La composizione coerente dei cinque profili è essenziale per intendere la cornice di legittimità e di responsabilità: essa non è una somma di requisiti eterogenei, ma un insieme ordinato, in cui la legittimità del fondamento si traduce nella responsabilità delle regole dell’azione, e in cui ogni profilo trova il proprio posto nella sequenza che muove dal fondamento ultimo alle regole dell’azione. La riforma del primo livello psicologico trova dunque la propria legittimità e responsabilità non in un singolo profilo, ma nella composizione coerente dei cinque profili, che la fondano nei principi supremi, la istituiscono attraverso le norme, e ne governano l’azione attraverso le regole della responsabilità.</w:t>
      </w:r>
    </w:p>
    <w:p w14:paraId="22C020CE" w14:textId="77777777" w:rsidR="007C4598" w:rsidRDefault="007C4598"/>
    <w:p w14:paraId="3FB73D07" w14:textId="77777777" w:rsidR="007C4598" w:rsidRDefault="00000000">
      <w:pPr>
        <w:pStyle w:val="Titolo2"/>
        <w:spacing w:before="200" w:after="100"/>
      </w:pPr>
      <w:r>
        <w:rPr>
          <w:sz w:val="22"/>
          <w:szCs w:val="22"/>
        </w:rPr>
        <w:t>Il presidio della posizione subordinata dell’Intelligenza Artificiale</w:t>
      </w:r>
    </w:p>
    <w:p w14:paraId="73AD063D" w14:textId="77777777" w:rsidR="007C4598" w:rsidRDefault="007C4598"/>
    <w:p w14:paraId="4FD5440D" w14:textId="77777777" w:rsidR="007C4598" w:rsidRDefault="00000000">
      <w:pPr>
        <w:jc w:val="both"/>
      </w:pPr>
      <w:r>
        <w:t xml:space="preserve">La tredicesima parte presidia la posizione subordinata dell’Intelligenza Artificiale, stabilita dalla quarta parte, attraverso una duplice garanzia: la </w:t>
      </w:r>
      <w:proofErr w:type="spellStart"/>
      <w:r>
        <w:t>governance</w:t>
      </w:r>
      <w:proofErr w:type="spellEnd"/>
      <w:r>
        <w:t xml:space="preserve"> dell’Intelligenza Artificiale e la supervisione umana. La quarta parte ha collocato l’Intelligenza Artificiale in una posizione subordinata, come leva abilitante sotto la supervisione umana, e non come oggetto centrale della riforma né come sostituto del professionista; e la tredicesima parte presidia questa posizione attraverso due garanzie, esaminate nella terza e nella quarta voce. La prima garanzia è la </w:t>
      </w:r>
      <w:proofErr w:type="spellStart"/>
      <w:r>
        <w:t>governance</w:t>
      </w:r>
      <w:proofErr w:type="spellEnd"/>
      <w:r>
        <w:t xml:space="preserve"> dell’Intelligenza Artificiale, esaminata nella terza voce: essa assoggetta i sistemi di Intelligenza Artificiale eventualmente impiegati agli obblighi rafforzati della disciplina dell’Intelligenza Artificiale — la trasparenza, la supervisione umana, l’accuratezza, la robustezza — e ne presidia la posizione subordinata, assicurando che essi operino come strumenti di supporto, e non come decisori autonomi. La seconda garanzia è la supervisione umana, esaminata nella quarta voce: essa, fondata nell’autonomia e nella responsabilità professionale, impone al professionista di mantenere il controllo del proprio giudizio clinico, e di non delegarlo allo strumento, sì che il giudizio clinico rimanga del professionista, e l’Intelligenza Artificiale operi come supporto sotto la sua supervisione. La duplice garanzia — la </w:t>
      </w:r>
      <w:proofErr w:type="spellStart"/>
      <w:r>
        <w:t>governance</w:t>
      </w:r>
      <w:proofErr w:type="spellEnd"/>
      <w:r>
        <w:t xml:space="preserve"> dell’Intelligenza Artificiale e la supervisione umana — presidia dunque la posizione subordinata dell’Intelligenza Artificiale sotto due profili: il profilo giuridico, attraverso gli obblighi della disciplina dell’Intelligenza Artificiale, e il profilo deontologico, attraverso l’autonomia e la responsabilità professionale.</w:t>
      </w:r>
    </w:p>
    <w:p w14:paraId="43A08429" w14:textId="77777777" w:rsidR="007C4598" w:rsidRDefault="007C4598"/>
    <w:p w14:paraId="7FFADFC6" w14:textId="77777777" w:rsidR="007C4598" w:rsidRDefault="00000000">
      <w:pPr>
        <w:jc w:val="both"/>
      </w:pPr>
      <w:r>
        <w:t xml:space="preserve">Il presidio della posizione subordinata dell’Intelligenza Artificiale conferma la coerenza dello studio, che ha trattato l’Intelligenza Artificiale come leva abilitante, e non come oggetto centrale, in ogni sua parte. Lo studio ha collocato l’Intelligenza Artificiale, fin dalla prima parte, in una posizione subordinata, come una delle leve che rendono più funzionale ed efficace lo psicologo di base, e non come l’oggetto centrale dell’analisi; e questa collocazione, mantenuta in ogni parte, trova nella tredicesima parte il proprio presidio sotto il profilo della legittimità e della responsabilità. La quarta parte ha stabilito la posizione subordinata dell’Intelligenza Artificiale nel modello organizzativo; le parti economiche ne hanno valutato il contributo incrementale, distinto e subordinato; e la tredicesima parte ne presidia la posizione subordinata sotto il profilo della legittimità e della responsabilità, attraverso la </w:t>
      </w:r>
      <w:proofErr w:type="spellStart"/>
      <w:r>
        <w:t>governance</w:t>
      </w:r>
      <w:proofErr w:type="spellEnd"/>
      <w:r>
        <w:t xml:space="preserve"> e la supervisione umana. Il presidio della posizione subordinata dell’Intelligenza Artificiale nella tredicesima parte conferma dunque la coerenza dello studio: l’Intelligenza Artificiale, trattata come leva abilitante subordinata in ogni parte, è qui presidiata in tale posizione sotto il profilo della legittimità e della responsabilità, sì che la sua posizione subordinata non sia soltanto una scelta del modello organizzativo, ma una condizione della legittimità della riforma, presidiata dalla </w:t>
      </w:r>
      <w:proofErr w:type="spellStart"/>
      <w:r>
        <w:t>governance</w:t>
      </w:r>
      <w:proofErr w:type="spellEnd"/>
      <w:r>
        <w:t xml:space="preserve"> e dalla supervisione umana, che ne assicurano il mantenimento entro i confini della posizione subordinata.</w:t>
      </w:r>
    </w:p>
    <w:p w14:paraId="5667A8B0" w14:textId="77777777" w:rsidR="007C4598" w:rsidRDefault="007C4598"/>
    <w:p w14:paraId="61BF4838" w14:textId="77777777" w:rsidR="007C4598" w:rsidRDefault="00000000">
      <w:pPr>
        <w:pStyle w:val="Titolo2"/>
        <w:spacing w:before="200" w:after="100"/>
      </w:pPr>
      <w:r>
        <w:rPr>
          <w:sz w:val="22"/>
          <w:szCs w:val="22"/>
        </w:rPr>
        <w:t>Il fondamento del valore nella legittimità e la distinzione delle dimensioni</w:t>
      </w:r>
    </w:p>
    <w:p w14:paraId="024275D9" w14:textId="77777777" w:rsidR="007C4598" w:rsidRDefault="007C4598"/>
    <w:p w14:paraId="4AAFAFB7" w14:textId="77777777" w:rsidR="007C4598" w:rsidRDefault="00000000">
      <w:pPr>
        <w:jc w:val="both"/>
      </w:pPr>
      <w:r>
        <w:t>La tredicesima parte fonda nella legittimità le valutazioni del valore condotte nelle parti precedenti, mostrando che il valore della riforma si fonda sulla sua legittimità. Le parti precedenti hanno valutato il valore della riforma — l’efficacia, la convenienza, l’equità — e la tredicesima parte ne mostra il fondamento nella legittimità, sì che il valore si fondi sul fondamento giuridico ed etico della riforma. L’efficacia della riforma attua il diritto alla salute, che fonda la provvista della cura efficace; la convenienza concorre alla sostenibilità della provvista pubblica, che il diritto alla salute esige; l’equità attua il principio di uguaglianza sostanziale, che fonda l’estensione dell’accesso ai gruppi svantaggiati. Il valore della riforma si fonda dunque sulla sua legittimità: ciò che le parti precedenti hanno valutato come pregi della riforma, la tredicesima parte lo fonda come attuazione dei principi costituzionali e convenzionali, sì che il valore della riforma non sia un pregio contingente, ma l’attuazione dei principi che ne costituiscono il fondamento. Il fondamento del valore nella legittimità è il risultato che connette la tredicesima parte alle parti precedenti: esso radica nel diritto le valutazioni del valore, mostrando che la riforma è efficace, conveniente ed equa in quanto attua i principi del diritto alla salute, dell’uguaglianza sostanziale e della tutela delle persone con disabilità, e che il suo valore si fonda perciò sulla sua legittimità.</w:t>
      </w:r>
    </w:p>
    <w:p w14:paraId="50F4EDED" w14:textId="77777777" w:rsidR="007C4598" w:rsidRDefault="007C4598"/>
    <w:p w14:paraId="5F5883E6" w14:textId="77777777" w:rsidR="007C4598" w:rsidRDefault="00000000">
      <w:pPr>
        <w:jc w:val="both"/>
      </w:pPr>
      <w:r>
        <w:t xml:space="preserve">La tredicesima parte ha mantenuto, nell’analisi normativa, la distinzione tra le tre dimensioni del valore che l’intero studio ha preservato. La distinzione tra le grandezze fiscali dirette, sociali indirette e di salute, che le parti precedenti hanno mantenuto fino al saldo conclusivo senza sommarle in un’unica cifra, è preservata anche nell’analisi normativa: la tredicesima parte non introduce nuove grandezze, né modifica quelle stabilite dalle parti precedenti, ma ne stabilisce il fondamento giuridico ed etico, e preserva il duplice intervallo di </w:t>
      </w:r>
      <w:proofErr w:type="spellStart"/>
      <w:r>
        <w:t>Chisholm</w:t>
      </w:r>
      <w:proofErr w:type="spellEnd"/>
      <w:r>
        <w:t xml:space="preserve"> e il </w:t>
      </w:r>
      <w:proofErr w:type="spellStart"/>
      <w:r>
        <w:t>caveat</w:t>
      </w:r>
      <w:proofErr w:type="spellEnd"/>
      <w:r>
        <w:t xml:space="preserve"> dell’IMPACT trial ove le grandezze economiche sono richiamate. L’analisi normativa non aggiunge una grandezza alla rinegoziazione dei costi e dei benefici, né somma le dimensioni del valore, ma stabilisce la cornice di legittimità e di responsabilità entro cui le grandezze stabilite trovano il proprio fondamento giuridico. Il carattere normativo della parte, distinto dal carattere empirico delle parti precedenti, è coerente con i principi dello studio: l’analisi normativa valuta la legittimità e la responsabilità secondo la solidità del fondamento nelle fonti, e non secondo la qualità dell’evidenza empirica, ma preserva i vincoli che governano le grandezze economiche ove esse sono richiamate, sì che la cornice di legittimità e di responsabilità si conformi, nella preservazione dei vincoli e nella distinzione delle dimensioni, ai medesimi principi che hanno governato la valutazione del valore.</w:t>
      </w:r>
    </w:p>
    <w:p w14:paraId="61C8F07C" w14:textId="77777777" w:rsidR="007C4598" w:rsidRDefault="007C4598"/>
    <w:p w14:paraId="74BEAE65" w14:textId="77777777" w:rsidR="007C4598" w:rsidRDefault="00000000">
      <w:pPr>
        <w:pStyle w:val="Titolo2"/>
        <w:spacing w:before="200" w:after="100"/>
      </w:pPr>
      <w:r>
        <w:rPr>
          <w:sz w:val="22"/>
          <w:szCs w:val="22"/>
        </w:rPr>
        <w:t>Il raccordo con l’attuazione e con il monitoraggio</w:t>
      </w:r>
    </w:p>
    <w:p w14:paraId="5235415E" w14:textId="77777777" w:rsidR="007C4598" w:rsidRDefault="007C4598"/>
    <w:p w14:paraId="6019838B" w14:textId="77777777" w:rsidR="007C4598" w:rsidRDefault="00000000">
      <w:pPr>
        <w:jc w:val="both"/>
      </w:pPr>
      <w:r>
        <w:t xml:space="preserve">La cornice di legittimità e di responsabilità, che chiude la tredicesima parte, si raccorda con le parti successive dello studio, a cui consegna le condizioni di legittimità e di responsabilità da attuare e da osservare. Il primo raccordo è con la quattordicesima parte, dedicata all’attuazione, a cui la tredicesima parte consegna le condizioni di legittimità e di responsabilità da tradurre in misure attuative: gli atti normativi attuativi della legge regionale, le misure di protezione dei dati e di </w:t>
      </w:r>
      <w:proofErr w:type="spellStart"/>
      <w:r>
        <w:t>governance</w:t>
      </w:r>
      <w:proofErr w:type="spellEnd"/>
      <w:r>
        <w:t xml:space="preserve"> dell’Intelligenza Artificiale, le regole dell’osservanza deontologica, le modalità del coordinamento organizzativo. Le cornici di responsabilità, che la tredicesima parte ha stabilito, sono cornici la cui attuazione richiede misure concrete, che la quattordicesima parte dovrà adottare: gli atti attuativi che specificano la disciplina, le misure che attuano la protezione dei dati e la </w:t>
      </w:r>
      <w:proofErr w:type="spellStart"/>
      <w:r>
        <w:t>governance</w:t>
      </w:r>
      <w:proofErr w:type="spellEnd"/>
      <w:r>
        <w:t>, le regole che assicurano l’osservanza deontologica, le modalità che realizzano il coordinamento organizzativo. La tredicesima parte fornisce dunque alla quattordicesima le condizioni di legittimità e di responsabilità, che essa dovrà tradurre in misure attuative, sì che la cornice di legittimità e di responsabilità trovi attuazione concreta. Senza l’attuazione, le condizioni di legittimità e di responsabilità resterebbero principi privi di realizzazione; con l’attuazione, esse divengono misure che governano l’azione della riforma.</w:t>
      </w:r>
    </w:p>
    <w:p w14:paraId="4DD867E0" w14:textId="77777777" w:rsidR="007C4598" w:rsidRDefault="007C4598"/>
    <w:p w14:paraId="0215EA4D" w14:textId="77777777" w:rsidR="007C4598" w:rsidRDefault="00000000">
      <w:pPr>
        <w:jc w:val="both"/>
      </w:pPr>
      <w:r>
        <w:t xml:space="preserve">Il secondo raccordo è con la quindicesima parte, dedicata al monitoraggio e alla valutazione ex-post, a cui la tredicesima parte consegna l’osservanza delle condizioni di legittimità e di responsabilità da verificare. Le cornici di responsabilità, che la tredicesima parte ha stabilito, sono cornici la cui osservanza richiede un riscontro, che la quindicesima parte dovrà condurre: il riscontro dell’osservanza della protezione dei dati e della </w:t>
      </w:r>
      <w:proofErr w:type="spellStart"/>
      <w:r>
        <w:t>governance</w:t>
      </w:r>
      <w:proofErr w:type="spellEnd"/>
      <w:r>
        <w:t xml:space="preserve"> dell’Intelligenza Artificiale, dell’osservanza delle regole deontologiche e della supervisione umana, del rispetto della distribuzione delle funzioni e delle responsabilità. La quindicesima parte assumerà le condizioni di legittimità e di responsabilità, e ne condurrà il riscontro: verificherà che la riforma sia attuata in conformità alle cornici di responsabilità, e dichiarerà se le condizioni di legittimità e di responsabilità siano osservate; e, ove l’attuazione si discosti dalle condizioni, consentirà la correzione, sì che la riforma sia ricondotta verso la conformità. L’osservanza delle condizioni di legittimità e di responsabilità trova dunque nella quindicesima parte il proprio riscontro: senza il riscontro, le condizioni resterebbero stabilite ma non verificate; con il riscontro, esse divengono verificate, e la legittimità e la responsabilità della riforma cessano di essere condizioni stabilite per divenire condizioni osservate. Con questi due raccordi — alla quattordicesima parte, che ne attuerà le condizioni, e alla quindicesima, che ne verificherà l’osservanza — la tredicesima parte si inserisce nel disegno complessivo dello studio, di cui costituisce il fondamento giuridico ed etico, e consegna alle parti successive le condizioni di legittimità e di responsabilità che ne sono il risultato.</w:t>
      </w:r>
    </w:p>
    <w:p w14:paraId="1DCA2AFF" w14:textId="77777777" w:rsidR="007C4598" w:rsidRDefault="007C4598"/>
    <w:p w14:paraId="6FE033C1" w14:textId="77777777" w:rsidR="007C4598" w:rsidRDefault="00000000">
      <w:pPr>
        <w:pStyle w:val="Titolo1"/>
        <w:pageBreakBefore/>
      </w:pPr>
      <w:r>
        <w:rPr>
          <w:sz w:val="22"/>
          <w:szCs w:val="22"/>
        </w:rPr>
        <w:t>Conclusione</w:t>
      </w:r>
    </w:p>
    <w:p w14:paraId="072E7006" w14:textId="77777777" w:rsidR="007C4598" w:rsidRDefault="007C4598"/>
    <w:p w14:paraId="1B8C41DE" w14:textId="77777777" w:rsidR="007C4598" w:rsidRDefault="00000000">
      <w:pPr>
        <w:jc w:val="both"/>
      </w:pPr>
      <w:r>
        <w:rPr>
          <w:i/>
          <w:iCs/>
        </w:rPr>
        <w:t>La conclusione raccoglie quanto la tredicesima parte ha stabilito, ne ribadisce il carattere normativo e ne dichiara il rapporto con le parti che seguono. La parte ha stabilito la cornice di legittimità e di responsabilità della riforma, esaminandone i profili etico-giuridico-organizzativi lungo cinque voci, e ha così aggiunto alla valutazione del valore la dimensione della legittimità e della responsabilità, che le parti precedenti non avevano esaminato, completando la valutazione della riforma con le condizioni del fondamento e delle regole.</w:t>
      </w:r>
    </w:p>
    <w:p w14:paraId="6EC79127" w14:textId="77777777" w:rsidR="007C4598" w:rsidRDefault="007C4598"/>
    <w:p w14:paraId="79186526" w14:textId="77777777" w:rsidR="007C4598" w:rsidRDefault="00000000">
      <w:pPr>
        <w:jc w:val="both"/>
      </w:pPr>
      <w:r>
        <w:t xml:space="preserve">La tredicesima parte ha stabilito la cornice di legittimità e di responsabilità della riforma del Servizio di Psicologia di Base in Puglia. Essa ha posto una domanda distinta da quelle delle parti precedenti: non se la riforma sia efficace, conveniente ed equa, ma se essa sia legittima e responsabile, ossia se trovi nel quadro costituzionale, convenzionale e normativo il proprio fondamento, e se la sua attuazione sia governata da regole di responsabilità che ne assicurino la conformità ai principi. La parte ha esaminato la cornice di legittimità e di responsabilità lungo cinque profili. Il quadro costituzionale e convenzionale ha stabilito il fondamento ultimo della riforma, radicandola nei principi del diritto alla salute, dell’uguaglianza sostanziale e della tutela delle persone con disabilità. Il quadro normativo regionale e nazionale ha stabilito il fondamento prossimo, istituendo la riforma attraverso la legge regionale e collocandola entro la cornice delle norme nazionali. La protezione dei dati e la </w:t>
      </w:r>
      <w:proofErr w:type="spellStart"/>
      <w:r>
        <w:t>governance</w:t>
      </w:r>
      <w:proofErr w:type="spellEnd"/>
      <w:r>
        <w:t xml:space="preserve"> dell’Intelligenza Artificiale hanno stabilito la cornice di responsabilità nell’impiego degli strumenti, assicurando la riservatezza, la responsabilità e la trasparenza. L’etica professionale e la supervisione umana hanno stabilito la cornice deontologica dell’azione del professionista, fondando la supervisione umana sugli strumenti nell’autonomia e nella responsabilità professionale. I profili organizzativi e di responsabilità hanno stabilito la cornice dell’organizzazione del servizio, distribuendo le funzioni e le responsabilità tra le figure e le istituzioni.</w:t>
      </w:r>
    </w:p>
    <w:p w14:paraId="37ED56DF" w14:textId="77777777" w:rsidR="007C4598" w:rsidRDefault="007C4598"/>
    <w:p w14:paraId="272A6A6D" w14:textId="77777777" w:rsidR="007C4598" w:rsidRDefault="00000000">
      <w:pPr>
        <w:jc w:val="both"/>
      </w:pPr>
      <w:r>
        <w:t xml:space="preserve">Il risultato fondamentale della parte è la composizione coerente dei cinque profili in una cornice di legittimità e di responsabilità unitaria, ordinata dal fondamento ultimo alle regole dell’azione. I cinque profili non costituiscono una somma di elementi separati, ma un insieme coerente, in cui ogni profilo si fonda sul precedente e fonda il successivo: il fondamento ultimo nei principi costituzionali e convenzionali si specifica nel fondamento prossimo del quadro normativo, che a sua volta si attua nelle regole dell’azione delle cornici di responsabilità nell’impiego degli strumenti, nella condotta professionale e nell’organizzazione del servizio. La riforma trova dunque la propria legittimità e responsabilità nella composizione coerente dei cinque profili, che la fondano nei principi supremi, la istituiscono attraverso le norme, e ne governano l’azione attraverso le regole della responsabilità. Entro questa cornice, la parte ha presidiato la posizione subordinata dell’Intelligenza Artificiale, stabilita dalla quarta parte, attraverso una duplice garanzia — la </w:t>
      </w:r>
      <w:proofErr w:type="spellStart"/>
      <w:r>
        <w:t>governance</w:t>
      </w:r>
      <w:proofErr w:type="spellEnd"/>
      <w:r>
        <w:t xml:space="preserve"> dell’Intelligenza Artificiale, sotto il profilo giuridico, e la supervisione umana, sotto il profilo deontologico — che ne assicurano il mantenimento entro i confini della posizione subordinata, confermando la coerenza dello studio, che ha trattato l’Intelligenza Artificiale come leva abilitante, e non come oggetto centrale, in ogni sua parte.</w:t>
      </w:r>
    </w:p>
    <w:p w14:paraId="2141A108" w14:textId="77777777" w:rsidR="007C4598" w:rsidRDefault="007C4598"/>
    <w:p w14:paraId="6DCB63AE" w14:textId="77777777" w:rsidR="007C4598" w:rsidRDefault="00000000">
      <w:pPr>
        <w:jc w:val="both"/>
      </w:pPr>
      <w:r>
        <w:t xml:space="preserve">Il rigore di questo risultato risiede nel suo carattere normativo e nella distinzione delle dimensioni che la parte ha mantenuto. La parte ha carattere normativo, e non quantitativo: essa non misura grandezze, né formula stime in bande prudenziali falsificabili, ma esamina principi e norme, e ne valuta la solidità come fondamento della riforma; le sue proposizioni — giuridiche, deontologiche, organizzative — sono valutate secondo la solidità del loro fondamento nelle fonti, e non secondo la qualità dell’evidenza empirica. La gradazione dell’evidenza secondo i criteri GRADE, che governa le stime empiriche dello studio, si applica perciò alle sole affermazioni empiriche, in questa parte pressoché assenti; e il rigore della parte risiede nella correttezza dell’analisi giuridica ed etica e nel radicamento delle proposizioni nelle fonti, anziché nella qualità dell’evidenza empirica. La parte ha mantenuto, nell’analisi normativa, la distinzione tra le tre dimensioni del valore che l’intero studio ha preservato: essa non introduce nuove grandezze, né somma le dimensioni del valore, ma stabilisce la cornice di legittimità e di responsabilità entro cui le grandezze stabilite trovano il proprio fondamento giuridico, e preserva il duplice intervallo di </w:t>
      </w:r>
      <w:proofErr w:type="spellStart"/>
      <w:r>
        <w:t>Chisholm</w:t>
      </w:r>
      <w:proofErr w:type="spellEnd"/>
      <w:r>
        <w:t xml:space="preserve"> e il </w:t>
      </w:r>
      <w:proofErr w:type="spellStart"/>
      <w:r>
        <w:t>caveat</w:t>
      </w:r>
      <w:proofErr w:type="spellEnd"/>
      <w:r>
        <w:t xml:space="preserve"> dell’IMPACT trial ove le grandezze economiche sono richiamate. Il carattere normativo e la distinzione delle dimensioni fanno della valutazione della legittimità e della responsabilità una valutazione rigorosa, fedele ai principi dello studio, che fonda nel diritto e nell’etica il valore della riforma, senza alterarne le grandezze né sommarne le dimensioni.</w:t>
      </w:r>
      <w:r>
        <w:rPr>
          <w:color w:val="555555"/>
          <w:sz w:val="16"/>
          <w:szCs w:val="16"/>
          <w:vertAlign w:val="superscript"/>
        </w:rPr>
        <w:t>[26]</w:t>
      </w:r>
    </w:p>
    <w:p w14:paraId="2EBBF7C2" w14:textId="77777777" w:rsidR="007C4598" w:rsidRDefault="007C4598"/>
    <w:p w14:paraId="7C1C9661" w14:textId="77777777" w:rsidR="007C4598" w:rsidRDefault="00000000">
      <w:pPr>
        <w:jc w:val="both"/>
      </w:pPr>
      <w:r>
        <w:t xml:space="preserve">La tredicesima parte completa così la valutazione della riforma con la dimensione della legittimità e della responsabilità, e consegna alle parti successive le condizioni che ne sono il risultato. La quattordicesima parte, dedicata all’attuazione, assumerà le condizioni di legittimità e di responsabilità, e dovrà tradurle in misure attuative — gli atti normativi attuativi, le misure di protezione dei dati e di </w:t>
      </w:r>
      <w:proofErr w:type="spellStart"/>
      <w:r>
        <w:t>governance</w:t>
      </w:r>
      <w:proofErr w:type="spellEnd"/>
      <w:r>
        <w:t>, le regole dell’osservanza deontologica, le modalità del coordinamento organizzativo. La quindicesima parte, dedicata al monitoraggio, assumerà l’osservanza delle condizioni di legittimità e di responsabilità, e dovrà verificarla, riscontrando la conformità dell’attuazione alle cornici di responsabilità, e consentendo la correzione ove l’attuazione se ne discosti. La cornice di legittimità e di responsabilità stabilita da questa parte — il fondamento ultimo nei principi costituzionali e convenzionali, il fondamento prossimo nel quadro normativo, le cornici di responsabilità nell’impiego degli strumenti, nella condotta professionale e nell’organizzazione del servizio — è dunque il fondamento giuridico ed etico su cui le parti successive innesteranno l’attuazione e il monitoraggio. Con essa, la valutazione della riforma trova la propria dimensione di legittimità e di responsabilità, e la riforma del primo livello psicologico in Puglia trova il proprio fondamento giuridico ed etico: non soltanto efficace, conveniente ed equa, ma legittima nel suo fondamento e responsabile nella sua attuazione, fondata sui principi costituzionali e convenzionali del diritto alla salute, istituita dalle norme regionali e nazionali, e governata dalle regole di responsabilità che ne assicurano la conformità ai principi.</w:t>
      </w:r>
    </w:p>
    <w:p w14:paraId="6FC1FD53" w14:textId="77777777" w:rsidR="007C4598" w:rsidRDefault="007C4598"/>
    <w:p w14:paraId="00203D30" w14:textId="77777777" w:rsidR="007C4598" w:rsidRDefault="00000000">
      <w:pPr>
        <w:pStyle w:val="Titolo1"/>
        <w:pageBreakBefore/>
      </w:pPr>
      <w:r>
        <w:rPr>
          <w:sz w:val="22"/>
          <w:szCs w:val="22"/>
        </w:rPr>
        <w:t>Note bibliografiche integrali</w:t>
      </w:r>
    </w:p>
    <w:p w14:paraId="6FD7FA6E" w14:textId="77777777" w:rsidR="007C4598" w:rsidRDefault="007C4598"/>
    <w:p w14:paraId="4BAF3D4E" w14:textId="77777777" w:rsidR="007C4598" w:rsidRDefault="00000000">
      <w:pPr>
        <w:jc w:val="both"/>
      </w:pPr>
      <w:r>
        <w:rPr>
          <w:i/>
          <w:iCs/>
        </w:rPr>
        <w:t>Le note bibliografiche integrali raccolgono le fonti su cui l’analisi normativa di questa parte si fonda, ciascuna corredata di un mini-riassunto che ne dichiara il contenuto e la pertinenza. Le fonti attengono al quadro costituzionale e convenzionale del diritto alla salute, agli strumenti europei e internazionali, alla disciplina della protezione dei dati e dell’Intelligenza Artificiale, all’ordinamento della professione di psicologo e al codice deontologico, e al quadro normativo nazionale e regionale che istituisce e disciplina la riforma.</w:t>
      </w:r>
    </w:p>
    <w:p w14:paraId="1CCFBE6B" w14:textId="77777777" w:rsidR="007C4598" w:rsidRDefault="007C4598"/>
    <w:p w14:paraId="68C8C39E" w14:textId="77777777" w:rsidR="007C4598" w:rsidRDefault="00000000">
      <w:pPr>
        <w:jc w:val="both"/>
      </w:pPr>
      <w:r>
        <w:rPr>
          <w:b/>
          <w:bCs/>
        </w:rPr>
        <w:t xml:space="preserve">▪  </w:t>
      </w:r>
      <w:r>
        <w:t>Costituzione della Repubblica Italiana, 1947, in particolare articolo 32 (tutela della salute), articolo 3, secondo comma (uguaglianza sostanziale), articolo 117 (riparto di competenza legislativa).</w:t>
      </w:r>
    </w:p>
    <w:p w14:paraId="79057FCD" w14:textId="77777777" w:rsidR="007C4598" w:rsidRDefault="007C4598"/>
    <w:p w14:paraId="6304E1E4" w14:textId="77777777" w:rsidR="007C4598" w:rsidRDefault="00000000">
      <w:pPr>
        <w:jc w:val="both"/>
      </w:pPr>
      <w:r>
        <w:rPr>
          <w:i/>
          <w:iCs/>
        </w:rPr>
        <w:t>Mini-riassunto. È la fonte suprema dell’ordinamento, che tutela la salute come fondamentale diritto dell’individuo e interesse della collettività (articolo 32), impone la rimozione degli ostacoli di fatto all’uguaglianza (articolo 3, secondo comma) e ripartisce la competenza legislativa in materia di tutela della salute tra lo Stato e le Regioni (articolo 117); essa fonda, nella prima voce di questa parte, il fondamento ultimo della riforma nel diritto alla salute, nell’uguaglianza sostanziale e nella competenza regionale a organizzare il servizio.</w:t>
      </w:r>
    </w:p>
    <w:p w14:paraId="4D5AE2C9" w14:textId="77777777" w:rsidR="007C4598" w:rsidRDefault="007C4598"/>
    <w:p w14:paraId="32BB15A2" w14:textId="77777777" w:rsidR="007C4598" w:rsidRDefault="00000000">
      <w:pPr>
        <w:jc w:val="both"/>
      </w:pPr>
      <w:r>
        <w:rPr>
          <w:b/>
          <w:bCs/>
        </w:rPr>
        <w:t xml:space="preserve">▪  </w:t>
      </w:r>
      <w:r>
        <w:t>Convenzione per la salvaguardia dei diritti dell’uomo e delle libertà fondamentali (Convenzione europea dei diritti dell’uomo), Roma, 1950, e relativa giurisprudenza della Corte europea dei diritti dell’uomo.</w:t>
      </w:r>
    </w:p>
    <w:p w14:paraId="4E39AECF" w14:textId="77777777" w:rsidR="007C4598" w:rsidRDefault="007C4598"/>
    <w:p w14:paraId="15F41591" w14:textId="77777777" w:rsidR="007C4598" w:rsidRDefault="00000000">
      <w:pPr>
        <w:jc w:val="both"/>
      </w:pPr>
      <w:r>
        <w:rPr>
          <w:i/>
          <w:iCs/>
        </w:rPr>
        <w:t>Mini-riassunto. È lo strumento convenzionale del Consiglio d’Europa che tutela i diritti fondamentali, tra cui il rispetto della vita privata (articolo 8), che la Corte europea ha connesso alla tutela della salute, e il divieto di discriminazione (articolo 14); essa concorre, nella prima voce di questa parte, a rafforzare il fondamento convenzionale della riforma, operando nell’ordinamento interno come parametro interposto nel giudizio di costituzionalità.</w:t>
      </w:r>
    </w:p>
    <w:p w14:paraId="4FEC1166" w14:textId="77777777" w:rsidR="007C4598" w:rsidRDefault="007C4598"/>
    <w:p w14:paraId="2E6458F6" w14:textId="77777777" w:rsidR="007C4598" w:rsidRDefault="00000000">
      <w:pPr>
        <w:jc w:val="both"/>
      </w:pPr>
      <w:r>
        <w:rPr>
          <w:b/>
          <w:bCs/>
        </w:rPr>
        <w:t xml:space="preserve">▪  </w:t>
      </w:r>
      <w:r>
        <w:t>Carta dei diritti fondamentali dell’Unione europea, in particolare articolo 35 (protezione della salute).</w:t>
      </w:r>
    </w:p>
    <w:p w14:paraId="5AB5A637" w14:textId="77777777" w:rsidR="007C4598" w:rsidRDefault="007C4598"/>
    <w:p w14:paraId="05B66573" w14:textId="77777777" w:rsidR="007C4598" w:rsidRDefault="00000000">
      <w:pPr>
        <w:jc w:val="both"/>
      </w:pPr>
      <w:r>
        <w:rPr>
          <w:i/>
          <w:iCs/>
        </w:rPr>
        <w:t>Mini-riassunto. È lo strumento che, nell’ordinamento dell’Unione europea, riconosce il diritto di ogni persona di accedere alla prevenzione sanitaria e di ottenere cure mediche, e impone un livello elevato di protezione della salute nelle politiche dell’Unione (articolo 35); essa rafforza, nella prima voce di questa parte, il fondamento della provvista pubblica della cura, aggiungendo al diritto alla salute della Costituzione il diritto alle cure della Carta.</w:t>
      </w:r>
    </w:p>
    <w:p w14:paraId="415E9B9C" w14:textId="77777777" w:rsidR="007C4598" w:rsidRDefault="007C4598"/>
    <w:p w14:paraId="6584774D" w14:textId="77777777" w:rsidR="007C4598" w:rsidRDefault="00000000">
      <w:pPr>
        <w:jc w:val="both"/>
      </w:pPr>
      <w:r>
        <w:rPr>
          <w:b/>
          <w:bCs/>
        </w:rPr>
        <w:t xml:space="preserve">▪  </w:t>
      </w:r>
      <w:r>
        <w:t>Convenzione delle Nazioni Unite sui diritti delle persone con disabilità, New York, 2006, articolo 25 (salute), ratificata dall’Italia con legge 3 marzo 2009, n. 18.</w:t>
      </w:r>
    </w:p>
    <w:p w14:paraId="25E1B7B1" w14:textId="77777777" w:rsidR="007C4598" w:rsidRDefault="007C4598"/>
    <w:p w14:paraId="5F50B84C" w14:textId="77777777" w:rsidR="007C4598" w:rsidRDefault="00000000">
      <w:pPr>
        <w:jc w:val="both"/>
      </w:pPr>
      <w:r>
        <w:rPr>
          <w:i/>
          <w:iCs/>
        </w:rPr>
        <w:t>Mini-riassunto. È lo strumento internazionale che riconosce il diritto delle persone con disabilità di godere del più alto standard conseguibile di salute senza discriminazione, e impone agli Stati di fornire i servizi sanitari di cui esse necessitano (articolo 25); essa riveste, nella prima voce di questa parte, uno specifico rilievo per la salute mentale e per la non discriminazione, perché il disagio mentale grave può configurare una disabilità ai sensi della Convenzione.</w:t>
      </w:r>
    </w:p>
    <w:p w14:paraId="36BB21E3" w14:textId="77777777" w:rsidR="007C4598" w:rsidRDefault="007C4598"/>
    <w:p w14:paraId="440FD8FB" w14:textId="77777777" w:rsidR="007C4598" w:rsidRDefault="00000000">
      <w:pPr>
        <w:jc w:val="both"/>
      </w:pPr>
      <w:r>
        <w:rPr>
          <w:b/>
          <w:bCs/>
        </w:rPr>
        <w:t xml:space="preserve">▪  </w:t>
      </w:r>
      <w:r>
        <w:t>Regolamento (UE) 2016/679 del Parlamento europeo e del Consiglio, del 27 aprile 2016, relativo alla protezione delle persone fisiche con riguardo al trattamento dei dati personali (regolamento generale sulla protezione dei dati).</w:t>
      </w:r>
    </w:p>
    <w:p w14:paraId="2F03F505" w14:textId="77777777" w:rsidR="007C4598" w:rsidRDefault="007C4598"/>
    <w:p w14:paraId="45DB8081" w14:textId="77777777" w:rsidR="007C4598" w:rsidRDefault="00000000">
      <w:pPr>
        <w:jc w:val="both"/>
      </w:pPr>
      <w:r>
        <w:rPr>
          <w:i/>
          <w:iCs/>
        </w:rPr>
        <w:t>Mini-riassunto. È il regolamento che disciplina il trattamento dei dati personali, assoggettando i dati relativi alla salute a un regime di particolare protezione, quali categoria particolare di dati personali (articolo 9), e stabilendo i principi del trattamento (articolo 5) e la protezione fin dalla progettazione (articolo 25); esso fonda, nella terza voce di questa parte, la disciplina della protezione dei dati del primo livello psicologico, il cui trattamento si fonda sulla finalità di cura e si conforma ai principi di liceità, minimizzazione, limitazione delle finalità e sicurezza.</w:t>
      </w:r>
    </w:p>
    <w:p w14:paraId="10DDBDD7" w14:textId="77777777" w:rsidR="007C4598" w:rsidRDefault="007C4598"/>
    <w:p w14:paraId="25C8A6F1" w14:textId="77777777" w:rsidR="007C4598" w:rsidRDefault="00000000">
      <w:pPr>
        <w:jc w:val="both"/>
      </w:pPr>
      <w:r>
        <w:rPr>
          <w:b/>
          <w:bCs/>
        </w:rPr>
        <w:t xml:space="preserve">▪  </w:t>
      </w:r>
      <w:r>
        <w:t>Regolamento (UE) 2024/1689 del Parlamento europeo e del Consiglio, del 13 giugno 2024, che stabilisce regole armonizzate sull’intelligenza artificiale (regolamento sull’intelligenza artificiale).</w:t>
      </w:r>
    </w:p>
    <w:p w14:paraId="1DB92A1E" w14:textId="77777777" w:rsidR="007C4598" w:rsidRDefault="007C4598"/>
    <w:p w14:paraId="63918E13" w14:textId="77777777" w:rsidR="007C4598" w:rsidRDefault="00000000">
      <w:pPr>
        <w:jc w:val="both"/>
      </w:pPr>
      <w:r>
        <w:rPr>
          <w:i/>
          <w:iCs/>
        </w:rPr>
        <w:t xml:space="preserve">Mini-riassunto. È il regolamento che disciplina i sistemi di Intelligenza Artificiale secondo un approccio graduato per il rischio, assoggettando i sistemi ad alto rischio a obblighi rafforzati di trasparenza, supervisione umana, accuratezza e robustezza; esso fonda, nella terza voce di questa parte, la </w:t>
      </w:r>
      <w:proofErr w:type="spellStart"/>
      <w:r>
        <w:rPr>
          <w:i/>
          <w:iCs/>
        </w:rPr>
        <w:t>governance</w:t>
      </w:r>
      <w:proofErr w:type="spellEnd"/>
      <w:r>
        <w:rPr>
          <w:i/>
          <w:iCs/>
        </w:rPr>
        <w:t xml:space="preserve"> dell’Intelligenza Artificiale nel primo livello psicologico, che assoggetta i sistemi eventualmente impiegati agli obblighi rafforzati e ne presidia la posizione subordinata stabilita dalla quarta parte.</w:t>
      </w:r>
    </w:p>
    <w:p w14:paraId="62044C30" w14:textId="77777777" w:rsidR="007C4598" w:rsidRDefault="007C4598"/>
    <w:p w14:paraId="59EBACBF" w14:textId="77777777" w:rsidR="007C4598" w:rsidRDefault="00000000">
      <w:pPr>
        <w:jc w:val="both"/>
      </w:pPr>
      <w:r>
        <w:rPr>
          <w:b/>
          <w:bCs/>
        </w:rPr>
        <w:t xml:space="preserve">▪  </w:t>
      </w:r>
      <w:r>
        <w:t>Legge 18 febbraio 1989, n. 56, recante ordinamento della professione di psicologo.</w:t>
      </w:r>
    </w:p>
    <w:p w14:paraId="414EF706" w14:textId="77777777" w:rsidR="007C4598" w:rsidRDefault="007C4598"/>
    <w:p w14:paraId="0D6780A4" w14:textId="77777777" w:rsidR="007C4598" w:rsidRDefault="00000000">
      <w:pPr>
        <w:jc w:val="both"/>
      </w:pPr>
      <w:r>
        <w:rPr>
          <w:i/>
          <w:iCs/>
        </w:rPr>
        <w:t>Mini-riassunto. È la legge che istituisce e disciplina la professione di psicologo, ne subordina l’esercizio all’iscrizione all’albo e ne istituisce l’ordine professionale; essa costituisce, nella quarta voce di questa parte, il fondamento dell’ordinamento della professione cui lo psicologo di base appartiene, e cui si riconnette la cornice deontologica che ne governa la condotta.</w:t>
      </w:r>
    </w:p>
    <w:p w14:paraId="56BED6CA" w14:textId="77777777" w:rsidR="007C4598" w:rsidRDefault="007C4598"/>
    <w:p w14:paraId="7242DA99" w14:textId="77777777" w:rsidR="007C4598" w:rsidRDefault="00000000">
      <w:pPr>
        <w:jc w:val="both"/>
      </w:pPr>
      <w:r>
        <w:rPr>
          <w:b/>
          <w:bCs/>
        </w:rPr>
        <w:t xml:space="preserve">▪  </w:t>
      </w:r>
      <w:r>
        <w:t>Codice Deontologico degli Psicologi Italiani.</w:t>
      </w:r>
    </w:p>
    <w:p w14:paraId="09C909E9" w14:textId="77777777" w:rsidR="007C4598" w:rsidRDefault="007C4598"/>
    <w:p w14:paraId="008DD989" w14:textId="77777777" w:rsidR="007C4598" w:rsidRDefault="00000000">
      <w:pPr>
        <w:jc w:val="both"/>
      </w:pPr>
      <w:r>
        <w:rPr>
          <w:i/>
          <w:iCs/>
        </w:rPr>
        <w:t>Mini-riassunto. È il codice che stabilisce le regole etiche dell’esercizio della professione di psicologo, tra cui il segreto professionale, il consenso informato, l’autonomia e la responsabilità professionale e la centralità della relazione clinica; esso fonda, nella quarta voce di questa parte, la cornice deontologica dell’azione dello psicologo di base, e il fondamento della supervisione umana sugli strumenti nell’autonomia e nella responsabilità professionale.</w:t>
      </w:r>
    </w:p>
    <w:p w14:paraId="5CDEFE7C" w14:textId="77777777" w:rsidR="007C4598" w:rsidRDefault="007C4598"/>
    <w:p w14:paraId="71D5D135" w14:textId="77777777" w:rsidR="007C4598" w:rsidRDefault="00000000">
      <w:pPr>
        <w:jc w:val="both"/>
      </w:pPr>
      <w:r>
        <w:rPr>
          <w:b/>
          <w:bCs/>
        </w:rPr>
        <w:t xml:space="preserve">▪  </w:t>
      </w:r>
      <w:r>
        <w:t>Decreto del Presidente del Consiglio dei Ministri 12 gennaio 2017, recante definizione e aggiornamento dei livelli essenziali di assistenza.</w:t>
      </w:r>
    </w:p>
    <w:p w14:paraId="32C7D4B7" w14:textId="77777777" w:rsidR="007C4598" w:rsidRDefault="007C4598"/>
    <w:p w14:paraId="37385110" w14:textId="77777777" w:rsidR="007C4598" w:rsidRDefault="00000000">
      <w:pPr>
        <w:jc w:val="both"/>
      </w:pPr>
      <w:r>
        <w:rPr>
          <w:i/>
          <w:iCs/>
        </w:rPr>
        <w:t>Mini-riassunto. È l’atto che definisce i livelli essenziali di assistenza, ossia il livello minimo di assistenza sanitaria che deve essere garantito su tutto il territorio nazionale e che costituisce il contenuto minimo del diritto alla salute; esso costituisce, nella seconda voce di questa parte, la cornice nazionale entro cui la riforma colloca il primo livello psicologico, che si aggiunge ai livelli essenziali ampliando la provvista pubblica della cura del disagio mentale.</w:t>
      </w:r>
    </w:p>
    <w:p w14:paraId="068AB1D3" w14:textId="77777777" w:rsidR="007C4598" w:rsidRDefault="007C4598"/>
    <w:p w14:paraId="11D4AB6B" w14:textId="77777777" w:rsidR="007C4598" w:rsidRDefault="00000000">
      <w:pPr>
        <w:jc w:val="both"/>
      </w:pPr>
      <w:r>
        <w:rPr>
          <w:b/>
          <w:bCs/>
        </w:rPr>
        <w:t xml:space="preserve">▪  </w:t>
      </w:r>
      <w:r>
        <w:t>Legge regionale della Regione Puglia 23 giugno 2023, n. 11, recante l’istituzione del Servizio di Psicologia di Base.</w:t>
      </w:r>
    </w:p>
    <w:p w14:paraId="26C0F174" w14:textId="77777777" w:rsidR="007C4598" w:rsidRDefault="007C4598"/>
    <w:p w14:paraId="52FBB0DA" w14:textId="77777777" w:rsidR="007C4598" w:rsidRDefault="00000000">
      <w:pPr>
        <w:jc w:val="both"/>
      </w:pPr>
      <w:r>
        <w:rPr>
          <w:i/>
          <w:iCs/>
        </w:rPr>
        <w:t>Mini-riassunto. È la legge regionale che istituisce il Servizio di Psicologia di Base in Puglia, definisce la figura dello psicologo di base, ne disciplina le funzioni e l’organizzazione e appresta il fondamento per la sua attuazione; essa costituisce, nella seconda voce di questa parte, il fondamento prossimo della riforma oggetto dello studio, e l’oggetto della valutazione condotta nell’intera opera, di cui essa è la fonte istitutiva.</w:t>
      </w:r>
    </w:p>
    <w:p w14:paraId="1CBC8080" w14:textId="77777777" w:rsidR="007C4598" w:rsidRDefault="007C4598"/>
    <w:p w14:paraId="069A7829" w14:textId="77777777" w:rsidR="007C4598" w:rsidRDefault="00000000">
      <w:pPr>
        <w:jc w:val="both"/>
      </w:pPr>
      <w:r>
        <w:rPr>
          <w:b/>
          <w:bCs/>
        </w:rPr>
        <w:t xml:space="preserve">▪  </w:t>
      </w:r>
      <w:r>
        <w:t xml:space="preserve">World </w:t>
      </w:r>
      <w:proofErr w:type="spellStart"/>
      <w:r>
        <w:t>Health</w:t>
      </w:r>
      <w:proofErr w:type="spellEnd"/>
      <w:r>
        <w:t xml:space="preserve"> Organization, «World </w:t>
      </w:r>
      <w:proofErr w:type="spellStart"/>
      <w:r>
        <w:t>Mental</w:t>
      </w:r>
      <w:proofErr w:type="spellEnd"/>
      <w:r>
        <w:t xml:space="preserve"> </w:t>
      </w:r>
      <w:proofErr w:type="spellStart"/>
      <w:r>
        <w:t>Health</w:t>
      </w:r>
      <w:proofErr w:type="spellEnd"/>
      <w:r>
        <w:t xml:space="preserve"> Report: </w:t>
      </w:r>
      <w:proofErr w:type="spellStart"/>
      <w:r>
        <w:t>Transforming</w:t>
      </w:r>
      <w:proofErr w:type="spellEnd"/>
      <w:r>
        <w:t xml:space="preserve"> </w:t>
      </w:r>
      <w:proofErr w:type="spellStart"/>
      <w:r>
        <w:t>Mental</w:t>
      </w:r>
      <w:proofErr w:type="spellEnd"/>
      <w:r>
        <w:t xml:space="preserve"> </w:t>
      </w:r>
      <w:proofErr w:type="spellStart"/>
      <w:r>
        <w:t>Health</w:t>
      </w:r>
      <w:proofErr w:type="spellEnd"/>
      <w:r>
        <w:t xml:space="preserve"> for </w:t>
      </w:r>
      <w:proofErr w:type="spellStart"/>
      <w:r>
        <w:t>All</w:t>
      </w:r>
      <w:proofErr w:type="spellEnd"/>
      <w:r>
        <w:t xml:space="preserve">», World </w:t>
      </w:r>
      <w:proofErr w:type="spellStart"/>
      <w:r>
        <w:t>Health</w:t>
      </w:r>
      <w:proofErr w:type="spellEnd"/>
      <w:r>
        <w:t xml:space="preserve"> Organization, Ginevra, 2022.</w:t>
      </w:r>
    </w:p>
    <w:p w14:paraId="6F005F36" w14:textId="77777777" w:rsidR="007C4598" w:rsidRDefault="007C4598"/>
    <w:p w14:paraId="7C517BCC" w14:textId="77777777" w:rsidR="007C4598" w:rsidRDefault="00000000">
      <w:pPr>
        <w:jc w:val="both"/>
      </w:pPr>
      <w:r>
        <w:rPr>
          <w:i/>
          <w:iCs/>
        </w:rPr>
        <w:t>Mini-riassunto. È il rapporto dell’Organizzazione mondiale della sanità sulla salute mentale, che afferma il diritto al più alto standard conseguibile di salute mentale e l’esigenza di trasformare i sistemi di salute mentale verso l’accessibilità e la qualità della cura; esso fornisce, in questa parte, la cornice internazionale del diritto alla salute mentale, che concorre a fondare l’estensione della provvista pubblica della cura del disagio mentale operata dalla riforma.</w:t>
      </w:r>
    </w:p>
    <w:p w14:paraId="5D073193" w14:textId="77777777" w:rsidR="007C4598" w:rsidRDefault="007C4598"/>
    <w:p w14:paraId="7805C6F7" w14:textId="77777777" w:rsidR="007C4598" w:rsidRDefault="00000000">
      <w:pPr>
        <w:pStyle w:val="Titolo2"/>
        <w:spacing w:before="200" w:after="100"/>
      </w:pPr>
      <w:r>
        <w:rPr>
          <w:sz w:val="22"/>
          <w:szCs w:val="22"/>
        </w:rPr>
        <w:t>Nota sui rinvii interni e sui principi metodologici</w:t>
      </w:r>
    </w:p>
    <w:p w14:paraId="10AEE785" w14:textId="77777777" w:rsidR="007C4598" w:rsidRDefault="007C4598"/>
    <w:p w14:paraId="20F4A179" w14:textId="77777777" w:rsidR="007C4598" w:rsidRDefault="00000000">
      <w:pPr>
        <w:jc w:val="both"/>
      </w:pPr>
      <w:r>
        <w:t xml:space="preserve">La tredicesima parte è la sede del fondamento giuridico ed etico dell’intero studio, e si raccorda perciò con un’ampia rete di parti, di cui fonda nel diritto e nell’etica le valutazioni del valore, e a cui consegna le condizioni di legittimità e di responsabilità da attuare e da osservare. Essa richiama le valutazioni del valore condotte dalle parti precedenti — l’efficacia della sesta parte, la convenienza delle parti economiche, l’equità della dodicesima parte — e ne mostra il fondamento nei principi costituzionali e convenzionali, sì che il valore della riforma si fondi sulla sua legittimità; assume dalla quarta parte la posizione subordinata dell’Intelligenza Artificiale, e la presidia sotto il profilo della legittimità e della responsabilità attraverso la </w:t>
      </w:r>
      <w:proofErr w:type="spellStart"/>
      <w:r>
        <w:t>governance</w:t>
      </w:r>
      <w:proofErr w:type="spellEnd"/>
      <w:r>
        <w:t xml:space="preserve"> e la supervisione umana; e assume l’architettura della cascata che la terza parte ordina, per applicarvi, nella quinta voce, la distribuzione delle funzioni e delle responsabilità. Verso le parti successive, essa consegna le condizioni di legittimità e di responsabilità alla quattordicesima parte, dedicata all’attuazione, che dovrà tradurle in misure attuative — gli atti normativi attuativi, le misure di protezione dei dati e di </w:t>
      </w:r>
      <w:proofErr w:type="spellStart"/>
      <w:r>
        <w:t>governance</w:t>
      </w:r>
      <w:proofErr w:type="spellEnd"/>
      <w:r>
        <w:t>, le regole dell’osservanza deontologica, le modalità del coordinamento organizzativo — e l’osservanza di tali condizioni alla quindicesima parte, dedicata al monitoraggio, che dovrà verificarla, riscontrando la conformità dell’attuazione alle cornici di responsabilità.</w:t>
      </w:r>
    </w:p>
    <w:p w14:paraId="63E375B9" w14:textId="77777777" w:rsidR="007C4598" w:rsidRDefault="007C4598"/>
    <w:p w14:paraId="28282116" w14:textId="77777777" w:rsidR="007C4598" w:rsidRDefault="00000000">
      <w:pPr>
        <w:jc w:val="both"/>
      </w:pPr>
      <w:r>
        <w:t xml:space="preserve">I principi metodologici invarianti dello studio governano l’analisi normativa in ogni suo passaggio, sebbene il suo carattere normativo ne muti l’applicazione. La distinzione cardine tra le grandezze fiscali dirette, sociali indirette e di salute è preservata nell’analisi normativa, che non introduce nuove grandezze né somma le dimensioni del valore, ma ne stabilisce il fondamento giuridico ed etico. Il duplice intervallo di </w:t>
      </w:r>
      <w:proofErr w:type="spellStart"/>
      <w:r>
        <w:t>Chisholm</w:t>
      </w:r>
      <w:proofErr w:type="spellEnd"/>
      <w:r>
        <w:t xml:space="preserve"> e il </w:t>
      </w:r>
      <w:proofErr w:type="spellStart"/>
      <w:r>
        <w:t>caveat</w:t>
      </w:r>
      <w:proofErr w:type="spellEnd"/>
      <w:r>
        <w:t xml:space="preserve"> dell’IMPACT trial sono preservati ove le grandezze economiche delle parti precedenti sono richiamate. La gradazione dell’evidenza secondo i criteri GRADE e la formulazione in bande prudenziali falsificabili, che governano le stime empiriche dello studio, si applicano alle sole affermazioni empiriche, in questa parte pressoché assenti; le proposizioni giuridiche, deontologiche e organizzative sono invece valutate secondo la solidità del loro fondamento nelle fonti, ossia secondo il loro radicamento nei principi costituzionali e convenzionali, nelle norme e nel codice deontologico. Il carattere normativo della parte, distinto dal carattere empirico delle parti precedenti, non ne riduce il rigore, ma ne muta il criterio: il rigore della parte risiede nella correttezza dell’analisi giuridica ed etica e nel radicamento delle proposizioni nelle fonti, anziché nella qualità dell’evidenza empirica e nella prudenza delle stime. L’analisi normativa si conforma così, nello stabilire la cornice di legittimità e di responsabilità, ai medesimi principi che hanno governato la valutazione del valore che la precede, e ne costituisce il completamento sul piano del fondamento e delle regole, fondando nel diritto e nell’etica il valore della riforma, e mantenendo, anche in questa dimensione, la distinzione delle dimensioni e la preservazione dei vincoli che ha governato l’intero studio.</w:t>
      </w:r>
    </w:p>
    <w:p w14:paraId="268A0B88" w14:textId="77777777" w:rsidR="007C4598" w:rsidRDefault="007C4598"/>
    <w:p w14:paraId="18E91F46" w14:textId="77777777" w:rsidR="007C4598" w:rsidRDefault="00000000">
      <w:pPr>
        <w:jc w:val="both"/>
      </w:pPr>
      <w:r>
        <w:t xml:space="preserve">Legittimità · responsabilità · </w:t>
      </w:r>
      <w:proofErr w:type="spellStart"/>
      <w:r>
        <w:t>governance</w:t>
      </w:r>
      <w:proofErr w:type="spellEnd"/>
      <w:r>
        <w:tab/>
        <w:t>L. De Michele · giugno 2026</w:t>
      </w:r>
    </w:p>
    <w:p w14:paraId="4261831E" w14:textId="77777777" w:rsidR="007C4598" w:rsidRDefault="007C4598"/>
    <w:p w14:paraId="31EFE2B3" w14:textId="77777777" w:rsidR="007C4598" w:rsidRDefault="00000000">
      <w:pPr>
        <w:jc w:val="both"/>
      </w:pPr>
      <w:r>
        <w:rPr>
          <w:color w:val="555555"/>
          <w:sz w:val="16"/>
          <w:szCs w:val="16"/>
          <w:vertAlign w:val="superscript"/>
        </w:rPr>
        <w:t>[1]</w:t>
      </w:r>
      <w:r>
        <w:t>: Il fondamento costituzionale e convenzionale è il radicamento della riforma nei principi supremi dell’ordinamento, fondamento ultimo distinto dal fondamento prossimo che la norma istitutiva costituisce. Esso opera come fondamento (radica la riforma nei principi e le conferisce legittimità) e come limite (la circoscrive entro i confini che i principi tracciano). La legittimità della riforma richiede che la norma istitutiva e la riforma si conformino ai principi costituzionali e convenzionali.</w:t>
      </w:r>
    </w:p>
    <w:p w14:paraId="5AD8CDD5" w14:textId="77777777" w:rsidR="007C4598" w:rsidRDefault="00000000">
      <w:pPr>
        <w:jc w:val="both"/>
      </w:pPr>
      <w:r>
        <w:rPr>
          <w:color w:val="555555"/>
          <w:sz w:val="16"/>
          <w:szCs w:val="16"/>
          <w:vertAlign w:val="superscript"/>
        </w:rPr>
        <w:t>[2]</w:t>
      </w:r>
      <w:r>
        <w:t>: L’articolo 32 della Costituzione tutela la salute come fondamentale diritto dell’individuo e interesse della collettività, e garantisce cure gratuite agli indigenti; è l’unico diritto cui la Costituzione attribuisce espressamente il carattere di fondamentale. Il diritto alla salute ha duplice natura: dimensione negativa (protezione da lesioni) e positiva (pretesa alla provvista della cura). La dimensione positiva fonda la provvista pubblica dei servizi sanitari, e i livelli essenziali di assistenza come contenuto minimo del diritto. La salute mentale è parte integrante della salute, tutelata in misura pari alla salute fisica.</w:t>
      </w:r>
    </w:p>
    <w:p w14:paraId="4A5D584B" w14:textId="77777777" w:rsidR="007C4598" w:rsidRDefault="00000000">
      <w:pPr>
        <w:jc w:val="both"/>
      </w:pPr>
      <w:r>
        <w:rPr>
          <w:color w:val="555555"/>
          <w:sz w:val="16"/>
          <w:szCs w:val="16"/>
          <w:vertAlign w:val="superscript"/>
        </w:rPr>
        <w:t>[3]</w:t>
      </w:r>
      <w:r>
        <w:t>: Il quadro convenzionale e sovranazionale comprende la Carta dei diritti fondamentali dell’Unione europea (articolo 35, diritto di accedere alla prevenzione sanitaria e di ottenere cure mediche) e la Convenzione delle Nazioni Unite sui diritti delle persone con disabilità (articolo 25, diritto al più alto standard conseguibile di salute senza discriminazione). Tali strumenti operano secondo modalità diverse (norme interposte, fonti dell’ordinamento dell’Unione, obblighi internazionali) e concorrono a rafforzare il fondamento costituzionale interno.</w:t>
      </w:r>
    </w:p>
    <w:p w14:paraId="7A110F02" w14:textId="77777777" w:rsidR="007C4598" w:rsidRDefault="00000000">
      <w:pPr>
        <w:jc w:val="both"/>
      </w:pPr>
      <w:r>
        <w:rPr>
          <w:color w:val="555555"/>
          <w:sz w:val="16"/>
          <w:szCs w:val="16"/>
          <w:vertAlign w:val="superscript"/>
        </w:rPr>
        <w:t>[4]</w:t>
      </w:r>
      <w:r>
        <w:t>: Il primo livello psicologico è fondato nella convergenza di più principi: il diritto alla salute esteso alla salute mentale (provvista della cura); il principio di uguaglianza sostanziale, articolo 3, secondo comma (estensione dell’accesso ai gruppi svantaggiati, gratuità, bassa soglia); la tutela delle persone con disabilità (non discriminazione); la competenza concorrente in materia di tutela della salute, articolo 117 (potestà regionale di organizzare il servizio). Il fondamento nei principi radica nel diritto le valutazioni del valore condotte nelle parti precedenti.</w:t>
      </w:r>
    </w:p>
    <w:p w14:paraId="7B79B0CA" w14:textId="77777777" w:rsidR="007C4598" w:rsidRDefault="00000000">
      <w:pPr>
        <w:jc w:val="both"/>
      </w:pPr>
      <w:r>
        <w:rPr>
          <w:color w:val="555555"/>
          <w:sz w:val="16"/>
          <w:szCs w:val="16"/>
          <w:vertAlign w:val="superscript"/>
        </w:rPr>
        <w:t>[6]</w:t>
      </w:r>
      <w:r>
        <w:t>: Il quadro normativo è il fondamento prossimo della riforma, distinto dal fondamento ultimo costituzionale e convenzionale: la riforma esiste come istituzione giuridica perché una norma la istituisce. Il quadro opera come fonte (istituisce la riforma e ne disciplina l’organizzazione) e come limite (la circoscrive entro i confini delle norme). La materia della tutela della salute è di competenza concorrente (articolo 117): allo Stato i principi fondamentali e i livelli essenziali, alle Regioni la potestà legislativa nel rispetto di tali principi.</w:t>
      </w:r>
    </w:p>
    <w:p w14:paraId="06803956" w14:textId="77777777" w:rsidR="007C4598" w:rsidRDefault="00000000">
      <w:pPr>
        <w:jc w:val="both"/>
      </w:pPr>
      <w:r>
        <w:rPr>
          <w:color w:val="555555"/>
          <w:sz w:val="16"/>
          <w:szCs w:val="16"/>
          <w:vertAlign w:val="superscript"/>
        </w:rPr>
        <w:t>[7]</w:t>
      </w:r>
      <w:r>
        <w:t xml:space="preserve">: Il quadro nazionale comprende: i livelli essenziali di assistenza (definiti con decreto del Presidente del Consiglio dei Ministri, da ultimo il </w:t>
      </w:r>
      <w:proofErr w:type="spellStart"/>
      <w:r>
        <w:t>d.P.C.M</w:t>
      </w:r>
      <w:proofErr w:type="spellEnd"/>
      <w:r>
        <w:t>. 12 gennaio 2017), livello minimo garantito su tutto il territorio; la Missione 6 del Piano nazionale di ripresa e resilienza (Salute), che finanzia il rafforzamento dell’assistenza territoriale e le Case della Comunità; l’Accordo Collettivo Nazionale per la medicina generale, che disciplina le cure primarie. Il primo livello psicologico si aggiunge ai livelli essenziali, si colloca nel contesto del rafforzamento territoriale e si integra con la medicina generale.</w:t>
      </w:r>
    </w:p>
    <w:p w14:paraId="002446C7" w14:textId="77777777" w:rsidR="007C4598" w:rsidRDefault="00000000">
      <w:pPr>
        <w:jc w:val="both"/>
      </w:pPr>
      <w:r>
        <w:rPr>
          <w:color w:val="555555"/>
          <w:sz w:val="16"/>
          <w:szCs w:val="16"/>
          <w:vertAlign w:val="superscript"/>
        </w:rPr>
        <w:t>[8]</w:t>
      </w:r>
      <w:r>
        <w:t>: Il fondamento prossimo della riforma risiede nella legge regionale della Puglia numero 11 del 2023, che istituisce il Servizio di Psicologia di Base, definisce la figura dello psicologo di base, ne disciplina le funzioni e l’organizzazione, e appresta il fondamento per la sua attuazione. La riforma esiste come istituzione giuridica perché la legge regionale la istituisce; essa costituisce l’oggetto della valutazione condotta nell’intero studio. La legge regionale esercita la potestà legislativa regionale in materia di tutela della salute, nel rispetto dei principi fondamentali e dei livelli essenziali.</w:t>
      </w:r>
    </w:p>
    <w:p w14:paraId="0ABBEC0E" w14:textId="77777777" w:rsidR="007C4598" w:rsidRDefault="00000000">
      <w:pPr>
        <w:jc w:val="both"/>
      </w:pPr>
      <w:r>
        <w:rPr>
          <w:color w:val="555555"/>
          <w:sz w:val="16"/>
          <w:szCs w:val="16"/>
          <w:vertAlign w:val="superscript"/>
        </w:rPr>
        <w:t>[9]</w:t>
      </w:r>
      <w:r>
        <w:t>: La legge regionale rimette a successivi atti attuativi (delibere della Giunta regionale, linee guida, atti di organizzazione) la specificazione della disciplina e l’organizzazione concreta della realizzazione. Gli atti attuativi sono essenziali per la piena attuazione, perché la legge regionale istituisce il servizio e ne disciplina le linee fondamentali, ma non ne organizza la realizzazione concreta. Il rapporto tra le fonti è governato dalla gerarchia delle fonti e dalla ripartizione delle competenze; l’adozione degli atti attuativi è rimessa alla quattordicesima parte (attuazione).</w:t>
      </w:r>
    </w:p>
    <w:p w14:paraId="665B8B8F" w14:textId="77777777" w:rsidR="007C4598" w:rsidRDefault="00000000">
      <w:pPr>
        <w:jc w:val="both"/>
      </w:pPr>
      <w:r>
        <w:rPr>
          <w:color w:val="555555"/>
          <w:sz w:val="16"/>
          <w:szCs w:val="16"/>
          <w:vertAlign w:val="superscript"/>
        </w:rPr>
        <w:t>[10]</w:t>
      </w:r>
      <w:r>
        <w:t xml:space="preserve">: La cornice di responsabilità nell’impiego degli strumenti è l’insieme delle regole che governano l’uso degli strumenti digitali e dell’Intelligenza Artificiale, assicurandone la conformità ai principi di tutela della persona. Essa non è un ostacolo all’impiego degli strumenti, ma la condizione della sua legittimità. Si compone di due ambiti: la protezione dei dati (trattamento dei dati personali) e la </w:t>
      </w:r>
      <w:proofErr w:type="spellStart"/>
      <w:r>
        <w:t>governance</w:t>
      </w:r>
      <w:proofErr w:type="spellEnd"/>
      <w:r>
        <w:t xml:space="preserve"> dell’Intelligenza Artificiale (uso dei sistemi), distinti ma connessi, poiché l’uso dei sistemi è anche trattamento di dati.</w:t>
      </w:r>
    </w:p>
    <w:p w14:paraId="6105D730" w14:textId="77777777" w:rsidR="007C4598" w:rsidRDefault="00000000">
      <w:pPr>
        <w:jc w:val="both"/>
      </w:pPr>
      <w:r>
        <w:rPr>
          <w:color w:val="555555"/>
          <w:sz w:val="16"/>
          <w:szCs w:val="16"/>
          <w:vertAlign w:val="superscript"/>
        </w:rPr>
        <w:t>[11]</w:t>
      </w:r>
      <w:r>
        <w:t>: I dati relativi alla salute costituiscono, secondo il regolamento generale sulla protezione dei dati (Reg. UE 2016/679), una categoria particolare di dati personali (articolo 9), il cui trattamento è in linea di principio vietato e ammesso soltanto in presenza di una condizione, tra cui la finalità di cura (necessità per finalità di diagnosi, assistenza o terapia sanitaria). Il trattamento dei dati del primo livello psicologico si fonda sulla finalità di cura e si conforma ai principi di liceità, minimizzazione, limitazione delle finalità, esattezza, sicurezza (articolo 5) e protezione fin dalla progettazione (articolo 25).</w:t>
      </w:r>
    </w:p>
    <w:p w14:paraId="381D2CB9" w14:textId="77777777" w:rsidR="007C4598" w:rsidRDefault="00000000">
      <w:pPr>
        <w:jc w:val="both"/>
      </w:pPr>
      <w:r>
        <w:rPr>
          <w:color w:val="555555"/>
          <w:sz w:val="16"/>
          <w:szCs w:val="16"/>
          <w:vertAlign w:val="superscript"/>
        </w:rPr>
        <w:t>[12]</w:t>
      </w:r>
      <w:r>
        <w:t xml:space="preserve">: La </w:t>
      </w:r>
      <w:proofErr w:type="spellStart"/>
      <w:r>
        <w:t>governance</w:t>
      </w:r>
      <w:proofErr w:type="spellEnd"/>
      <w:r>
        <w:t xml:space="preserve"> dell’Intelligenza Artificiale presidia la posizione subordinata che la quarta parte ha assegnato all’Intelligenza Artificiale (strumento abilitante sotto supervisione umana, non sostituto del professionista). Il regolamento sull’intelligenza artificiale (Reg. UE 2024/1689) assoggetta i sistemi a una disciplina graduata secondo il rischio; i sistemi ad alto rischio sono soggetti a obblighi rafforzati di trasparenza, supervisione umana, accuratezza e robustezza. I sistemi impiegati in àmbito sanitario possono ricadere tra quelli ad alto rischio.</w:t>
      </w:r>
    </w:p>
    <w:p w14:paraId="52497858" w14:textId="77777777" w:rsidR="007C4598" w:rsidRDefault="00000000">
      <w:pPr>
        <w:jc w:val="both"/>
      </w:pPr>
      <w:r>
        <w:rPr>
          <w:color w:val="555555"/>
          <w:sz w:val="16"/>
          <w:szCs w:val="16"/>
          <w:vertAlign w:val="superscript"/>
        </w:rPr>
        <w:t>[13]</w:t>
      </w:r>
      <w:r>
        <w:t>: I due ambiti della cornice di responsabilità convergono in tre principi comuni: la riservatezza (protezione dei dati dalla divulgazione non autorizzata, rafforzata per i dati di salute mentale); la responsabilità (imputazione al titolare del trattamento e all’utilizzatore dei sistemi della conformità alle regole, sì che vi sia sempre un soggetto responsabile); la trasparenza (comprensibilità del trattamento dei dati e del funzionamento dei sistemi). I tre principi sono le condizioni di legittimità dell’impiego degli strumenti.</w:t>
      </w:r>
    </w:p>
    <w:p w14:paraId="679A9837" w14:textId="77777777" w:rsidR="007C4598" w:rsidRDefault="00000000">
      <w:pPr>
        <w:jc w:val="both"/>
      </w:pPr>
      <w:r>
        <w:rPr>
          <w:color w:val="555555"/>
          <w:sz w:val="16"/>
          <w:szCs w:val="16"/>
          <w:vertAlign w:val="superscript"/>
        </w:rPr>
        <w:t>[14]</w:t>
      </w:r>
      <w:r>
        <w:t>: La voce ha carattere normativo: non formula stime empiriche, ma proposizioni giuridiche, la cui solidità si valuta secondo il radicamento nelle norme della protezione dei dati e dell’Intelligenza Artificiale; la gradazione GRADE non vi si applica. Le misure concrete di attuazione della cornice di responsabilità sono rimesse alla quattordicesima parte (attuazione). La voce conferma e presidia la posizione subordinata dell’Intelligenza Artificiale senza rifarne la valutazione del contributo, condotta dalle parti precedenti.</w:t>
      </w:r>
    </w:p>
    <w:p w14:paraId="30CE646D" w14:textId="77777777" w:rsidR="007C4598" w:rsidRDefault="00000000">
      <w:pPr>
        <w:jc w:val="both"/>
      </w:pPr>
      <w:r>
        <w:rPr>
          <w:color w:val="555555"/>
          <w:sz w:val="16"/>
          <w:szCs w:val="16"/>
          <w:vertAlign w:val="superscript"/>
        </w:rPr>
        <w:t>[15]</w:t>
      </w:r>
      <w:r>
        <w:t>: La cornice deontologica è l’insieme delle regole etiche che governano la condotta del professionista nell’esercizio della professione. Il primo livello psicologico è erogato da professionisti (gli psicologi di base), la cui azione è governata dalla deontologia professionale; la conformità dell’azione professionale alla deontologia è una condizione della legittimità della riforma. La cornice deontologica si connette alla cornice di responsabilità nel punto della supervisione umana, che la deontologia fonda nell’autonomia e nella responsabilità professionale.</w:t>
      </w:r>
    </w:p>
    <w:p w14:paraId="78EF7965" w14:textId="77777777" w:rsidR="007C4598" w:rsidRDefault="00000000">
      <w:pPr>
        <w:jc w:val="both"/>
      </w:pPr>
      <w:r>
        <w:rPr>
          <w:color w:val="555555"/>
          <w:sz w:val="16"/>
          <w:szCs w:val="16"/>
          <w:vertAlign w:val="superscript"/>
        </w:rPr>
        <w:t>[16]</w:t>
      </w:r>
      <w:r>
        <w:t>: La professione di psicologo è regolamentata (legge 18 febbraio 1989, n. 56, ordinamento della professione); il suo esercizio è subordinato all’iscrizione all’albo e governato dal codice deontologico degli psicologi. Tra i principi: il segreto professionale (riservatezza su quanto appreso nell’esercizio della professione); il consenso informato (subordinazione dell’intervento al consenso consapevole della persona); l’autonomia e la responsabilità (esercizio del giudizio con indipendenza e relativa responsabilità); la centralità della relazione clinica.</w:t>
      </w:r>
    </w:p>
    <w:p w14:paraId="161102B1" w14:textId="77777777" w:rsidR="007C4598" w:rsidRDefault="00000000">
      <w:pPr>
        <w:jc w:val="both"/>
      </w:pPr>
      <w:r>
        <w:rPr>
          <w:color w:val="555555"/>
          <w:sz w:val="16"/>
          <w:szCs w:val="16"/>
          <w:vertAlign w:val="superscript"/>
        </w:rPr>
        <w:t>[17]</w:t>
      </w:r>
      <w:r>
        <w:t>: La supervisione umana è il principio per cui il professionista mantiene il controllo del proprio giudizio clinico e non lo delega agli strumenti digitali o all’Intelligenza Artificiale. Gli strumenti operano come supporto, non come sostituti: possono fornire indicazioni o elaborazioni, ma il giudizio clinico (valutazione del disagio, scelta dell’intervento, conduzione della relazione) rimane del professionista. La supervisione umana presidia la posizione subordinata dell’Intelligenza Artificiale, mantenendola strumento di supporto sotto il controllo del professionista.</w:t>
      </w:r>
    </w:p>
    <w:p w14:paraId="25A10277" w14:textId="77777777" w:rsidR="007C4598" w:rsidRDefault="00000000">
      <w:pPr>
        <w:jc w:val="both"/>
      </w:pPr>
      <w:r>
        <w:rPr>
          <w:color w:val="555555"/>
          <w:sz w:val="16"/>
          <w:szCs w:val="16"/>
          <w:vertAlign w:val="superscript"/>
        </w:rPr>
        <w:t>[18]</w:t>
      </w:r>
      <w:r>
        <w:t>: L’autonomia professionale (esercizio del giudizio con indipendenza) e la responsabilità professionale (risposta del proprio giudizio e condotta) costituiscono i cardini della cornice deontologica, connessi tra loro: l’autonomia implica la responsabilità e viceversa. Da essi discendono gli altri principi (segreto professionale, consenso informato, centralità della relazione clinica) e la supervisione umana. I cardini assicurano che la riforma, pur avvalendosi di strumenti e articolandosi in un’organizzazione, rimanga fondata sull’azione del professionista, che ne è responsabile.</w:t>
      </w:r>
    </w:p>
    <w:p w14:paraId="2CE8519E" w14:textId="77777777" w:rsidR="007C4598" w:rsidRDefault="00000000">
      <w:pPr>
        <w:jc w:val="both"/>
      </w:pPr>
      <w:r>
        <w:rPr>
          <w:color w:val="555555"/>
          <w:sz w:val="16"/>
          <w:szCs w:val="16"/>
          <w:vertAlign w:val="superscript"/>
        </w:rPr>
        <w:t>[19]</w:t>
      </w:r>
      <w:r>
        <w:t>: La voce ha carattere normativo: formula proposizioni deontologiche, la cui solidità si valuta secondo il radicamento nel codice deontologico e nei principi dell’autonomia e della responsabilità professionale; la gradazione GRADE non vi si applica. Le misure concrete di osservanza della cornice deontologica sono rimesse alla quattordicesima parte (attuazione). I profili organizzativi e di responsabilità sono oggetto della quinta voce.</w:t>
      </w:r>
    </w:p>
    <w:p w14:paraId="678FF1B0" w14:textId="77777777" w:rsidR="007C4598" w:rsidRDefault="00000000">
      <w:pPr>
        <w:jc w:val="both"/>
      </w:pPr>
      <w:r>
        <w:rPr>
          <w:color w:val="555555"/>
          <w:sz w:val="16"/>
          <w:szCs w:val="16"/>
          <w:vertAlign w:val="superscript"/>
        </w:rPr>
        <w:t>[20]</w:t>
      </w:r>
      <w:r>
        <w:t>: I profili organizzativi e di responsabilità sono l’insieme delle regole che disciplinano la distribuzione delle funzioni e delle responsabilità tra le figure e le istituzioni che concorrono alla riforma. Essi si distinguono dall’architettura della cascata (terza parte, ordinamento per influenza e per valore) e dal modello organizzativo operativo (quarta parte, descrizione del funzionamento), ma a essi si connettono: la distribuzione delle responsabilità presuppone l’architettura delle figure che la cascata ordina, e disciplina l’imputazione delle responsabilità nel funzionamento che il modello operativo descrive.</w:t>
      </w:r>
    </w:p>
    <w:p w14:paraId="1837DE3B" w14:textId="77777777" w:rsidR="007C4598" w:rsidRDefault="00000000">
      <w:pPr>
        <w:jc w:val="both"/>
      </w:pPr>
      <w:r>
        <w:rPr>
          <w:color w:val="555555"/>
          <w:sz w:val="16"/>
          <w:szCs w:val="16"/>
          <w:vertAlign w:val="superscript"/>
        </w:rPr>
        <w:t>[21]</w:t>
      </w:r>
      <w:r>
        <w:t>: La distribuzione delle funzioni pone lo psicologo di base all’apice della funzione clinica (valutazione del disagio, conduzione dell’intervento, relazione clinica, responsabilità del giudizio clinico); il medico di medicina generale nella funzione di integrazione con le cure primarie (intercettazione, invio); le altre figure (infermiere, psichiatra consulente, assistente sociale, e altre che la cascata ordina) nelle funzioni di concorso. La distribuzione assume l’architettura della cascata della terza parte e vi applica la distribuzione delle responsabilità.</w:t>
      </w:r>
    </w:p>
    <w:p w14:paraId="3255497D" w14:textId="77777777" w:rsidR="007C4598" w:rsidRDefault="00000000">
      <w:pPr>
        <w:jc w:val="both"/>
      </w:pPr>
      <w:r>
        <w:rPr>
          <w:color w:val="555555"/>
          <w:sz w:val="16"/>
          <w:szCs w:val="16"/>
          <w:vertAlign w:val="superscript"/>
        </w:rPr>
        <w:t>[22]</w:t>
      </w:r>
      <w:r>
        <w:t>: La distribuzione delle responsabilità tra le istituzioni segue la ripartizione delle competenze: la Regione la responsabilità della programmazione e dell’indirizzo; le aziende sanitarie locali la responsabilità dell’organizzazione del servizio sul territorio; i distretti la responsabilità dell’articolazione territoriale. Il luogo dell’erogazione è in larga parte la Casa della Comunità (Missione 6 del Piano nazionale di ripresa e resilienza), entro cui il primo livello psicologico si integra con gli altri servizi territoriali.</w:t>
      </w:r>
    </w:p>
    <w:p w14:paraId="0CF101E7" w14:textId="77777777" w:rsidR="007C4598" w:rsidRDefault="00000000">
      <w:pPr>
        <w:jc w:val="both"/>
      </w:pPr>
      <w:r>
        <w:rPr>
          <w:color w:val="555555"/>
          <w:sz w:val="16"/>
          <w:szCs w:val="16"/>
          <w:vertAlign w:val="superscript"/>
        </w:rPr>
        <w:t>[23]</w:t>
      </w:r>
      <w:r>
        <w:t>: La catena di responsabilità connette le responsabilità dei diversi soggetti in un ordine coerente, dalla responsabilità del giudizio clinico (psicologo di base) alla responsabilità della programmazione (Regione), attraverso le responsabilità intermedie. Essa assicura che ogni aspetto della realizzazione sia imputato a un soggetto responsabile e che le responsabilità non si sovrappongano né si confondano. La catena richiede, per la propria efficacia, un raccordo organizzativo tra i soggetti, le cui modalità concrete sono rimesse alla quattordicesima parte (attuazione).</w:t>
      </w:r>
    </w:p>
    <w:p w14:paraId="14E2A4F5" w14:textId="77777777" w:rsidR="007C4598" w:rsidRDefault="00000000">
      <w:pPr>
        <w:jc w:val="both"/>
      </w:pPr>
      <w:r>
        <w:rPr>
          <w:color w:val="555555"/>
          <w:sz w:val="16"/>
          <w:szCs w:val="16"/>
          <w:vertAlign w:val="superscript"/>
        </w:rPr>
        <w:t>[24]</w:t>
      </w:r>
      <w:r>
        <w:t>: La voce ha carattere normativo: formula proposizioni organizzative e di responsabilità, la cui solidità si valuta secondo il radicamento nelle norme che disciplinano l’organizzazione del servizio e la ripartizione delle competenze; la gradazione GRADE non vi si applica. L’architettura della cascata è oggetto della terza parte; il modello operativo della quarta; le modalità concrete del coordinamento organizzativo sono rimesse alla quattordicesima parte (attuazione); l’osservanza della distribuzione delle responsabilità è oggetto del monitoraggio della quindicesima parte.</w:t>
      </w:r>
    </w:p>
    <w:p w14:paraId="55DEFAA8" w14:textId="77777777" w:rsidR="007C4598" w:rsidRDefault="00000000">
      <w:pPr>
        <w:jc w:val="both"/>
      </w:pPr>
      <w:r>
        <w:rPr>
          <w:color w:val="555555"/>
          <w:sz w:val="16"/>
          <w:szCs w:val="16"/>
          <w:vertAlign w:val="superscript"/>
        </w:rPr>
        <w:t>[25]</w:t>
      </w:r>
      <w:r>
        <w:t>: La cornice di legittimità e di responsabilità completa la valutazione della riforma con le condizioni del fondamento e delle regole, accanto alle condizioni del valore (efficacia, convenienza, equità). La dimensione della legittimità e della responsabilità è autonoma e necessaria: essa non compete con le dimensioni del valore, ma le presuppone e vi aggiunge la dimensione del fondamento e delle regole. Una riforma destinata a istituire un servizio pubblico è chiamata a essere non soltanto efficace, conveniente ed equa, ma anche legittima nel fondamento e responsabile nell’attuazione.</w:t>
      </w:r>
    </w:p>
    <w:p w14:paraId="6642ECF3" w14:textId="77777777" w:rsidR="007C4598" w:rsidRDefault="00000000">
      <w:pPr>
        <w:jc w:val="both"/>
      </w:pPr>
      <w:r>
        <w:rPr>
          <w:color w:val="555555"/>
          <w:sz w:val="16"/>
          <w:szCs w:val="16"/>
          <w:vertAlign w:val="superscript"/>
        </w:rPr>
        <w:t>[26]</w:t>
      </w:r>
      <w:r>
        <w:t xml:space="preserve">: La parte ha carattere normativo, e non quantitativo: non misura grandezze, né formula stime in bande prudenziali falsificabili, ma esamina principi e norme, e ne valuta la solidità come fondamento della riforma. La gradazione GRADE si applica alle sole affermazioni empiriche, in questa parte pressoché assenti. La parte preserva la distinzione tra le tre dimensioni del valore, il duplice intervallo di </w:t>
      </w:r>
      <w:proofErr w:type="spellStart"/>
      <w:r>
        <w:t>Chisholm</w:t>
      </w:r>
      <w:proofErr w:type="spellEnd"/>
      <w:r>
        <w:t xml:space="preserve"> e il </w:t>
      </w:r>
      <w:proofErr w:type="spellStart"/>
      <w:r>
        <w:t>caveat</w:t>
      </w:r>
      <w:proofErr w:type="spellEnd"/>
      <w:r>
        <w:t xml:space="preserve"> dell’IMPACT trial ove le grandezze economiche sono richiamate; essa non introduce nuove grandezze né somma le dimensioni, ma fonda nel diritto e nell’etica il valore della riforma.</w:t>
      </w:r>
    </w:p>
    <w:p w14:paraId="30891207" w14:textId="77777777" w:rsidR="007C4598" w:rsidRDefault="00000000">
      <w:r>
        <w:br w:type="page"/>
      </w:r>
    </w:p>
    <w:p w14:paraId="158551AA" w14:textId="77777777" w:rsidR="007C4598" w:rsidRDefault="00000000">
      <w:pPr>
        <w:spacing w:before="1200" w:after="200"/>
        <w:jc w:val="center"/>
      </w:pPr>
      <w:r>
        <w:rPr>
          <w:b/>
          <w:bCs/>
          <w:color w:val="C49A48"/>
          <w:sz w:val="64"/>
          <w:szCs w:val="64"/>
        </w:rPr>
        <w:t>PARTE XIV</w:t>
      </w:r>
    </w:p>
    <w:p w14:paraId="369AA64C" w14:textId="77777777" w:rsidR="007C4598" w:rsidRDefault="00000000">
      <w:pPr>
        <w:spacing w:after="600"/>
        <w:jc w:val="center"/>
      </w:pPr>
      <w:r>
        <w:rPr>
          <w:b/>
          <w:bCs/>
          <w:color w:val="16264B"/>
          <w:sz w:val="32"/>
          <w:szCs w:val="32"/>
        </w:rPr>
        <w:t>Attuazione, fattibilità e sostenibilità</w:t>
      </w:r>
    </w:p>
    <w:p w14:paraId="65EA8CA5" w14:textId="77777777" w:rsidR="007C4598" w:rsidRDefault="007C4598">
      <w:pPr>
        <w:pBdr>
          <w:bottom w:val="single" w:sz="6" w:space="1" w:color="C49A48"/>
        </w:pBdr>
        <w:spacing w:after="200"/>
      </w:pPr>
    </w:p>
    <w:p w14:paraId="72228A61" w14:textId="77777777" w:rsidR="007C4598" w:rsidRDefault="00000000">
      <w:pPr>
        <w:jc w:val="both"/>
      </w:pPr>
      <w:r>
        <w:t>Studio regionale Puglia · Parte I · Attuazione, fattibilità e sostenibilità</w:t>
      </w:r>
    </w:p>
    <w:p w14:paraId="32238F6B" w14:textId="77777777" w:rsidR="007C4598" w:rsidRDefault="007C4598"/>
    <w:p w14:paraId="1941D02B" w14:textId="77777777" w:rsidR="007C4598" w:rsidRDefault="00000000">
      <w:pPr>
        <w:jc w:val="both"/>
      </w:pPr>
      <w:r>
        <w:rPr>
          <w:b/>
          <w:bCs/>
        </w:rPr>
        <w:t>STUDIO REGIONALE · REGIONE PUGLIA · APPLICAZIONE DEL TELAIO INTEGRATO</w:t>
      </w:r>
    </w:p>
    <w:p w14:paraId="0CDBC25D" w14:textId="77777777" w:rsidR="007C4598" w:rsidRDefault="007C4598"/>
    <w:p w14:paraId="65BC1ADC" w14:textId="77777777" w:rsidR="007C4598" w:rsidRDefault="00000000">
      <w:pPr>
        <w:jc w:val="both"/>
      </w:pPr>
      <w:r>
        <w:t>Riforma «Psicologo di Base» (L.R. 11/2023)</w:t>
      </w:r>
    </w:p>
    <w:p w14:paraId="7C5F6926" w14:textId="77777777" w:rsidR="007C4598" w:rsidRDefault="007C4598"/>
    <w:p w14:paraId="7351C0FA" w14:textId="77777777" w:rsidR="007C4598" w:rsidRDefault="00000000">
      <w:pPr>
        <w:jc w:val="both"/>
      </w:pPr>
      <w:r>
        <w:rPr>
          <w:b/>
          <w:bCs/>
        </w:rPr>
        <w:t>Parte I</w:t>
      </w:r>
    </w:p>
    <w:p w14:paraId="22651F7F" w14:textId="77777777" w:rsidR="007C4598" w:rsidRDefault="007C4598"/>
    <w:p w14:paraId="1C761B8A" w14:textId="77777777" w:rsidR="007C4598" w:rsidRDefault="00000000">
      <w:pPr>
        <w:jc w:val="both"/>
      </w:pPr>
      <w:r>
        <w:rPr>
          <w:b/>
          <w:bCs/>
        </w:rPr>
        <w:t>Attuazione, fattibilità e sostenibilità</w:t>
      </w:r>
    </w:p>
    <w:p w14:paraId="7A0B2CC9" w14:textId="77777777" w:rsidR="007C4598" w:rsidRDefault="007C4598"/>
    <w:p w14:paraId="19C208F1" w14:textId="77777777" w:rsidR="007C4598" w:rsidRDefault="00000000">
      <w:pPr>
        <w:jc w:val="both"/>
      </w:pPr>
      <w:r>
        <w:rPr>
          <w:i/>
          <w:iCs/>
        </w:rPr>
        <w:t>Scienza dell'implementazione, disegno del dispiegamento, caso commerciale, caso gestionale, sostenibilità finanziaria</w:t>
      </w:r>
    </w:p>
    <w:p w14:paraId="43DDCB02" w14:textId="77777777" w:rsidR="007C4598" w:rsidRDefault="007C4598"/>
    <w:p w14:paraId="2EC1F42E" w14:textId="77777777" w:rsidR="007C4598" w:rsidRDefault="00000000">
      <w:pPr>
        <w:jc w:val="both"/>
      </w:pPr>
      <w:r>
        <w:t>Dominio 7 del modello HTA · casi commerciale e gestionale · criterio di sostenibilità</w:t>
      </w:r>
    </w:p>
    <w:p w14:paraId="61C14421" w14:textId="77777777" w:rsidR="007C4598" w:rsidRDefault="007C4598"/>
    <w:p w14:paraId="4E5F8166" w14:textId="77777777" w:rsidR="007C4598" w:rsidRDefault="00000000">
      <w:pPr>
        <w:jc w:val="both"/>
      </w:pPr>
      <w:r>
        <w:rPr>
          <w:b/>
          <w:bCs/>
        </w:rPr>
        <w:t>Indice</w:t>
      </w:r>
    </w:p>
    <w:p w14:paraId="40F416F9" w14:textId="77777777" w:rsidR="007C4598" w:rsidRDefault="007C4598"/>
    <w:p w14:paraId="6F221E07" w14:textId="77777777" w:rsidR="007C4598" w:rsidRDefault="00000000">
      <w:pPr>
        <w:pStyle w:val="Titolo1"/>
        <w:pageBreakBefore/>
      </w:pPr>
      <w:r>
        <w:rPr>
          <w:sz w:val="22"/>
          <w:szCs w:val="22"/>
        </w:rPr>
        <w:t>Parte I — Attuazione, fattibilità e sostenibilità</w:t>
      </w:r>
    </w:p>
    <w:p w14:paraId="0AE6EF01" w14:textId="77777777" w:rsidR="007C4598" w:rsidRDefault="007C4598"/>
    <w:p w14:paraId="586BA199" w14:textId="77777777" w:rsidR="007C4598" w:rsidRDefault="00000000">
      <w:pPr>
        <w:jc w:val="both"/>
      </w:pPr>
      <w:r>
        <w:t xml:space="preserve">Questa parte copre il settimo dominio della valutazione di tecnologia sanitaria, il profilo organizzativo, e fornisce il contenuto del caso commerciale e del caso gestionale del </w:t>
      </w:r>
      <w:proofErr w:type="spellStart"/>
      <w:r>
        <w:t>Five</w:t>
      </w:r>
      <w:proofErr w:type="spellEnd"/>
      <w:r>
        <w:t xml:space="preserve"> Case Model, rispondendo al criterio di sostenibilità.</w:t>
      </w:r>
      <w:r>
        <w:rPr>
          <w:color w:val="555555"/>
          <w:sz w:val="16"/>
          <w:szCs w:val="16"/>
          <w:vertAlign w:val="superscript"/>
        </w:rPr>
        <w:t>[1]</w:t>
      </w:r>
      <w:r>
        <w:t xml:space="preserve"> Accertato nelle parti precedenti che l'intervento è valido — efficace, conveniente, equo, fondato e conforme — resta da stabilire se possa essere effettivamente attuato. La parte affronta perciò il come dell'attuazione: i quadri che ne governano la pianificazione e la valutazione (capitolo I.1), il disegno del dispiegamento e il suo cronoprogramma (I.2), la fattibilità dell'assetto contrattuale (I.3), la </w:t>
      </w:r>
      <w:proofErr w:type="spellStart"/>
      <w:r>
        <w:t>governance</w:t>
      </w:r>
      <w:proofErr w:type="spellEnd"/>
      <w:r>
        <w:t xml:space="preserve"> e i rischi (I.4) e la sostenibilità finanziaria con le sue coperture (I.5). Il fondamento documentale è il piano operativo di implementazione già predisposto dal progetto.</w:t>
      </w:r>
    </w:p>
    <w:p w14:paraId="3423592D" w14:textId="77777777" w:rsidR="007C4598" w:rsidRDefault="007C4598"/>
    <w:p w14:paraId="4B20F115" w14:textId="77777777" w:rsidR="007C4598" w:rsidRDefault="00000000">
      <w:pPr>
        <w:pStyle w:val="Titolo2"/>
        <w:spacing w:before="200" w:after="100"/>
      </w:pPr>
      <w:r>
        <w:rPr>
          <w:sz w:val="22"/>
          <w:szCs w:val="22"/>
        </w:rPr>
        <w:t>I.1 La scienza dell'implementazione</w:t>
      </w:r>
    </w:p>
    <w:p w14:paraId="49CD9562" w14:textId="77777777" w:rsidR="007C4598" w:rsidRDefault="007C4598"/>
    <w:p w14:paraId="6EE8B9E0" w14:textId="77777777" w:rsidR="007C4598" w:rsidRDefault="00000000">
      <w:pPr>
        <w:jc w:val="both"/>
      </w:pPr>
      <w:r>
        <w:t>L'attuazione di un intervento complesso non è un atto amministrativo, ma un processo che la ricerca ha imparato a governare con quadri dedicati. Lo studio ne adotta due, complementari. Il modello RE-AIM misura la riuscita e la validità esterna dell'attuazione lungo cinque dimensioni: la portata, ossia la quota della popolazione bersaglio effettivamente raggiunta; l'efficacia, ossia gli esiti realmente conseguiti; l'adozione, ossia l'adesione delle sedi e dei professionisti; l'implementazione, ossia la fedeltà al modello e la qualità dell'attuazione; e il mantenimento, ossia la sostenibilità nel tempo.</w:t>
      </w:r>
      <w:r>
        <w:rPr>
          <w:color w:val="555555"/>
          <w:sz w:val="16"/>
          <w:szCs w:val="16"/>
          <w:vertAlign w:val="superscript"/>
        </w:rPr>
        <w:t>[2]</w:t>
      </w:r>
      <w:r>
        <w:t xml:space="preserve"> È il quadro che impedisce di confondere l'efficacia teorica con la riuscita effettiva, misurando se il servizio raggiunga davvero chi deve, e non solo se funzioni in condizioni ideali.</w:t>
      </w:r>
    </w:p>
    <w:p w14:paraId="712FA814" w14:textId="77777777" w:rsidR="007C4598" w:rsidRDefault="007C4598"/>
    <w:p w14:paraId="4C500213" w14:textId="77777777" w:rsidR="007C4598" w:rsidRDefault="00000000">
      <w:pPr>
        <w:jc w:val="both"/>
      </w:pPr>
      <w:r>
        <w:t>Al modello RE-AIM, che misura gli esiti dell'attuazione, si affianca il quadro consolidato per la ricerca sull'implementazione, che ne spiega i determinanti. Esso articola in cinque domini i fattori che facilitano o ostacolano l'attuazione: le caratteristiche dell'innovazione, il contesto esterno, il contesto interno, gli individui coinvolti e il processo di attuazione.</w:t>
      </w:r>
      <w:r>
        <w:rPr>
          <w:color w:val="555555"/>
          <w:sz w:val="16"/>
          <w:szCs w:val="16"/>
          <w:vertAlign w:val="superscript"/>
        </w:rPr>
        <w:t>[3]</w:t>
      </w:r>
      <w:r>
        <w:t xml:space="preserve"> L'utilità di questo quadro è di consentire l'individuazione ex ante delle barriere e dei facilitatori, e dunque la predisposizione di misure mirate prima che i problemi si manifestino. Lo studio segue perciò un insieme di determinanti di implementazione — il tasso di copertura, il grado di adozione delle sedi, la fedeltà al modello, i tempi di attivazione, il numero di psicologi reclutati e formati, la qualità della formazione e della supervisione, il grado di integrazione nei flussi di lavoro, l'aderenza ai percorsi e la scalabilità — che ne misurano l'avanzamento.</w:t>
      </w:r>
      <w:r>
        <w:rPr>
          <w:color w:val="555555"/>
          <w:sz w:val="16"/>
          <w:szCs w:val="16"/>
          <w:vertAlign w:val="superscript"/>
        </w:rPr>
        <w:t>[4]</w:t>
      </w:r>
      <w:r>
        <w:t xml:space="preserve"> La tabella seguente riepiloga i due quadri.</w:t>
      </w:r>
    </w:p>
    <w:p w14:paraId="346C61A7"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4513"/>
        <w:gridCol w:w="4513"/>
      </w:tblGrid>
      <w:tr w:rsidR="007C4598" w14:paraId="31BB6D4E" w14:textId="77777777">
        <w:tc>
          <w:tcPr>
            <w:tcW w:w="4513"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CEB19D6" w14:textId="77777777" w:rsidR="007C4598" w:rsidRDefault="00000000">
            <w:pPr>
              <w:spacing w:after="40"/>
            </w:pPr>
            <w:r>
              <w:rPr>
                <w:b/>
                <w:bCs/>
                <w:color w:val="FFFFFF"/>
                <w:sz w:val="18"/>
                <w:szCs w:val="18"/>
              </w:rPr>
              <w:t>Dimensione</w:t>
            </w:r>
          </w:p>
        </w:tc>
        <w:tc>
          <w:tcPr>
            <w:tcW w:w="4513"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24AFC3D" w14:textId="77777777" w:rsidR="007C4598" w:rsidRDefault="00000000">
            <w:pPr>
              <w:spacing w:after="40"/>
            </w:pPr>
            <w:r>
              <w:rPr>
                <w:b/>
                <w:bCs/>
                <w:color w:val="FFFFFF"/>
                <w:sz w:val="18"/>
                <w:szCs w:val="18"/>
              </w:rPr>
              <w:t>Che cosa misura o spiega</w:t>
            </w:r>
          </w:p>
        </w:tc>
      </w:tr>
      <w:tr w:rsidR="007C4598" w14:paraId="217AEFF1"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E5D0533" w14:textId="77777777" w:rsidR="007C4598" w:rsidRDefault="00000000">
            <w:pPr>
              <w:spacing w:after="40"/>
            </w:pPr>
            <w:r>
              <w:rPr>
                <w:b/>
                <w:bCs/>
              </w:rPr>
              <w:t>Portata (RE-AIM)</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19D7AC0" w14:textId="77777777" w:rsidR="007C4598" w:rsidRDefault="00000000">
            <w:pPr>
              <w:spacing w:after="40"/>
            </w:pPr>
            <w:r>
              <w:t>Quota della popolazione bersaglio raggiunta</w:t>
            </w:r>
          </w:p>
        </w:tc>
      </w:tr>
      <w:tr w:rsidR="007C4598" w14:paraId="75380716"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453C260" w14:textId="77777777" w:rsidR="007C4598" w:rsidRDefault="00000000">
            <w:pPr>
              <w:spacing w:after="40"/>
            </w:pPr>
            <w:r>
              <w:rPr>
                <w:b/>
                <w:bCs/>
              </w:rPr>
              <w:t>Efficacia (RE-AIM)</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C549DD7" w14:textId="77777777" w:rsidR="007C4598" w:rsidRDefault="00000000">
            <w:pPr>
              <w:spacing w:after="40"/>
            </w:pPr>
            <w:r>
              <w:t>Esiti clinici e di sistema effettivamente conseguiti</w:t>
            </w:r>
          </w:p>
        </w:tc>
      </w:tr>
      <w:tr w:rsidR="007C4598" w14:paraId="18CCAC78"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174C9DD" w14:textId="77777777" w:rsidR="007C4598" w:rsidRDefault="00000000">
            <w:pPr>
              <w:spacing w:after="40"/>
            </w:pPr>
            <w:r>
              <w:rPr>
                <w:b/>
                <w:bCs/>
              </w:rPr>
              <w:t>Adozione (RE-AIM)</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870C1ED" w14:textId="77777777" w:rsidR="007C4598" w:rsidRDefault="00000000">
            <w:pPr>
              <w:spacing w:after="40"/>
            </w:pPr>
            <w:r>
              <w:t>Adesione delle sedi e dei professionisti</w:t>
            </w:r>
          </w:p>
        </w:tc>
      </w:tr>
      <w:tr w:rsidR="007C4598" w14:paraId="006DEB7C"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F0130E9" w14:textId="77777777" w:rsidR="007C4598" w:rsidRDefault="00000000">
            <w:pPr>
              <w:spacing w:after="40"/>
            </w:pPr>
            <w:r>
              <w:rPr>
                <w:b/>
                <w:bCs/>
              </w:rPr>
              <w:t>Implementazione (RE-AIM)</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BBE591F" w14:textId="77777777" w:rsidR="007C4598" w:rsidRDefault="00000000">
            <w:pPr>
              <w:spacing w:after="40"/>
            </w:pPr>
            <w:r>
              <w:t>Fedeltà al modello e qualità dell'attuazione</w:t>
            </w:r>
          </w:p>
        </w:tc>
      </w:tr>
      <w:tr w:rsidR="007C4598" w14:paraId="22BCE4C4"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3EF92D8" w14:textId="77777777" w:rsidR="007C4598" w:rsidRDefault="00000000">
            <w:pPr>
              <w:spacing w:after="40"/>
            </w:pPr>
            <w:r>
              <w:rPr>
                <w:b/>
                <w:bCs/>
              </w:rPr>
              <w:t>Mantenimento (RE-AIM)</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8E1350B" w14:textId="77777777" w:rsidR="007C4598" w:rsidRDefault="00000000">
            <w:pPr>
              <w:spacing w:after="40"/>
            </w:pPr>
            <w:r>
              <w:t>Sostenibilità del servizio nel tempo</w:t>
            </w:r>
          </w:p>
        </w:tc>
      </w:tr>
      <w:tr w:rsidR="007C4598" w14:paraId="17799DF4"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3A0F571" w14:textId="77777777" w:rsidR="007C4598" w:rsidRDefault="00000000">
            <w:pPr>
              <w:spacing w:after="40"/>
            </w:pPr>
            <w:r>
              <w:rPr>
                <w:b/>
                <w:bCs/>
              </w:rPr>
              <w:t>Determinanti (quadro CFIR)</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0F4B969" w14:textId="77777777" w:rsidR="007C4598" w:rsidRDefault="00000000">
            <w:pPr>
              <w:spacing w:after="40"/>
            </w:pPr>
            <w:r>
              <w:t>Innovazione, contesto esterno e interno, individui, processo</w:t>
            </w:r>
          </w:p>
        </w:tc>
      </w:tr>
    </w:tbl>
    <w:p w14:paraId="2FAD64F2" w14:textId="77777777" w:rsidR="007C4598" w:rsidRDefault="007C4598"/>
    <w:p w14:paraId="2A066072" w14:textId="77777777" w:rsidR="007C4598" w:rsidRDefault="00000000">
      <w:pPr>
        <w:jc w:val="both"/>
      </w:pPr>
      <w:r>
        <w:rPr>
          <w:i/>
          <w:iCs/>
        </w:rPr>
        <w:t>Tabella I.1. I quadri della scienza dell'implementazione: RE-AIM per gli esiti, CFIR per i determinanti.</w:t>
      </w:r>
    </w:p>
    <w:p w14:paraId="51AEC8A9" w14:textId="77777777" w:rsidR="007C4598" w:rsidRDefault="007C4598"/>
    <w:p w14:paraId="3954CDAB" w14:textId="77777777" w:rsidR="007C4598" w:rsidRDefault="00000000">
      <w:pPr>
        <w:pStyle w:val="Titolo2"/>
        <w:spacing w:before="200" w:after="100"/>
      </w:pPr>
      <w:r>
        <w:rPr>
          <w:sz w:val="22"/>
          <w:szCs w:val="22"/>
        </w:rPr>
        <w:t>I.2 Il disegno del dispiegamento</w:t>
      </w:r>
    </w:p>
    <w:p w14:paraId="0562DD89" w14:textId="77777777" w:rsidR="007C4598" w:rsidRDefault="007C4598"/>
    <w:p w14:paraId="3CD97E07" w14:textId="77777777" w:rsidR="007C4598" w:rsidRDefault="00000000">
      <w:pPr>
        <w:jc w:val="both"/>
      </w:pPr>
      <w:r>
        <w:t>Il servizio non è attivato simultaneamente sull'intero territorio, ma secondo un disegno scaglionato: le sei aziende sanitarie locali passano in sequenza, per fasi semestrali, dalla condizione di controllo a quella di intervento, a partire dalle aziende di maggiore dimensione e prontezza organizzativa, sino a coprire l'intera regione. L'ordine di attivazione è definito dalla Giunta regionale sulla base di criteri trasparenti — prontezza organizzativa, entità del bisogno ed equilibrio territoriale — e reso noto preventivamente; la scansione è adattabile in funzione dell'avanzamento del reclutamento e della formazione, fermo restando il principio della progressione ordinata e documentata.</w:t>
      </w:r>
      <w:r>
        <w:rPr>
          <w:color w:val="555555"/>
          <w:sz w:val="16"/>
          <w:szCs w:val="16"/>
          <w:vertAlign w:val="superscript"/>
        </w:rPr>
        <w:t>[5]</w:t>
      </w:r>
      <w:r>
        <w:t xml:space="preserve"> Questo disegno ha una doppia funzione, ed è questa la sua peculiarità: risponde a un'esigenza organizzativa — attivare il servizio in modo graduale, compatibile con i tempi del reclutamento e della formazione — e al tempo stesso costituisce il fondamento della valutazione controfattuale d'impatto, poiché la successione configura un esperimento naturale, oggetto della Parte L.</w:t>
      </w:r>
      <w:r>
        <w:rPr>
          <w:color w:val="555555"/>
          <w:sz w:val="16"/>
          <w:szCs w:val="16"/>
          <w:vertAlign w:val="superscript"/>
        </w:rPr>
        <w:t>[6]</w:t>
      </w:r>
    </w:p>
    <w:p w14:paraId="7EC4A14A" w14:textId="77777777" w:rsidR="007C4598" w:rsidRDefault="007C4598"/>
    <w:p w14:paraId="586C906A" w14:textId="77777777" w:rsidR="007C4598" w:rsidRDefault="00000000">
      <w:pPr>
        <w:jc w:val="both"/>
      </w:pPr>
      <w:r>
        <w:t>Il reclutamento alimenta il dispiegamento. A fronte di un fabbisogno a regime di 800-900 psicologi, esso avviene tramite l'iscrizione a un elenco istituito presso ciascuna azienda e l'instaurazione di un rapporto convenzionale, con requisiti di iscrizione all'albo e di formazione specifica; in prima applicazione, e nelle more dell'attivazione dei percorsi formativi, possono accedere i professionisti con pregressa esperienza nell'assistenza psicologica nel Servizio sanitario regionale.</w:t>
      </w:r>
      <w:r>
        <w:rPr>
          <w:color w:val="555555"/>
          <w:sz w:val="16"/>
          <w:szCs w:val="16"/>
          <w:vertAlign w:val="superscript"/>
        </w:rPr>
        <w:t>[7]</w:t>
      </w:r>
      <w:r>
        <w:t xml:space="preserve"> Il cronoprogramma scandisce l'insieme: l'attivazione procede per sei fasi semestrali, con le attività di reclutamento, formazione, allestimento e avvio condotte in modo scaglionato, azienda per azienda, mentre il monitoraggio e la valutazione accompagnano l'intero arco e proseguono oltre il completamento.</w:t>
      </w:r>
      <w:r>
        <w:rPr>
          <w:color w:val="555555"/>
          <w:sz w:val="16"/>
          <w:szCs w:val="16"/>
          <w:vertAlign w:val="superscript"/>
        </w:rPr>
        <w:t>[8]</w:t>
      </w:r>
      <w:r>
        <w:t xml:space="preserve"> La riuscita del dispiegamento è sottoposta a criteri espliciti: tra i parametri che muterebbero le conclusioni figura un tasso di recupero inferiore al 50% nella fase di attuazione, a fronte del valore di riferimento del programma inglese, e il monitoraggio è chiamato a verificarne il raggiungimento sui dati pugliesi.</w:t>
      </w:r>
      <w:r>
        <w:rPr>
          <w:color w:val="555555"/>
          <w:sz w:val="16"/>
          <w:szCs w:val="16"/>
          <w:vertAlign w:val="superscript"/>
        </w:rPr>
        <w:t>[9]</w:t>
      </w:r>
      <w:r>
        <w:t xml:space="preserve"> La tabella seguente rappresenta le fasi del dispiegamento.</w:t>
      </w:r>
    </w:p>
    <w:p w14:paraId="57ED0800"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4513"/>
        <w:gridCol w:w="4513"/>
      </w:tblGrid>
      <w:tr w:rsidR="007C4598" w14:paraId="5984D594" w14:textId="77777777">
        <w:tc>
          <w:tcPr>
            <w:tcW w:w="4513"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3B58CB81" w14:textId="77777777" w:rsidR="007C4598" w:rsidRDefault="00000000">
            <w:pPr>
              <w:spacing w:after="40"/>
            </w:pPr>
            <w:r>
              <w:rPr>
                <w:b/>
                <w:bCs/>
                <w:color w:val="FFFFFF"/>
                <w:sz w:val="18"/>
                <w:szCs w:val="18"/>
              </w:rPr>
              <w:t>Fase del dispiegamento</w:t>
            </w:r>
          </w:p>
        </w:tc>
        <w:tc>
          <w:tcPr>
            <w:tcW w:w="4513"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883F618" w14:textId="77777777" w:rsidR="007C4598" w:rsidRDefault="00000000">
            <w:pPr>
              <w:spacing w:after="40"/>
            </w:pPr>
            <w:r>
              <w:rPr>
                <w:b/>
                <w:bCs/>
                <w:color w:val="FFFFFF"/>
                <w:sz w:val="18"/>
                <w:szCs w:val="18"/>
              </w:rPr>
              <w:t>Contenuto</w:t>
            </w:r>
          </w:p>
        </w:tc>
      </w:tr>
      <w:tr w:rsidR="007C4598" w14:paraId="4F8B03FA"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80266F5" w14:textId="77777777" w:rsidR="007C4598" w:rsidRDefault="00000000">
            <w:pPr>
              <w:spacing w:after="40"/>
            </w:pPr>
            <w:r>
              <w:rPr>
                <w:b/>
                <w:bCs/>
              </w:rPr>
              <w:t>Fase 1 (primo semestre)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F3496D3" w14:textId="77777777" w:rsidR="007C4598" w:rsidRDefault="00000000">
            <w:pPr>
              <w:spacing w:after="40"/>
            </w:pPr>
            <w:r>
              <w:t>Avvio nelle aziende di maggiore dimensione e prontezza; reclutamento e formazione iniziali</w:t>
            </w:r>
          </w:p>
        </w:tc>
      </w:tr>
      <w:tr w:rsidR="007C4598" w14:paraId="463F4A73"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3247A3E" w14:textId="77777777" w:rsidR="007C4598" w:rsidRDefault="00000000">
            <w:pPr>
              <w:spacing w:after="40"/>
            </w:pPr>
            <w:r>
              <w:rPr>
                <w:b/>
                <w:bCs/>
              </w:rPr>
              <w:t>Fasi 2-5 (semestri successivi)</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9726FFE" w14:textId="77777777" w:rsidR="007C4598" w:rsidRDefault="00000000">
            <w:pPr>
              <w:spacing w:after="40"/>
            </w:pPr>
            <w:r>
              <w:t>Estensione progressiva alle altre aziende; attivazione scaglionata secondo l'ordine definito</w:t>
            </w:r>
          </w:p>
        </w:tc>
      </w:tr>
      <w:tr w:rsidR="007C4598" w14:paraId="231ED943"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517FC31" w14:textId="77777777" w:rsidR="007C4598" w:rsidRDefault="00000000">
            <w:pPr>
              <w:spacing w:after="40"/>
            </w:pPr>
            <w:r>
              <w:rPr>
                <w:b/>
                <w:bCs/>
              </w:rPr>
              <w:t>Fase 6 (completamento)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432922F" w14:textId="77777777" w:rsidR="007C4598" w:rsidRDefault="00000000">
            <w:pPr>
              <w:spacing w:after="40"/>
            </w:pPr>
            <w:r>
              <w:t>Copertura dell'intero territorio regionale</w:t>
            </w:r>
          </w:p>
        </w:tc>
      </w:tr>
      <w:tr w:rsidR="007C4598" w14:paraId="5A262B92"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1819E0D" w14:textId="77777777" w:rsidR="007C4598" w:rsidRDefault="00000000">
            <w:pPr>
              <w:spacing w:after="40"/>
            </w:pPr>
            <w:r>
              <w:rPr>
                <w:b/>
                <w:bCs/>
              </w:rPr>
              <w:t>Attività trasversale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4995A34" w14:textId="77777777" w:rsidR="007C4598" w:rsidRDefault="00000000">
            <w:pPr>
              <w:spacing w:after="40"/>
            </w:pPr>
            <w:r>
              <w:t>Monitoraggio e valutazione, che proseguono oltre il completamento del dispiegamento</w:t>
            </w:r>
          </w:p>
        </w:tc>
      </w:tr>
    </w:tbl>
    <w:p w14:paraId="0562601A" w14:textId="77777777" w:rsidR="007C4598" w:rsidRDefault="007C4598"/>
    <w:p w14:paraId="2A0D73AE" w14:textId="77777777" w:rsidR="007C4598" w:rsidRDefault="00000000">
      <w:pPr>
        <w:jc w:val="both"/>
      </w:pPr>
      <w:r>
        <w:rPr>
          <w:i/>
          <w:iCs/>
        </w:rPr>
        <w:t>Tabella I.2. Le fasi del dispiegamento scaglionato del servizio.</w:t>
      </w:r>
    </w:p>
    <w:p w14:paraId="611B9075" w14:textId="77777777" w:rsidR="007C4598" w:rsidRDefault="007C4598"/>
    <w:p w14:paraId="7981C5D2" w14:textId="77777777" w:rsidR="007C4598" w:rsidRDefault="00000000">
      <w:pPr>
        <w:pStyle w:val="Titolo2"/>
        <w:spacing w:before="200" w:after="100"/>
      </w:pPr>
      <w:r>
        <w:rPr>
          <w:sz w:val="22"/>
          <w:szCs w:val="22"/>
        </w:rPr>
        <w:t>I.3 Il caso commerciale: il modello contrattuale e la tariffa</w:t>
      </w:r>
    </w:p>
    <w:p w14:paraId="028F0A05" w14:textId="77777777" w:rsidR="007C4598" w:rsidRDefault="007C4598"/>
    <w:p w14:paraId="4480178A" w14:textId="77777777" w:rsidR="007C4598" w:rsidRDefault="00000000">
      <w:pPr>
        <w:jc w:val="both"/>
      </w:pPr>
      <w:r>
        <w:t xml:space="preserve">Il caso commerciale del </w:t>
      </w:r>
      <w:proofErr w:type="spellStart"/>
      <w:r>
        <w:t>Five</w:t>
      </w:r>
      <w:proofErr w:type="spellEnd"/>
      <w:r>
        <w:t xml:space="preserve"> Case Model dimostra la fattibilità dell'assetto attraverso cui il servizio è erogato. L'assetto prescelto è il rapporto convenzionale, ancorato all'accordo della specialistica ambulatoriale, che disciplina i compensi orari dei psicologi convenzionati e fornisce perciò il riferimento contrattuale del modello di costo.</w:t>
      </w:r>
      <w:r>
        <w:rPr>
          <w:color w:val="555555"/>
          <w:sz w:val="16"/>
          <w:szCs w:val="16"/>
          <w:vertAlign w:val="superscript"/>
        </w:rPr>
        <w:t>[10]</w:t>
      </w:r>
      <w:r>
        <w:t xml:space="preserve"> Su questa base, il costo medio per incarico a tempo pieno è dell'ordine di 55.000 euro l'anno — circa 40 euro l'ora di costo-azienda, comprensivo degli oneri, per circa 1.250 ore, più circa 5.000 euro di costi generali — da cui discendono gli scenari di spesa già esposti nella Parte E, di 25, 38 e 50 milioni di euro l'anno secondo la copertura, fino a 60-75 milioni nell'ipotesi di costi pieni.</w:t>
      </w:r>
    </w:p>
    <w:p w14:paraId="0113EC0B" w14:textId="77777777" w:rsidR="007C4598" w:rsidRDefault="007C4598"/>
    <w:p w14:paraId="7453237B" w14:textId="77777777" w:rsidR="007C4598" w:rsidRDefault="00000000">
      <w:pPr>
        <w:jc w:val="both"/>
      </w:pPr>
      <w:r>
        <w:t>La fattibilità dell'assetto non è teorica, ma comprovata dall'esperienza: il modello dell'elenco aziendale e del rapporto convenzionale è già adottato da altre Regioni, e si innesta su strumenti contrattuali esistenti senza richiedere la creazione di nuove figure o di nuovi istituti. Ciò ne riduce la complessità attuativa e i tempi, poiché il reclutamento avviene attraverso procedure note alle aziende sanitarie. Il caso commerciale conferma, in sintesi, che l'assetto contrattuale è praticabile con gli strumenti ordinari del Servizio sanitario regionale, e che il costo per incarico — fondamento dell'intera quantificazione economica — è ancorato a un riferimento contrattuale vigente e non a un'ipotesi.</w:t>
      </w:r>
    </w:p>
    <w:p w14:paraId="34851C72" w14:textId="77777777" w:rsidR="007C4598" w:rsidRDefault="007C4598"/>
    <w:p w14:paraId="71A122E5" w14:textId="77777777" w:rsidR="007C4598" w:rsidRDefault="00000000">
      <w:pPr>
        <w:pStyle w:val="Titolo2"/>
        <w:spacing w:before="200" w:after="100"/>
      </w:pPr>
      <w:r>
        <w:rPr>
          <w:sz w:val="22"/>
          <w:szCs w:val="22"/>
        </w:rPr>
        <w:t xml:space="preserve">I.4 Il caso gestionale: la </w:t>
      </w:r>
      <w:proofErr w:type="spellStart"/>
      <w:r>
        <w:rPr>
          <w:sz w:val="22"/>
          <w:szCs w:val="22"/>
        </w:rPr>
        <w:t>governance</w:t>
      </w:r>
      <w:proofErr w:type="spellEnd"/>
      <w:r>
        <w:rPr>
          <w:sz w:val="22"/>
          <w:szCs w:val="22"/>
        </w:rPr>
        <w:t xml:space="preserve"> e i rischi</w:t>
      </w:r>
    </w:p>
    <w:p w14:paraId="4DC49118" w14:textId="77777777" w:rsidR="007C4598" w:rsidRDefault="007C4598"/>
    <w:p w14:paraId="08FF20C3" w14:textId="77777777" w:rsidR="007C4598" w:rsidRDefault="00000000">
      <w:pPr>
        <w:jc w:val="both"/>
      </w:pPr>
      <w:r>
        <w:t xml:space="preserve">Il caso gestionale dimostra che l'attuazione è governabile. La </w:t>
      </w:r>
      <w:proofErr w:type="spellStart"/>
      <w:r>
        <w:t>governance</w:t>
      </w:r>
      <w:proofErr w:type="spellEnd"/>
      <w:r>
        <w:t xml:space="preserve"> è organizzata su due livelli. A livello regionale, l'Osservatorio regionale per la psicologia di base, previsto dall'articolo 9 della proposta di legge, esercita le funzioni di indirizzo, programmazione, monitoraggio e controllo: definisce i criteri e l'ordine del dispiegamento, sovrintende ai programmi formativi e assicura l'uniformità del modello sul territorio, riunendo la Regione, le aziende sanitarie, l'Ordine degli Psicologi della Puglia, la medicina generale, la pediatria di libera scelta e gli esperti.</w:t>
      </w:r>
      <w:r>
        <w:rPr>
          <w:color w:val="555555"/>
          <w:sz w:val="16"/>
          <w:szCs w:val="16"/>
          <w:vertAlign w:val="superscript"/>
        </w:rPr>
        <w:t>[11]</w:t>
      </w:r>
      <w:r>
        <w:t xml:space="preserve"> A livello aziendale, ciascuna azienda è responsabile dell'attuazione nel proprio ambito — il reclutamento, l'individuazione delle sedi, l'allestimento, l'avvio e l'alimentazione del sistema informativo — nei tempi della fase che la riguarda. Il raccordo tra i due livelli assicura la coerenza tra l'indirizzo regionale e l'attuazione territoriale.</w:t>
      </w:r>
    </w:p>
    <w:p w14:paraId="3E98808D" w14:textId="77777777" w:rsidR="007C4598" w:rsidRDefault="007C4598"/>
    <w:p w14:paraId="7B888566" w14:textId="77777777" w:rsidR="007C4598" w:rsidRDefault="00000000">
      <w:pPr>
        <w:jc w:val="both"/>
      </w:pPr>
      <w:r>
        <w:t>La gestione dei rischi attuativi è parte integrante del caso gestionale. Lo studio individua i rischi principali — un reclutamento insufficiente di psicologi formati, una debole adesione della medicina generale, un'interoperabilità incompleta dei sistemi informativi, una disomogeneità territoriale nell'attuazione e il venir meno delle coperture — e vi associa misure di mitigazione dedicate.</w:t>
      </w:r>
      <w:r>
        <w:rPr>
          <w:color w:val="555555"/>
          <w:sz w:val="16"/>
          <w:szCs w:val="16"/>
          <w:vertAlign w:val="superscript"/>
        </w:rPr>
        <w:t>[12]</w:t>
      </w:r>
      <w:r>
        <w:t xml:space="preserve"> Vi è, peraltro, una circostanza che rende la mitigazione strutturale anziché affidata a singole misure: il dispiegamento graduale è esso stesso la principale forma di mitigazione, poiché consente di osservare l'attuazione nelle prime aziende, di correggere il modello e di adattare i tempi prima dell'estensione alle aziende successive. Il rischio, in altri termini, è contenuto non solo da rimedi specifici, ma dalla stessa architettura progressiva dell'attuazione. La tabella seguente riepiloga i rischi e le misure.</w:t>
      </w:r>
    </w:p>
    <w:p w14:paraId="3F7294A3"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3115B3E8"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9BD1159" w14:textId="77777777" w:rsidR="007C4598" w:rsidRDefault="00000000">
            <w:pPr>
              <w:spacing w:after="40"/>
            </w:pPr>
            <w:r>
              <w:rPr>
                <w:b/>
                <w:bCs/>
                <w:color w:val="FFFFFF"/>
                <w:sz w:val="18"/>
                <w:szCs w:val="18"/>
              </w:rPr>
              <w:t>Rischio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54F5EE5" w14:textId="77777777" w:rsidR="007C4598" w:rsidRDefault="00000000">
            <w:pPr>
              <w:spacing w:after="40"/>
            </w:pPr>
            <w:r>
              <w:rPr>
                <w:b/>
                <w:bCs/>
                <w:color w:val="FFFFFF"/>
                <w:sz w:val="18"/>
                <w:szCs w:val="18"/>
              </w:rPr>
              <w:t>Natura</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0F84FAE" w14:textId="77777777" w:rsidR="007C4598" w:rsidRDefault="00000000">
            <w:pPr>
              <w:spacing w:after="40"/>
            </w:pPr>
            <w:r>
              <w:rPr>
                <w:b/>
                <w:bCs/>
                <w:color w:val="FFFFFF"/>
                <w:sz w:val="18"/>
                <w:szCs w:val="18"/>
              </w:rPr>
              <w:t>Misura di mitigazione</w:t>
            </w:r>
          </w:p>
        </w:tc>
      </w:tr>
      <w:tr w:rsidR="007C4598" w14:paraId="03002519"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8A3A220" w14:textId="77777777" w:rsidR="007C4598" w:rsidRDefault="00000000">
            <w:pPr>
              <w:spacing w:after="40"/>
            </w:pPr>
            <w:r>
              <w:rPr>
                <w:b/>
                <w:bCs/>
              </w:rPr>
              <w:t>Reclutamento insufficiente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88F6D1C" w14:textId="77777777" w:rsidR="007C4598" w:rsidRDefault="00000000">
            <w:pPr>
              <w:spacing w:after="40"/>
            </w:pPr>
            <w:r>
              <w:t>Carenza di psicologi formati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1598997" w14:textId="77777777" w:rsidR="007C4598" w:rsidRDefault="00000000">
            <w:pPr>
              <w:spacing w:after="40"/>
            </w:pPr>
            <w:r>
              <w:t>Dispiegamento graduale; formazione anticipata e scaglionata</w:t>
            </w:r>
          </w:p>
        </w:tc>
      </w:tr>
      <w:tr w:rsidR="007C4598" w14:paraId="7ED0BD51"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79BEF3F" w14:textId="77777777" w:rsidR="007C4598" w:rsidRDefault="00000000">
            <w:pPr>
              <w:spacing w:after="40"/>
            </w:pPr>
            <w:r>
              <w:rPr>
                <w:b/>
                <w:bCs/>
              </w:rPr>
              <w:t>Adesione della medicina generale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4362272" w14:textId="77777777" w:rsidR="007C4598" w:rsidRDefault="00000000">
            <w:pPr>
              <w:spacing w:after="40"/>
            </w:pPr>
            <w:r>
              <w:t>Integrazione debole nel percorso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BD46919" w14:textId="77777777" w:rsidR="007C4598" w:rsidRDefault="00000000">
            <w:pPr>
              <w:spacing w:after="40"/>
            </w:pPr>
            <w:r>
              <w:t xml:space="preserve">Protocolli di invio; formazione congiunta; </w:t>
            </w:r>
            <w:proofErr w:type="spellStart"/>
            <w:r>
              <w:t>governance</w:t>
            </w:r>
            <w:proofErr w:type="spellEnd"/>
            <w:r>
              <w:t xml:space="preserve"> condivisa</w:t>
            </w:r>
          </w:p>
        </w:tc>
      </w:tr>
      <w:tr w:rsidR="007C4598" w14:paraId="43A2956B"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8FBD971" w14:textId="77777777" w:rsidR="007C4598" w:rsidRDefault="00000000">
            <w:pPr>
              <w:spacing w:after="40"/>
            </w:pPr>
            <w:r>
              <w:rPr>
                <w:b/>
                <w:bCs/>
              </w:rPr>
              <w:t>Sistemi informativi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0D1980B" w14:textId="77777777" w:rsidR="007C4598" w:rsidRDefault="00000000">
            <w:pPr>
              <w:spacing w:after="40"/>
            </w:pPr>
            <w:r>
              <w:t>Interoperabilità incompleta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3C2CF96" w14:textId="77777777" w:rsidR="007C4598" w:rsidRDefault="00000000">
            <w:pPr>
              <w:spacing w:after="40"/>
            </w:pPr>
            <w:r>
              <w:t>Standard nazionali; cartella dedicata; Fascicolo Sanitario Elettronico</w:t>
            </w:r>
          </w:p>
        </w:tc>
      </w:tr>
      <w:tr w:rsidR="007C4598" w14:paraId="27B62777"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F4B013D" w14:textId="77777777" w:rsidR="007C4598" w:rsidRDefault="00000000">
            <w:pPr>
              <w:spacing w:after="40"/>
            </w:pPr>
            <w:r>
              <w:rPr>
                <w:b/>
                <w:bCs/>
              </w:rPr>
              <w:t>Disomogeneità territoriale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B7B530F" w14:textId="77777777" w:rsidR="007C4598" w:rsidRDefault="00000000">
            <w:pPr>
              <w:spacing w:after="40"/>
            </w:pPr>
            <w:r>
              <w:t>Divari nell'attuazione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52E2E62" w14:textId="77777777" w:rsidR="007C4598" w:rsidRDefault="00000000">
            <w:pPr>
              <w:spacing w:after="40"/>
            </w:pPr>
            <w:r>
              <w:t>Algoritmo allocativo; indirizzo e uniformità dell'Osservatorio</w:t>
            </w:r>
          </w:p>
        </w:tc>
      </w:tr>
      <w:tr w:rsidR="007C4598" w14:paraId="55375ADF"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214CD1C" w14:textId="77777777" w:rsidR="007C4598" w:rsidRDefault="00000000">
            <w:pPr>
              <w:spacing w:after="40"/>
            </w:pPr>
            <w:r>
              <w:rPr>
                <w:b/>
                <w:bCs/>
              </w:rPr>
              <w:t>Sostenibilità finanziaria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30D6C96" w14:textId="77777777" w:rsidR="007C4598" w:rsidRDefault="00000000">
            <w:pPr>
              <w:spacing w:after="40"/>
            </w:pPr>
            <w:r>
              <w:t>Venir meno delle coperture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50B7FEB" w14:textId="77777777" w:rsidR="007C4598" w:rsidRDefault="00000000">
            <w:pPr>
              <w:spacing w:after="40"/>
            </w:pPr>
            <w:r>
              <w:t>Finanziamento strutturale; riutilizzo dei risparmi diretti</w:t>
            </w:r>
          </w:p>
        </w:tc>
      </w:tr>
    </w:tbl>
    <w:p w14:paraId="47A60AA2" w14:textId="77777777" w:rsidR="007C4598" w:rsidRDefault="007C4598"/>
    <w:p w14:paraId="47F2B8BA" w14:textId="77777777" w:rsidR="007C4598" w:rsidRDefault="00000000">
      <w:pPr>
        <w:jc w:val="both"/>
      </w:pPr>
      <w:r>
        <w:rPr>
          <w:i/>
          <w:iCs/>
        </w:rPr>
        <w:t>Tabella I.3. Il registro dei rischi attuativi e le misure di mitigazione.</w:t>
      </w:r>
    </w:p>
    <w:p w14:paraId="45A5832C" w14:textId="77777777" w:rsidR="007C4598" w:rsidRDefault="007C4598"/>
    <w:p w14:paraId="79A61363" w14:textId="77777777" w:rsidR="007C4598" w:rsidRDefault="00000000">
      <w:pPr>
        <w:pStyle w:val="Titolo2"/>
        <w:spacing w:before="200" w:after="100"/>
      </w:pPr>
      <w:r>
        <w:rPr>
          <w:sz w:val="22"/>
          <w:szCs w:val="22"/>
        </w:rPr>
        <w:t>I.5 La sostenibilità finanziaria</w:t>
      </w:r>
    </w:p>
    <w:p w14:paraId="7342A616" w14:textId="77777777" w:rsidR="007C4598" w:rsidRDefault="007C4598"/>
    <w:p w14:paraId="5EEA9433" w14:textId="77777777" w:rsidR="007C4598" w:rsidRDefault="00000000">
      <w:pPr>
        <w:jc w:val="both"/>
      </w:pPr>
      <w:r>
        <w:t>Il caso finanziario, già affrontato nella Parte E sul versante del saldo, è qui completato sul versante delle coperture. Le fonti di finanziamento del servizio sono molteplici e tra loro complementari: il finanziamento ordinario del Servizio sanitario regionale, quale fonte principale a regime; la Missione 6 del Piano Nazionale di Ripresa e Resilienza, per l'infrastruttura territoriale e digitale nella fase di avvio; i fondi nazionali in materia di salute mentale; il riutilizzo, a regime, di una quota dei risparmi diretti che il servizio stesso genera; e accordi intersettoriali con i settori del welfare, dell'invalidità e della produttività, sui quali ricadono parte dei benefici.</w:t>
      </w:r>
      <w:r>
        <w:rPr>
          <w:color w:val="555555"/>
          <w:sz w:val="16"/>
          <w:szCs w:val="16"/>
          <w:vertAlign w:val="superscript"/>
        </w:rPr>
        <w:t>[13]</w:t>
      </w:r>
      <w:r>
        <w:t xml:space="preserve"> La molteplicità delle fonti è essa stessa un presidio di sostenibilità, poiché riduce la dipendenza da un'unica linea di finanziamento.</w:t>
      </w:r>
    </w:p>
    <w:p w14:paraId="68444C41" w14:textId="77777777" w:rsidR="007C4598" w:rsidRDefault="007C4598"/>
    <w:p w14:paraId="1F2E50C0" w14:textId="77777777" w:rsidR="007C4598" w:rsidRDefault="00000000">
      <w:pPr>
        <w:jc w:val="both"/>
      </w:pPr>
      <w:r>
        <w:t>Il quadro va letto alla luce dei vincoli di bilancio già esposti. A fronte di un finanziamento di circa 8,8 miliardi di euro e di un disavanzo di circa 350 milioni, in regime di piano di rientro, il costo del servizio — da 25 a 50 milioni — ne costituisce una frazione modesta, in larga parte compensata dai risparmi diretti, con pareggio finanziario atteso tra il terzo e il quinto anno.</w:t>
      </w:r>
      <w:r>
        <w:rPr>
          <w:color w:val="555555"/>
          <w:sz w:val="16"/>
          <w:szCs w:val="16"/>
          <w:vertAlign w:val="superscript"/>
        </w:rPr>
        <w:t>[14]</w:t>
      </w:r>
      <w:r>
        <w:t xml:space="preserve"> La sostenibilità nel tempo, che è il criterio conclusivo della griglia di valutazione, è assicurata da tre fattori convergenti: la modestia del costo rispetto al bilancio, la sua larga compensazione mediante i risparmi diretti, e l'allineamento — garantito dal dispiegamento graduale — tra la spesa e la capacità di reclutamento e formazione; resta inteso che la sostenibilità di lungo periodo richiede un finanziamento strutturale, e non straordinario, quale la riconduzione del servizio tra le prestazioni ordinariamente garantite.</w:t>
      </w:r>
      <w:r>
        <w:rPr>
          <w:color w:val="555555"/>
          <w:sz w:val="16"/>
          <w:szCs w:val="16"/>
          <w:vertAlign w:val="superscript"/>
        </w:rPr>
        <w:t>[15]</w:t>
      </w:r>
      <w:r>
        <w:t xml:space="preserve"> La tabella seguente riepiloga le fonti di copertura.</w:t>
      </w:r>
    </w:p>
    <w:p w14:paraId="4EDCA83F"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29F30EBE"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022F5235" w14:textId="77777777" w:rsidR="007C4598" w:rsidRDefault="00000000">
            <w:pPr>
              <w:spacing w:after="40"/>
            </w:pPr>
            <w:r>
              <w:rPr>
                <w:b/>
                <w:bCs/>
                <w:color w:val="FFFFFF"/>
                <w:sz w:val="18"/>
                <w:szCs w:val="18"/>
              </w:rPr>
              <w:t>Fonte di copertura</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C715C25" w14:textId="77777777" w:rsidR="007C4598" w:rsidRDefault="00000000">
            <w:pPr>
              <w:spacing w:after="40"/>
            </w:pPr>
            <w:r>
              <w:rPr>
                <w:b/>
                <w:bCs/>
                <w:color w:val="FFFFFF"/>
                <w:sz w:val="18"/>
                <w:szCs w:val="18"/>
              </w:rPr>
              <w:t>Oggetto</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53E8EDAE" w14:textId="77777777" w:rsidR="007C4598" w:rsidRDefault="00000000">
            <w:pPr>
              <w:spacing w:after="40"/>
            </w:pPr>
            <w:r>
              <w:rPr>
                <w:b/>
                <w:bCs/>
                <w:color w:val="FFFFFF"/>
                <w:sz w:val="18"/>
                <w:szCs w:val="18"/>
              </w:rPr>
              <w:t>Fase</w:t>
            </w:r>
          </w:p>
        </w:tc>
      </w:tr>
      <w:tr w:rsidR="007C4598" w14:paraId="282FF110"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C896364" w14:textId="77777777" w:rsidR="007C4598" w:rsidRDefault="00000000">
            <w:pPr>
              <w:spacing w:after="40"/>
            </w:pPr>
            <w:r>
              <w:rPr>
                <w:b/>
                <w:bCs/>
              </w:rPr>
              <w:t>Finanziamento del Servizio sanitario regionale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DB6E165" w14:textId="77777777" w:rsidR="007C4598" w:rsidRDefault="00000000">
            <w:pPr>
              <w:spacing w:after="40"/>
            </w:pPr>
            <w:r>
              <w:t>Quota ordinaria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BF1D974" w14:textId="77777777" w:rsidR="007C4598" w:rsidRDefault="00000000">
            <w:pPr>
              <w:spacing w:after="40"/>
            </w:pPr>
            <w:r>
              <w:t>Fonte principale a regime</w:t>
            </w:r>
          </w:p>
        </w:tc>
      </w:tr>
      <w:tr w:rsidR="007C4598" w14:paraId="63A0C56C"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23FB5F3" w14:textId="77777777" w:rsidR="007C4598" w:rsidRDefault="00000000">
            <w:pPr>
              <w:spacing w:after="40"/>
            </w:pPr>
            <w:r>
              <w:rPr>
                <w:b/>
                <w:bCs/>
              </w:rPr>
              <w:t>PNRR, Missione 6</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133FB86" w14:textId="77777777" w:rsidR="007C4598" w:rsidRDefault="00000000">
            <w:pPr>
              <w:spacing w:after="40"/>
            </w:pPr>
            <w:r>
              <w:t>Infrastruttura territoriale e digitale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245321F" w14:textId="77777777" w:rsidR="007C4598" w:rsidRDefault="00000000">
            <w:pPr>
              <w:spacing w:after="40"/>
            </w:pPr>
            <w:r>
              <w:t>Fase di avvio</w:t>
            </w:r>
          </w:p>
        </w:tc>
      </w:tr>
      <w:tr w:rsidR="007C4598" w14:paraId="0792249C"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9C2AB4F" w14:textId="77777777" w:rsidR="007C4598" w:rsidRDefault="00000000">
            <w:pPr>
              <w:spacing w:after="40"/>
            </w:pPr>
            <w:r>
              <w:rPr>
                <w:b/>
                <w:bCs/>
              </w:rPr>
              <w:t>Fondi nazionali per la salute mentale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C32BED5" w14:textId="77777777" w:rsidR="007C4598" w:rsidRDefault="00000000">
            <w:pPr>
              <w:spacing w:after="40"/>
            </w:pPr>
            <w:r>
              <w:t>Indirizzi nazionali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1CFAFA5" w14:textId="77777777" w:rsidR="007C4598" w:rsidRDefault="00000000">
            <w:pPr>
              <w:spacing w:after="40"/>
            </w:pPr>
            <w:r>
              <w:t>Integrazione</w:t>
            </w:r>
          </w:p>
        </w:tc>
      </w:tr>
      <w:tr w:rsidR="007C4598" w14:paraId="59080A47"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C933C15" w14:textId="77777777" w:rsidR="007C4598" w:rsidRDefault="00000000">
            <w:pPr>
              <w:spacing w:after="40"/>
            </w:pPr>
            <w:r>
              <w:rPr>
                <w:b/>
                <w:bCs/>
              </w:rPr>
              <w:t>Riutilizzo dei risparmi diretti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774A914" w14:textId="77777777" w:rsidR="007C4598" w:rsidRDefault="00000000">
            <w:pPr>
              <w:spacing w:after="40"/>
            </w:pPr>
            <w:r>
              <w:t>Quota dei risparmi generati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18727A1" w14:textId="77777777" w:rsidR="007C4598" w:rsidRDefault="00000000">
            <w:pPr>
              <w:spacing w:after="40"/>
            </w:pPr>
            <w:r>
              <w:t>A regime</w:t>
            </w:r>
          </w:p>
        </w:tc>
      </w:tr>
      <w:tr w:rsidR="007C4598" w14:paraId="72AFE011"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47F27E0" w14:textId="77777777" w:rsidR="007C4598" w:rsidRDefault="00000000">
            <w:pPr>
              <w:spacing w:after="40"/>
            </w:pPr>
            <w:r>
              <w:rPr>
                <w:b/>
                <w:bCs/>
              </w:rPr>
              <w:t>Accordi intersettoriali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D298D4C" w14:textId="77777777" w:rsidR="007C4598" w:rsidRDefault="00000000">
            <w:pPr>
              <w:spacing w:after="40"/>
            </w:pPr>
            <w:r>
              <w:t>Welfare, invalidità, produttività</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E1E7D0A" w14:textId="77777777" w:rsidR="007C4598" w:rsidRDefault="00000000">
            <w:pPr>
              <w:spacing w:after="40"/>
            </w:pPr>
            <w:r>
              <w:t>Ricadute condivise</w:t>
            </w:r>
          </w:p>
        </w:tc>
      </w:tr>
    </w:tbl>
    <w:p w14:paraId="6033DA8B" w14:textId="77777777" w:rsidR="007C4598" w:rsidRDefault="007C4598"/>
    <w:p w14:paraId="4053F5C4" w14:textId="77777777" w:rsidR="007C4598" w:rsidRDefault="00000000">
      <w:pPr>
        <w:jc w:val="both"/>
      </w:pPr>
      <w:r>
        <w:rPr>
          <w:i/>
          <w:iCs/>
        </w:rPr>
        <w:t>Tabella I.4. Le fonti di copertura del servizio.</w:t>
      </w:r>
    </w:p>
    <w:p w14:paraId="70082FED" w14:textId="77777777" w:rsidR="007C4598" w:rsidRDefault="007C4598"/>
    <w:p w14:paraId="05237B21" w14:textId="77777777" w:rsidR="007C4598" w:rsidRDefault="00000000">
      <w:pPr>
        <w:jc w:val="both"/>
      </w:pPr>
      <w:r>
        <w:t>Una notazione di cautela metodologica chiude la parte e ne salda la franchezza al resto dello studio. I risultati italiani disponibili provengono in parte da letteratura grigia e da campioni limitati, e i benchmark esteri richiedono cautela di trasferibilità; e la stessa sintesi del ritorno «quattro a uno» dell'Organizzazione mondiale della sanità è una semplificazione, poiché la fonte riporta intervalli dell'ordine di 2,3-3,0 a uno per i soli benefici economici e di 3,3-5,7 a uno includendo i ritorni di salute — intervalli che, lungi dal contraddire il rapporto consolidato adottato dallo studio (3,6-5 a uno), lo confermano.</w:t>
      </w:r>
      <w:r>
        <w:rPr>
          <w:color w:val="555555"/>
          <w:sz w:val="16"/>
          <w:szCs w:val="16"/>
          <w:vertAlign w:val="superscript"/>
        </w:rPr>
        <w:t>[16]</w:t>
      </w:r>
      <w:r>
        <w:t xml:space="preserve"> Accertata l'attuabilità, la fattibilità e la sostenibilità dell'intervento, le parti conclusive ne organizzano la misurazione nel tempo (Parte L) e la sintesi valutativa (Parte M).</w:t>
      </w:r>
    </w:p>
    <w:p w14:paraId="3D376759" w14:textId="77777777" w:rsidR="007C4598" w:rsidRDefault="007C4598"/>
    <w:p w14:paraId="11848A51" w14:textId="77777777" w:rsidR="007C4598" w:rsidRDefault="00000000">
      <w:pPr>
        <w:jc w:val="both"/>
      </w:pPr>
      <w:r>
        <w:rPr>
          <w:color w:val="555555"/>
          <w:sz w:val="16"/>
          <w:szCs w:val="16"/>
          <w:vertAlign w:val="superscript"/>
        </w:rPr>
        <w:t>[1]</w:t>
      </w:r>
      <w:r>
        <w:t xml:space="preserve">: Questa parte copre il settimo dominio del modello HTA, il profilo organizzativo, e fornisce il contenuto del caso commerciale e del caso gestionale del </w:t>
      </w:r>
      <w:proofErr w:type="spellStart"/>
      <w:r>
        <w:t>Five</w:t>
      </w:r>
      <w:proofErr w:type="spellEnd"/>
      <w:r>
        <w:t xml:space="preserve"> Case Model, rispondendo al criterio di sostenibilità; risponde alla domanda se l'intervento, accertato valido, possa essere effettivamente attuato, reso finanziariamente sostenibile e mantenuto nel tempo.</w:t>
      </w:r>
    </w:p>
    <w:p w14:paraId="24BAF5C2" w14:textId="77777777" w:rsidR="007C4598" w:rsidRDefault="00000000">
      <w:pPr>
        <w:jc w:val="both"/>
      </w:pPr>
      <w:r>
        <w:rPr>
          <w:color w:val="555555"/>
          <w:sz w:val="16"/>
          <w:szCs w:val="16"/>
          <w:vertAlign w:val="superscript"/>
        </w:rPr>
        <w:t>[2]</w:t>
      </w:r>
      <w:r>
        <w:t>: Modello RE-AIM: misura la riuscita e la validità esterna dell'attuazione lungo cinque dimensioni — la portata (quota della popolazione bersaglio raggiunta), l'efficacia (gli esiti effettivi), l'adozione (l'adesione delle sedi e dei professionisti), l'implementazione (la fedeltà al modello e la qualità dell'attuazione) e il mantenimento (la sostenibilità nel tempo).</w:t>
      </w:r>
    </w:p>
    <w:p w14:paraId="3372CD06" w14:textId="77777777" w:rsidR="007C4598" w:rsidRDefault="00000000">
      <w:pPr>
        <w:jc w:val="both"/>
      </w:pPr>
      <w:r>
        <w:rPr>
          <w:color w:val="555555"/>
          <w:sz w:val="16"/>
          <w:szCs w:val="16"/>
          <w:vertAlign w:val="superscript"/>
        </w:rPr>
        <w:t>[3]</w:t>
      </w:r>
      <w:r>
        <w:t>: Quadro consolidato per la ricerca sull'implementazione (CFIR): spiega i determinanti dell'attuazione, articolati in cinque domini — le caratteristiche dell'innovazione, il contesto esterno, il contesto interno, gli individui coinvolti e il processo di attuazione — e consente di individuare ex ante le barriere e i facilitatori.</w:t>
      </w:r>
    </w:p>
    <w:p w14:paraId="563025D6" w14:textId="77777777" w:rsidR="007C4598" w:rsidRDefault="00000000">
      <w:pPr>
        <w:jc w:val="both"/>
      </w:pPr>
      <w:r>
        <w:rPr>
          <w:color w:val="555555"/>
          <w:sz w:val="16"/>
          <w:szCs w:val="16"/>
          <w:vertAlign w:val="superscript"/>
        </w:rPr>
        <w:t>[4]</w:t>
      </w:r>
      <w:r>
        <w:t>: Determinanti di implementazione e processo seguiti dallo studio (registro delle variabili): il tasso di copertura della popolazione, il grado di adozione delle sedi, la fedeltà al modello, la sostenibilità, i tempi di attivazione, il numero di psicologi reclutati e formati, la qualità della formazione e della supervisione, il grado di integrazione nei flussi di lavoro, l'aderenza ai percorsi, la scalabilità e il coinvolgimento dei portatori di interesse.</w:t>
      </w:r>
    </w:p>
    <w:p w14:paraId="10286799" w14:textId="77777777" w:rsidR="007C4598" w:rsidRDefault="00000000">
      <w:pPr>
        <w:jc w:val="both"/>
      </w:pPr>
      <w:r>
        <w:rPr>
          <w:color w:val="555555"/>
          <w:sz w:val="16"/>
          <w:szCs w:val="16"/>
          <w:vertAlign w:val="superscript"/>
        </w:rPr>
        <w:t>[5]</w:t>
      </w:r>
      <w:r>
        <w:t>: Disegno del dispiegamento scaglionato (piano operativo di implementazione): le sei aziende sanitarie locali passano in sequenza, per fasi semestrali, dalla condizione di controllo a quella di intervento, a partire dalle aziende di maggiore dimensione e prontezza organizzativa; l'ordine è definito dalla Giunta regionale sulla base di criteri trasparenti — prontezza organizzativa, entità del bisogno ed equilibrio territoriale — e reso noto preventivamente, con scansione adattabile fermo restando il principio della progressione ordinata e documentata.</w:t>
      </w:r>
    </w:p>
    <w:p w14:paraId="791B1EC9" w14:textId="77777777" w:rsidR="007C4598" w:rsidRDefault="00000000">
      <w:pPr>
        <w:jc w:val="both"/>
      </w:pPr>
      <w:r>
        <w:rPr>
          <w:color w:val="555555"/>
          <w:sz w:val="16"/>
          <w:szCs w:val="16"/>
          <w:vertAlign w:val="superscript"/>
        </w:rPr>
        <w:t>[6]</w:t>
      </w:r>
      <w:r>
        <w:t>: Doppia funzione del dispiegamento scaglionato: esso risponde a un'esigenza organizzativa — attivare il servizio in modo graduale, compatibile con il reclutamento e la formazione — e al tempo stesso costituisce il fondamento della valutazione controfattuale d'impatto, poiché la successione temporale e territoriale dell'attivazione configura un esperimento naturale, oggetto della Parte L.</w:t>
      </w:r>
    </w:p>
    <w:p w14:paraId="20790CCB" w14:textId="77777777" w:rsidR="007C4598" w:rsidRDefault="00000000">
      <w:pPr>
        <w:jc w:val="both"/>
      </w:pPr>
      <w:r>
        <w:rPr>
          <w:color w:val="555555"/>
          <w:sz w:val="16"/>
          <w:szCs w:val="16"/>
          <w:vertAlign w:val="superscript"/>
        </w:rPr>
        <w:t>[7]</w:t>
      </w:r>
      <w:r>
        <w:t>: Reclutamento (piano operativo): a fronte di un fabbisogno a regime di 800-900 psicologi, il reclutamento avviene tramite l'iscrizione a un elenco istituito presso ciascuna azienda sanitaria locale e l'instaurazione di un rapporto convenzionale, con requisiti di iscrizione all'albo e di formazione specifica; in prima applicazione possono accedere i professionisti con pregressa esperienza nell'assistenza psicologica nel Servizio sanitario regionale.</w:t>
      </w:r>
    </w:p>
    <w:p w14:paraId="5EEC8051" w14:textId="77777777" w:rsidR="007C4598" w:rsidRDefault="00000000">
      <w:pPr>
        <w:jc w:val="both"/>
      </w:pPr>
      <w:r>
        <w:rPr>
          <w:color w:val="555555"/>
          <w:sz w:val="16"/>
          <w:szCs w:val="16"/>
          <w:vertAlign w:val="superscript"/>
        </w:rPr>
        <w:t>[8]</w:t>
      </w:r>
      <w:r>
        <w:t>: Cronoprogramma (piano operativo): l'attivazione procede per sei fasi semestrali; le attività di reclutamento, formazione, allestimento e avvio procedono in modo scaglionato, azienda per azienda, mentre il monitoraggio e la valutazione accompagnano l'intero arco e proseguono oltre il completamento del dispiegamento.</w:t>
      </w:r>
    </w:p>
    <w:p w14:paraId="32038296" w14:textId="77777777" w:rsidR="007C4598" w:rsidRDefault="00000000">
      <w:pPr>
        <w:jc w:val="both"/>
      </w:pPr>
      <w:r>
        <w:rPr>
          <w:color w:val="555555"/>
          <w:sz w:val="16"/>
          <w:szCs w:val="16"/>
          <w:vertAlign w:val="superscript"/>
        </w:rPr>
        <w:t>[9]</w:t>
      </w:r>
      <w:r>
        <w:t>: Soglia di riuscita del dispiegamento: tra i parametri che muterebbero le conclusioni figura un tasso di recupero inferiore al 50% nella fase di attuazione, a fronte del valore di riferimento del programma inglese (dell'ordine del 50%); il monitoraggio della Parte L è chiamato a verificare il raggiungimento di tale soglia sui dati pugliesi.</w:t>
      </w:r>
    </w:p>
    <w:p w14:paraId="4BB58231" w14:textId="77777777" w:rsidR="007C4598" w:rsidRDefault="00000000">
      <w:pPr>
        <w:jc w:val="both"/>
      </w:pPr>
      <w:r>
        <w:rPr>
          <w:color w:val="555555"/>
          <w:sz w:val="16"/>
          <w:szCs w:val="16"/>
          <w:vertAlign w:val="superscript"/>
        </w:rPr>
        <w:t>[10]</w:t>
      </w:r>
      <w:r>
        <w:t>: Caso commerciale (</w:t>
      </w:r>
      <w:proofErr w:type="spellStart"/>
      <w:r>
        <w:t>Five</w:t>
      </w:r>
      <w:proofErr w:type="spellEnd"/>
      <w:r>
        <w:t xml:space="preserve"> Case Model): la fattibilità dell'assetto contrattuale poggia sul rapporto convenzionale ancorato all'accordo della specialistica ambulatoriale, con un costo medio per incarico dell'ordine di 55.000 euro l'anno (circa 40 euro l'ora di costo-azienda per circa 1.250 ore, più circa 5.000 euro di costi generali), da cui discendono gli scenari di spesa di 25, 38 e 50 milioni di euro l'anno, fino a 60-75 a costi pieni; l'assetto è già sperimentato da altre Regioni.</w:t>
      </w:r>
    </w:p>
    <w:p w14:paraId="0D507981" w14:textId="77777777" w:rsidR="007C4598" w:rsidRDefault="00000000">
      <w:pPr>
        <w:jc w:val="both"/>
      </w:pPr>
      <w:r>
        <w:rPr>
          <w:color w:val="555555"/>
          <w:sz w:val="16"/>
          <w:szCs w:val="16"/>
          <w:vertAlign w:val="superscript"/>
        </w:rPr>
        <w:t>[11]</w:t>
      </w:r>
      <w:r>
        <w:t>: Caso gestionale (</w:t>
      </w:r>
      <w:proofErr w:type="spellStart"/>
      <w:r>
        <w:t>Five</w:t>
      </w:r>
      <w:proofErr w:type="spellEnd"/>
      <w:r>
        <w:t xml:space="preserve"> Case Model): l'attuazione è governata su due livelli. A livello regionale, l'Osservatorio regionale per la psicologia di base, previsto dall'articolo 9 della proposta di legge, esercita le funzioni di indirizzo, programmazione, monitoraggio e controllo, definisce i criteri e l'ordine del dispiegamento, sovrintende ai programmi formativi e assicura l'uniformità, riunendo la Regione, le aziende, l'Ordine degli Psicologi, la medicina generale, la pediatria di libera scelta e gli esperti; a livello aziendale, ciascuna azienda è responsabile del reclutamento, delle sedi, dell'allestimento, dell'avvio e dell'alimentazione del sistema informativo.</w:t>
      </w:r>
    </w:p>
    <w:p w14:paraId="63520C53" w14:textId="77777777" w:rsidR="007C4598" w:rsidRDefault="00000000">
      <w:pPr>
        <w:jc w:val="both"/>
      </w:pPr>
      <w:r>
        <w:rPr>
          <w:color w:val="555555"/>
          <w:sz w:val="16"/>
          <w:szCs w:val="16"/>
          <w:vertAlign w:val="superscript"/>
        </w:rPr>
        <w:t>[12]</w:t>
      </w:r>
      <w:r>
        <w:t>: Rischi attuativi e misure di mitigazione (piano operativo): i rischi principali — reclutamento insufficiente, debole adesione della medicina generale, interoperabilità incompleta dei sistemi informativi, disomogeneità territoriale, venir meno delle coperture — sono presidiati da misure dedicate, e il dispiegamento graduale costituisce esso stesso la principale forma di mitigazione, poiché consente di correggere il modello prima dell'estensione.</w:t>
      </w:r>
    </w:p>
    <w:p w14:paraId="5DAFAA69" w14:textId="77777777" w:rsidR="007C4598" w:rsidRDefault="00000000">
      <w:pPr>
        <w:jc w:val="both"/>
      </w:pPr>
      <w:r>
        <w:rPr>
          <w:color w:val="555555"/>
          <w:sz w:val="16"/>
          <w:szCs w:val="16"/>
          <w:vertAlign w:val="superscript"/>
        </w:rPr>
        <w:t>[13]</w:t>
      </w:r>
      <w:r>
        <w:t>: Caso finanziario e coperture (</w:t>
      </w:r>
      <w:proofErr w:type="spellStart"/>
      <w:r>
        <w:t>Five</w:t>
      </w:r>
      <w:proofErr w:type="spellEnd"/>
      <w:r>
        <w:t xml:space="preserve"> Case Model): le fonti di copertura comprendono il finanziamento ordinario del Servizio sanitario regionale, la Missione 6 del Piano Nazionale di Ripresa e Resilienza per l'infrastruttura territoriale e digitale, i fondi nazionali in materia di salute mentale, il riutilizzo a regime di una quota dei risparmi diretti generati dal servizio e accordi intersettoriali con i settori del welfare, dell'invalidità e della produttività, su cui ricadono i benefici.</w:t>
      </w:r>
    </w:p>
    <w:p w14:paraId="37296B51" w14:textId="77777777" w:rsidR="007C4598" w:rsidRDefault="00000000">
      <w:pPr>
        <w:jc w:val="both"/>
      </w:pPr>
      <w:r>
        <w:rPr>
          <w:color w:val="555555"/>
          <w:sz w:val="16"/>
          <w:szCs w:val="16"/>
          <w:vertAlign w:val="superscript"/>
        </w:rPr>
        <w:t>[14]</w:t>
      </w:r>
      <w:r>
        <w:t>: Vincoli di bilancio: a fronte di un finanziamento di circa 8,8 miliardi di euro e di un disavanzo di circa 350 milioni, in regime di piano di rientro, il costo del servizio (25-50 milioni) ne costituisce una frazione modesta, in larga parte compensata dai risparmi diretti, con pareggio finanziario atteso tra il terzo e il quinto anno.</w:t>
      </w:r>
    </w:p>
    <w:p w14:paraId="4B06CEDA" w14:textId="77777777" w:rsidR="007C4598" w:rsidRDefault="00000000">
      <w:pPr>
        <w:jc w:val="both"/>
      </w:pPr>
      <w:r>
        <w:rPr>
          <w:color w:val="555555"/>
          <w:sz w:val="16"/>
          <w:szCs w:val="16"/>
          <w:vertAlign w:val="superscript"/>
        </w:rPr>
        <w:t>[15]</w:t>
      </w:r>
      <w:r>
        <w:t>: Sostenibilità nel tempo (criterio OCSE-DAC): la sostenibilità è assicurata dalla modestia del costo rispetto al bilancio, dalla sua larga compensazione mediante i risparmi diretti e dall'allineamento, garantito dal dispiegamento graduale, tra la spesa e la capacità di reclutamento e formazione; la sostenibilità di lungo periodo richiede un finanziamento strutturale, non straordinario.</w:t>
      </w:r>
    </w:p>
    <w:p w14:paraId="5F3A6586" w14:textId="77777777" w:rsidR="007C4598" w:rsidRDefault="00000000">
      <w:pPr>
        <w:jc w:val="both"/>
      </w:pPr>
      <w:r>
        <w:rPr>
          <w:color w:val="555555"/>
          <w:sz w:val="16"/>
          <w:szCs w:val="16"/>
          <w:vertAlign w:val="superscript"/>
        </w:rPr>
        <w:t>[16]</w:t>
      </w:r>
      <w:r>
        <w:t>: Nota di cautela metodologica: i risultati italiani disponibili provengono in parte da letteratura grigia e da campioni limitati, e i benchmark esteri richiedono cautela di trasferibilità; la sintesi del ritorno «quattro a uno» dell'Organizzazione mondiale della sanità è una semplificazione, poiché la fonte riporta intervalli dell'ordine di 2,3-3,0 a uno per i soli benefici economici e di 3,3-5,7 a uno includendo i ritorni di salute, coerenti con il rapporto consolidato adottato (3,6-5 a uno).</w:t>
      </w:r>
    </w:p>
    <w:p w14:paraId="5E55A7D6" w14:textId="77777777" w:rsidR="007C4598" w:rsidRDefault="00000000">
      <w:r>
        <w:br w:type="page"/>
      </w:r>
    </w:p>
    <w:p w14:paraId="171494A3" w14:textId="77777777" w:rsidR="007C4598" w:rsidRDefault="00000000">
      <w:pPr>
        <w:spacing w:before="1200" w:after="200"/>
        <w:jc w:val="center"/>
      </w:pPr>
      <w:r>
        <w:rPr>
          <w:b/>
          <w:bCs/>
          <w:color w:val="C49A48"/>
          <w:sz w:val="64"/>
          <w:szCs w:val="64"/>
        </w:rPr>
        <w:t>PARTE XV</w:t>
      </w:r>
    </w:p>
    <w:p w14:paraId="0B96E72B" w14:textId="77777777" w:rsidR="007C4598" w:rsidRDefault="00000000">
      <w:pPr>
        <w:spacing w:after="600"/>
        <w:jc w:val="center"/>
      </w:pPr>
      <w:r>
        <w:rPr>
          <w:b/>
          <w:bCs/>
          <w:color w:val="16264B"/>
          <w:sz w:val="32"/>
          <w:szCs w:val="32"/>
        </w:rPr>
        <w:t>Monitoraggio, valutazione ex-post e sintesi multidimensionale</w:t>
      </w:r>
    </w:p>
    <w:p w14:paraId="372F07B5" w14:textId="77777777" w:rsidR="007C4598" w:rsidRDefault="007C4598">
      <w:pPr>
        <w:pBdr>
          <w:bottom w:val="single" w:sz="6" w:space="1" w:color="C49A48"/>
        </w:pBdr>
        <w:spacing w:after="200"/>
      </w:pPr>
    </w:p>
    <w:p w14:paraId="22476F3E" w14:textId="77777777" w:rsidR="007C4598" w:rsidRDefault="00000000">
      <w:pPr>
        <w:jc w:val="both"/>
      </w:pPr>
      <w:r>
        <w:t>Studio regionale Puglia · Parte L · Monitoraggio, valutazione ed ex post</w:t>
      </w:r>
    </w:p>
    <w:p w14:paraId="298351C0" w14:textId="77777777" w:rsidR="007C4598" w:rsidRDefault="007C4598"/>
    <w:p w14:paraId="2DE3FD61" w14:textId="77777777" w:rsidR="007C4598" w:rsidRDefault="00000000">
      <w:pPr>
        <w:jc w:val="both"/>
      </w:pPr>
      <w:r>
        <w:rPr>
          <w:b/>
          <w:bCs/>
        </w:rPr>
        <w:t>STUDIO REGIONALE · REGIONE PUGLIA · APPLICAZIONE DEL TELAIO INTEGRATO</w:t>
      </w:r>
    </w:p>
    <w:p w14:paraId="1E7C48C8" w14:textId="77777777" w:rsidR="007C4598" w:rsidRDefault="007C4598"/>
    <w:p w14:paraId="2100F2A1" w14:textId="77777777" w:rsidR="007C4598" w:rsidRDefault="00000000">
      <w:pPr>
        <w:jc w:val="both"/>
      </w:pPr>
      <w:r>
        <w:t>Riforma «Psicologo di Base» (L.R. 11/2023)</w:t>
      </w:r>
    </w:p>
    <w:p w14:paraId="3C68D963" w14:textId="77777777" w:rsidR="007C4598" w:rsidRDefault="007C4598"/>
    <w:p w14:paraId="1D688F12" w14:textId="77777777" w:rsidR="007C4598" w:rsidRDefault="00000000">
      <w:pPr>
        <w:jc w:val="both"/>
      </w:pPr>
      <w:r>
        <w:rPr>
          <w:b/>
          <w:bCs/>
        </w:rPr>
        <w:t>Parte L</w:t>
      </w:r>
    </w:p>
    <w:p w14:paraId="4F4572CA" w14:textId="77777777" w:rsidR="007C4598" w:rsidRDefault="007C4598"/>
    <w:p w14:paraId="365193A3" w14:textId="77777777" w:rsidR="007C4598" w:rsidRDefault="00000000">
      <w:pPr>
        <w:jc w:val="both"/>
      </w:pPr>
      <w:r>
        <w:rPr>
          <w:b/>
          <w:bCs/>
        </w:rPr>
        <w:t>Monitoraggio, valutazione ed ex post</w:t>
      </w:r>
    </w:p>
    <w:p w14:paraId="7299AF66" w14:textId="77777777" w:rsidR="007C4598" w:rsidRDefault="007C4598"/>
    <w:p w14:paraId="0CEADE6F" w14:textId="77777777" w:rsidR="007C4598" w:rsidRDefault="00000000">
      <w:pPr>
        <w:jc w:val="both"/>
      </w:pPr>
      <w:r>
        <w:rPr>
          <w:i/>
          <w:iCs/>
        </w:rPr>
        <w:t>Sistema di indicatori, protocollo di rilevazione e baseline, valutazione controfattuale, verifica ex post, indicatori compositi e cruscotto</w:t>
      </w:r>
    </w:p>
    <w:p w14:paraId="2963FDE6" w14:textId="77777777" w:rsidR="007C4598" w:rsidRDefault="007C4598"/>
    <w:p w14:paraId="7C103585" w14:textId="77777777" w:rsidR="007C4598" w:rsidRDefault="00000000">
      <w:pPr>
        <w:jc w:val="both"/>
      </w:pPr>
      <w:proofErr w:type="spellStart"/>
      <w:r>
        <w:t>Donabedian</w:t>
      </w:r>
      <w:proofErr w:type="spellEnd"/>
      <w:r>
        <w:t xml:space="preserve"> · valutazione controfattuale d'impatto · VIR · metodo OCSE-JRC</w:t>
      </w:r>
    </w:p>
    <w:p w14:paraId="14E22EC6" w14:textId="77777777" w:rsidR="007C4598" w:rsidRDefault="007C4598"/>
    <w:p w14:paraId="4429145B" w14:textId="77777777" w:rsidR="007C4598" w:rsidRDefault="00000000">
      <w:pPr>
        <w:jc w:val="both"/>
      </w:pPr>
      <w:r>
        <w:rPr>
          <w:b/>
          <w:bCs/>
        </w:rPr>
        <w:t>Indice</w:t>
      </w:r>
    </w:p>
    <w:p w14:paraId="76FECA43" w14:textId="77777777" w:rsidR="007C4598" w:rsidRDefault="007C4598"/>
    <w:p w14:paraId="27A25910" w14:textId="77777777" w:rsidR="007C4598" w:rsidRDefault="00000000">
      <w:pPr>
        <w:pStyle w:val="Titolo1"/>
        <w:pageBreakBefore/>
      </w:pPr>
      <w:r>
        <w:rPr>
          <w:sz w:val="22"/>
          <w:szCs w:val="22"/>
        </w:rPr>
        <w:t>Parte L — Monitoraggio, valutazione ed ex post</w:t>
      </w:r>
    </w:p>
    <w:p w14:paraId="1A3F83DF" w14:textId="77777777" w:rsidR="007C4598" w:rsidRDefault="007C4598"/>
    <w:p w14:paraId="11B2B950" w14:textId="77777777" w:rsidR="007C4598" w:rsidRDefault="00000000">
      <w:pPr>
        <w:jc w:val="both"/>
      </w:pPr>
      <w:r>
        <w:t>Questa parte organizza la misurazione dell'intervento nel tempo, ed è il passaggio che distingue una riforma argomentata da una riforma dimostrata. Essa serve ex post i criteri della griglia di giudizio, chiude il ciclo aperto dall'analisi preventiva della regolamentazione e, soprattutto, fornisce il fondamento empirico delle stime delle parti precedenti.</w:t>
      </w:r>
      <w:r>
        <w:rPr>
          <w:color w:val="555555"/>
          <w:sz w:val="16"/>
          <w:szCs w:val="16"/>
          <w:vertAlign w:val="superscript"/>
        </w:rPr>
        <w:t>[1]</w:t>
      </w:r>
      <w:r>
        <w:t xml:space="preserve"> Vale qui una verifica onesta della completezza del progetto, che conduce a una conclusione netta: al progetto non manca un'architettura, ma il radicamento nei dati e l'avvio della misurazione. Le parti seguenti definiscono perciò gli strumenti di questo radicamento: il sistema di indicatori (capitolo L.1), il protocollo che li alimenta e la baseline (L.2), la valutazione controfattuale che ne trae prove causali (L.3), la verifica ex post della norma (L.4) e gli indicatori compositi che ne sintetizzano i risultati nel cruscotto (L.5).</w:t>
      </w:r>
    </w:p>
    <w:p w14:paraId="107BE77D" w14:textId="77777777" w:rsidR="007C4598" w:rsidRDefault="007C4598"/>
    <w:p w14:paraId="7C6C6D70" w14:textId="77777777" w:rsidR="007C4598" w:rsidRDefault="00000000">
      <w:pPr>
        <w:pStyle w:val="Titolo2"/>
        <w:spacing w:before="200" w:after="100"/>
      </w:pPr>
      <w:r>
        <w:rPr>
          <w:sz w:val="22"/>
          <w:szCs w:val="22"/>
        </w:rPr>
        <w:t>L.1 Il sistema di indicatori</w:t>
      </w:r>
    </w:p>
    <w:p w14:paraId="66AF6961" w14:textId="77777777" w:rsidR="007C4598" w:rsidRDefault="007C4598"/>
    <w:p w14:paraId="726AACA4" w14:textId="77777777" w:rsidR="007C4598" w:rsidRDefault="00000000">
      <w:pPr>
        <w:jc w:val="both"/>
      </w:pPr>
      <w:r>
        <w:t xml:space="preserve">Il sistema di indicatori è costruito sull'ossatura del modello di </w:t>
      </w:r>
      <w:proofErr w:type="spellStart"/>
      <w:r>
        <w:t>Donabedian</w:t>
      </w:r>
      <w:proofErr w:type="spellEnd"/>
      <w:r>
        <w:t xml:space="preserve"> per la qualità dell'assistenza, che distingue le dimensioni di struttura — le risorse e l'organizzazione — di processo — le attività svolte — ed esito — i risultati di salute — qui integrate da una quarta dimensione, l'impatto, che coglie gli effetti più ampi sul sistema e sulla società.</w:t>
      </w:r>
      <w:r>
        <w:rPr>
          <w:color w:val="555555"/>
          <w:sz w:val="16"/>
          <w:szCs w:val="16"/>
          <w:vertAlign w:val="superscript"/>
        </w:rPr>
        <w:t>[2]</w:t>
      </w:r>
      <w:r>
        <w:t xml:space="preserve"> Su questa ossatura si dispone una batteria di circa cinquantotto misure, articolate in otto categorie, delle quali una parte è già ricavabile dalle statistiche correnti e circa quaranta richiedono la rilevazione diretta del servizio.</w:t>
      </w:r>
      <w:r>
        <w:rPr>
          <w:color w:val="555555"/>
          <w:sz w:val="16"/>
          <w:szCs w:val="16"/>
          <w:vertAlign w:val="superscript"/>
        </w:rPr>
        <w:t>[3]</w:t>
      </w:r>
      <w:r>
        <w:t xml:space="preserve"> La distinzione tra ciò che è già disponibile e ciò che va rilevato non è accessoria: identifica con precisione l'onere informativo nuovo che il servizio deve sostenere, e che il protocollo del capitolo seguente è chiamato a coprire.</w:t>
      </w:r>
    </w:p>
    <w:p w14:paraId="016DF9D5" w14:textId="77777777" w:rsidR="007C4598" w:rsidRDefault="007C4598"/>
    <w:p w14:paraId="73160338" w14:textId="77777777" w:rsidR="007C4598" w:rsidRDefault="00000000">
      <w:pPr>
        <w:jc w:val="both"/>
      </w:pPr>
      <w:r>
        <w:t>Le otto categorie coprono l'intero arco della catena del valore, dal bisogno all'impatto. La selezione delle misure entro ciascuna categoria non è arbitraria, ma orientata dal principio della parsimonia: l'iniziativa internazionale per i set di esiti essenziali e i relativi standard individuano, mediante consenso strutturato, un nucleo condiviso e parsimonioso di esiti da misurare, e questa prassi fonda la selezione di un sottoinsieme prioritario di variabili, evitando la proliferazione di misure ridondanti.</w:t>
      </w:r>
      <w:r>
        <w:rPr>
          <w:color w:val="555555"/>
          <w:sz w:val="16"/>
          <w:szCs w:val="16"/>
          <w:vertAlign w:val="superscript"/>
        </w:rPr>
        <w:t>[4]</w:t>
      </w:r>
      <w:r>
        <w:t xml:space="preserve"> Misurare molto non equivale a misurare bene: un sistema sovraccarico di indicatori è costoso da alimentare e difficile da interpretare, mentre un nucleo ben scelto restituisce l'informazione necessaria alla decisione. La tabella seguente riepiloga le otto categorie e lo stato della rispettiva baseline.</w:t>
      </w:r>
      <w:r>
        <w:rPr>
          <w:color w:val="555555"/>
          <w:sz w:val="16"/>
          <w:szCs w:val="16"/>
          <w:vertAlign w:val="superscript"/>
        </w:rPr>
        <w:t>[5]</w:t>
      </w:r>
    </w:p>
    <w:p w14:paraId="2E8666F1"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3008"/>
        <w:gridCol w:w="3009"/>
        <w:gridCol w:w="3009"/>
      </w:tblGrid>
      <w:tr w:rsidR="007C4598" w14:paraId="6C7564BF" w14:textId="77777777">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5280AA2" w14:textId="77777777" w:rsidR="007C4598" w:rsidRDefault="00000000">
            <w:pPr>
              <w:spacing w:after="40"/>
            </w:pPr>
            <w:r>
              <w:rPr>
                <w:b/>
                <w:bCs/>
                <w:color w:val="FFFFFF"/>
                <w:sz w:val="18"/>
                <w:szCs w:val="18"/>
              </w:rPr>
              <w:t>Categoria</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C2CD5F3" w14:textId="77777777" w:rsidR="007C4598" w:rsidRDefault="00000000">
            <w:pPr>
              <w:spacing w:after="40"/>
            </w:pPr>
            <w:r>
              <w:rPr>
                <w:b/>
                <w:bCs/>
                <w:color w:val="FFFFFF"/>
                <w:sz w:val="18"/>
                <w:szCs w:val="18"/>
              </w:rPr>
              <w:t>Esempi di indicatori</w:t>
            </w:r>
          </w:p>
        </w:tc>
        <w:tc>
          <w:tcPr>
            <w:tcW w:w="3008"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7F1890BB" w14:textId="77777777" w:rsidR="007C4598" w:rsidRDefault="00000000">
            <w:pPr>
              <w:spacing w:after="40"/>
            </w:pPr>
            <w:r>
              <w:rPr>
                <w:b/>
                <w:bCs/>
                <w:color w:val="FFFFFF"/>
                <w:sz w:val="18"/>
                <w:szCs w:val="18"/>
              </w:rPr>
              <w:t>Baseline</w:t>
            </w:r>
          </w:p>
        </w:tc>
      </w:tr>
      <w:tr w:rsidR="007C4598" w14:paraId="7A750CFC"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EA6D52A" w14:textId="77777777" w:rsidR="007C4598" w:rsidRDefault="00000000">
            <w:pPr>
              <w:spacing w:after="40"/>
            </w:pPr>
            <w:r>
              <w:rPr>
                <w:b/>
                <w:bCs/>
              </w:rPr>
              <w:t>Bisogno e domanda</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14CAE1D" w14:textId="77777777" w:rsidR="007C4598" w:rsidRDefault="00000000">
            <w:pPr>
              <w:spacing w:after="40"/>
            </w:pPr>
            <w:r>
              <w:t>Prevalenza del disagio, utenza dei servizi, accessi impropri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5C039C5" w14:textId="77777777" w:rsidR="007C4598" w:rsidRDefault="00000000">
            <w:pPr>
              <w:spacing w:after="40"/>
            </w:pPr>
            <w:r>
              <w:t>Disponibile</w:t>
            </w:r>
          </w:p>
        </w:tc>
      </w:tr>
      <w:tr w:rsidR="007C4598" w14:paraId="1435CFD6"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7801841" w14:textId="77777777" w:rsidR="007C4598" w:rsidRDefault="00000000">
            <w:pPr>
              <w:spacing w:after="40"/>
            </w:pPr>
            <w:r>
              <w:rPr>
                <w:b/>
                <w:bCs/>
              </w:rPr>
              <w:t>Accesso ed equità</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82F676F" w14:textId="77777777" w:rsidR="007C4598" w:rsidRDefault="00000000">
            <w:pPr>
              <w:spacing w:after="40"/>
            </w:pPr>
            <w:r>
              <w:t>Tempo di attesa, copertura, divari tra aziende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D9FBD81" w14:textId="77777777" w:rsidR="007C4598" w:rsidRDefault="00000000">
            <w:pPr>
              <w:spacing w:after="40"/>
            </w:pPr>
            <w:r>
              <w:t>Da rilevare</w:t>
            </w:r>
          </w:p>
        </w:tc>
      </w:tr>
      <w:tr w:rsidR="007C4598" w14:paraId="429A7EE8"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F7313A4" w14:textId="77777777" w:rsidR="007C4598" w:rsidRDefault="00000000">
            <w:pPr>
              <w:spacing w:after="40"/>
            </w:pPr>
            <w:r>
              <w:rPr>
                <w:b/>
                <w:bCs/>
              </w:rPr>
              <w:t>Processo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CC55EAF" w14:textId="77777777" w:rsidR="007C4598" w:rsidRDefault="00000000">
            <w:pPr>
              <w:spacing w:after="40"/>
            </w:pPr>
            <w:r>
              <w:t>Sedute erogate, cicli completati, abbandoni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ACE2CD4" w14:textId="77777777" w:rsidR="007C4598" w:rsidRDefault="00000000">
            <w:pPr>
              <w:spacing w:after="40"/>
            </w:pPr>
            <w:r>
              <w:t>Da rilevare</w:t>
            </w:r>
          </w:p>
        </w:tc>
      </w:tr>
      <w:tr w:rsidR="007C4598" w14:paraId="5D610BDB"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C036578" w14:textId="77777777" w:rsidR="007C4598" w:rsidRDefault="00000000">
            <w:pPr>
              <w:spacing w:after="40"/>
            </w:pPr>
            <w:r>
              <w:rPr>
                <w:b/>
                <w:bCs/>
              </w:rPr>
              <w:t>Esito clinico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958889A" w14:textId="77777777" w:rsidR="007C4598" w:rsidRDefault="00000000">
            <w:pPr>
              <w:spacing w:after="40"/>
            </w:pPr>
            <w:r>
              <w:t>Recupero, miglioramento affidabile, mantenimento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47D7E40" w14:textId="77777777" w:rsidR="007C4598" w:rsidRDefault="00000000">
            <w:pPr>
              <w:spacing w:after="40"/>
            </w:pPr>
            <w:r>
              <w:t>Da rilevare</w:t>
            </w:r>
          </w:p>
        </w:tc>
      </w:tr>
      <w:tr w:rsidR="007C4598" w14:paraId="1FB71DA4"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F10A9A5" w14:textId="77777777" w:rsidR="007C4598" w:rsidRDefault="00000000">
            <w:pPr>
              <w:spacing w:after="40"/>
            </w:pPr>
            <w:r>
              <w:rPr>
                <w:b/>
                <w:bCs/>
              </w:rPr>
              <w:t>Economici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D491E04" w14:textId="77777777" w:rsidR="007C4598" w:rsidRDefault="00000000">
            <w:pPr>
              <w:spacing w:after="40"/>
            </w:pPr>
            <w:r>
              <w:t>Risparmi per canale, costo per esito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911820E" w14:textId="77777777" w:rsidR="007C4598" w:rsidRDefault="00000000">
            <w:pPr>
              <w:spacing w:after="40"/>
            </w:pPr>
            <w:r>
              <w:t>Misto</w:t>
            </w:r>
          </w:p>
        </w:tc>
      </w:tr>
      <w:tr w:rsidR="007C4598" w14:paraId="3BE7B7E9"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EF8EC27" w14:textId="77777777" w:rsidR="007C4598" w:rsidRDefault="00000000">
            <w:pPr>
              <w:spacing w:after="40"/>
            </w:pPr>
            <w:r>
              <w:rPr>
                <w:b/>
                <w:bCs/>
              </w:rPr>
              <w:t>Impatto sociale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E886A43" w14:textId="77777777" w:rsidR="007C4598" w:rsidRDefault="00000000">
            <w:pPr>
              <w:spacing w:after="40"/>
            </w:pPr>
            <w:r>
              <w:t>Produttività, benessere, indicatori territoriali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2615ADE" w14:textId="77777777" w:rsidR="007C4598" w:rsidRDefault="00000000">
            <w:pPr>
              <w:spacing w:after="40"/>
            </w:pPr>
            <w:r>
              <w:t>Misto</w:t>
            </w:r>
          </w:p>
        </w:tc>
      </w:tr>
      <w:tr w:rsidR="007C4598" w14:paraId="5583DEB8"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3874780" w14:textId="77777777" w:rsidR="007C4598" w:rsidRDefault="00000000">
            <w:pPr>
              <w:spacing w:after="40"/>
            </w:pPr>
            <w:r>
              <w:rPr>
                <w:b/>
                <w:bCs/>
              </w:rPr>
              <w:t>Organizzativi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7CEDBE2" w14:textId="77777777" w:rsidR="007C4598" w:rsidRDefault="00000000">
            <w:pPr>
              <w:spacing w:after="40"/>
            </w:pPr>
            <w:r>
              <w:t>Reclutamento, formazione, fedeltà al modello</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5D63389" w14:textId="77777777" w:rsidR="007C4598" w:rsidRDefault="00000000">
            <w:pPr>
              <w:spacing w:after="40"/>
            </w:pPr>
            <w:r>
              <w:t>Da rilevare</w:t>
            </w:r>
          </w:p>
        </w:tc>
      </w:tr>
      <w:tr w:rsidR="007C4598" w14:paraId="1A2CED5A" w14:textId="77777777">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F040B6A" w14:textId="77777777" w:rsidR="007C4598" w:rsidRDefault="00000000">
            <w:pPr>
              <w:spacing w:after="40"/>
            </w:pPr>
            <w:r>
              <w:rPr>
                <w:b/>
                <w:bCs/>
              </w:rPr>
              <w:t>Variabili di sintesi</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936C1CB" w14:textId="77777777" w:rsidR="007C4598" w:rsidRDefault="00000000">
            <w:pPr>
              <w:spacing w:after="40"/>
            </w:pPr>
            <w:r>
              <w:t>Indici compositi di esito e di valore</w:t>
            </w:r>
          </w:p>
        </w:tc>
        <w:tc>
          <w:tcPr>
            <w:tcW w:w="3008"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4B54BE1" w14:textId="77777777" w:rsidR="007C4598" w:rsidRDefault="00000000">
            <w:pPr>
              <w:spacing w:after="40"/>
            </w:pPr>
            <w:r>
              <w:t>Da calcolare</w:t>
            </w:r>
          </w:p>
        </w:tc>
      </w:tr>
    </w:tbl>
    <w:p w14:paraId="489A5DC7" w14:textId="77777777" w:rsidR="007C4598" w:rsidRDefault="007C4598"/>
    <w:p w14:paraId="650C6B17" w14:textId="77777777" w:rsidR="007C4598" w:rsidRDefault="00000000">
      <w:pPr>
        <w:jc w:val="both"/>
      </w:pPr>
      <w:r>
        <w:rPr>
          <w:i/>
          <w:iCs/>
        </w:rPr>
        <w:t>Tabella L.1. Le otto categorie di indicatori e lo stato della baseline. Circa quaranta indicatori richiedono la rilevazione diretta del servizio.</w:t>
      </w:r>
    </w:p>
    <w:p w14:paraId="28753C5B" w14:textId="77777777" w:rsidR="007C4598" w:rsidRDefault="007C4598"/>
    <w:p w14:paraId="34993139" w14:textId="77777777" w:rsidR="007C4598" w:rsidRDefault="00000000">
      <w:pPr>
        <w:pStyle w:val="Titolo2"/>
        <w:spacing w:before="200" w:after="100"/>
      </w:pPr>
      <w:r>
        <w:rPr>
          <w:sz w:val="22"/>
          <w:szCs w:val="22"/>
        </w:rPr>
        <w:t>L.2 Il protocollo di rilevazione e la baseline</w:t>
      </w:r>
    </w:p>
    <w:p w14:paraId="74021A17" w14:textId="77777777" w:rsidR="007C4598" w:rsidRDefault="007C4598"/>
    <w:p w14:paraId="0FAFE203" w14:textId="77777777" w:rsidR="007C4598" w:rsidRDefault="00000000">
      <w:pPr>
        <w:jc w:val="both"/>
      </w:pPr>
      <w:r>
        <w:t>Perché gli indicatori siano calcolabili occorre un protocollo di rilevazione, ed è questo l'elemento operativo che colma la lacuna di attivazione della misurazione. Il protocollo è minimo — deliberatamente essenziale, per non gravare sull'attività clinica — e attivo dal primo giorno: si registrano la presa in carico, ogni seduta, i punteggi di esito raccolti a ogni incontro, gli invii e le restituzioni.</w:t>
      </w:r>
      <w:r>
        <w:rPr>
          <w:color w:val="555555"/>
          <w:sz w:val="16"/>
          <w:szCs w:val="16"/>
          <w:vertAlign w:val="superscript"/>
        </w:rPr>
        <w:t>[6]</w:t>
      </w:r>
      <w:r>
        <w:t xml:space="preserve"> Gli strumenti di esito sono validati e di uso internazionale: il questionario sulla salute del paziente a nove voci, con punteggio totale da 0 a 27, soglia di rilevanza clinica intorno a 10 e cambiamento affidabile dell'ordine di 6 punti, e il corrispondente questionario per l'ansia a sette voci, impiegati — si ribadisce — nei soli punteggi complessivi.</w:t>
      </w:r>
      <w:r>
        <w:rPr>
          <w:color w:val="555555"/>
          <w:sz w:val="16"/>
          <w:szCs w:val="16"/>
          <w:vertAlign w:val="superscript"/>
        </w:rPr>
        <w:t>[7]</w:t>
      </w:r>
      <w:r>
        <w:t xml:space="preserve"> La scelta di raccogliere le misure a ogni seduta, e non solo all'inizio e alla fine, segue il modello dei programmi inglesi: è ciò che consente di calcolare il tasso di recupero e il miglioramento affidabile e di non protrarre percorsi inefficaci.</w:t>
      </w:r>
      <w:r>
        <w:rPr>
          <w:color w:val="555555"/>
          <w:sz w:val="16"/>
          <w:szCs w:val="16"/>
          <w:vertAlign w:val="superscript"/>
        </w:rPr>
        <w:t>[8]</w:t>
      </w:r>
    </w:p>
    <w:p w14:paraId="697E5817" w14:textId="77777777" w:rsidR="007C4598" w:rsidRDefault="007C4598"/>
    <w:p w14:paraId="2F0663BE" w14:textId="77777777" w:rsidR="007C4598" w:rsidRDefault="00000000">
      <w:pPr>
        <w:jc w:val="both"/>
      </w:pPr>
      <w:r>
        <w:t>Alla rilevazione si lega la costituzione della baseline, ossia la fotografia dello stato di partenza senza la quale nessun effetto sarebbe misurabile. La baseline si costituisce su due binari. Il primo è immediato e non richiede di attendere l'avvio: gli indicatori già disponibili dalle statistiche correnti — demografici, epidemiologici, di benessere, di mortalità — forniscono la fotografia del prima e vanno registrati subito. Il secondo è la rilevazione di servizio, che parte con il primo assistito.</w:t>
      </w:r>
      <w:r>
        <w:rPr>
          <w:color w:val="555555"/>
          <w:sz w:val="16"/>
          <w:szCs w:val="16"/>
          <w:vertAlign w:val="superscript"/>
        </w:rPr>
        <w:t>[9]</w:t>
      </w:r>
      <w:r>
        <w:t xml:space="preserve"> Il principio è stringente, e merita di essere enunciato senza attenuazioni: ogni mese di ritardo nell'avvio della rilevazione è un mese di dati di base perduti, non recuperabili a posteriori. Il calendario disciplina questa sequenza, dalla costituzione della baseline prima dell'avvio, alla registrazione corrente dall'avvio, alla trasmissione mensile di indicatori aggregati all'Osservatorio, fino al calcolo periodico delle misure di sintesi e all'aggiornamento del cruscotto.</w:t>
      </w:r>
      <w:r>
        <w:rPr>
          <w:color w:val="555555"/>
          <w:sz w:val="16"/>
          <w:szCs w:val="16"/>
          <w:vertAlign w:val="superscript"/>
        </w:rPr>
        <w:t>[10]</w:t>
      </w:r>
      <w:r>
        <w:t xml:space="preserve"> La tabella seguente lo riepiloga.</w:t>
      </w:r>
    </w:p>
    <w:p w14:paraId="232D2D64"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4513"/>
        <w:gridCol w:w="4513"/>
      </w:tblGrid>
      <w:tr w:rsidR="007C4598" w14:paraId="3FA447DE" w14:textId="77777777">
        <w:tc>
          <w:tcPr>
            <w:tcW w:w="4513"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1733261B" w14:textId="77777777" w:rsidR="007C4598" w:rsidRDefault="00000000">
            <w:pPr>
              <w:spacing w:after="40"/>
            </w:pPr>
            <w:r>
              <w:rPr>
                <w:b/>
                <w:bCs/>
                <w:color w:val="FFFFFF"/>
                <w:sz w:val="18"/>
                <w:szCs w:val="18"/>
              </w:rPr>
              <w:t>Momento</w:t>
            </w:r>
          </w:p>
        </w:tc>
        <w:tc>
          <w:tcPr>
            <w:tcW w:w="4513"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204985F2" w14:textId="77777777" w:rsidR="007C4598" w:rsidRDefault="00000000">
            <w:pPr>
              <w:spacing w:after="40"/>
            </w:pPr>
            <w:r>
              <w:rPr>
                <w:b/>
                <w:bCs/>
                <w:color w:val="FFFFFF"/>
                <w:sz w:val="18"/>
                <w:szCs w:val="18"/>
              </w:rPr>
              <w:t>Attività</w:t>
            </w:r>
          </w:p>
        </w:tc>
      </w:tr>
      <w:tr w:rsidR="007C4598" w14:paraId="30469423"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C65D6E8" w14:textId="77777777" w:rsidR="007C4598" w:rsidRDefault="00000000">
            <w:pPr>
              <w:spacing w:after="40"/>
            </w:pPr>
            <w:r>
              <w:rPr>
                <w:b/>
                <w:bCs/>
              </w:rPr>
              <w:t>Prima dell'avvio (per area)</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9F25229" w14:textId="77777777" w:rsidR="007C4598" w:rsidRDefault="00000000">
            <w:pPr>
              <w:spacing w:after="40"/>
            </w:pPr>
            <w:r>
              <w:t>Costituzione della baseline con i dati disponibili; predisposizione del registro e dei questionari</w:t>
            </w:r>
          </w:p>
        </w:tc>
      </w:tr>
      <w:tr w:rsidR="007C4598" w14:paraId="4C1218EE"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EADC0C2" w14:textId="77777777" w:rsidR="007C4598" w:rsidRDefault="00000000">
            <w:pPr>
              <w:spacing w:after="40"/>
            </w:pPr>
            <w:r>
              <w:rPr>
                <w:b/>
                <w:bCs/>
              </w:rPr>
              <w:t>All'avvio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0AC8953E" w14:textId="77777777" w:rsidR="007C4598" w:rsidRDefault="00000000">
            <w:pPr>
              <w:spacing w:after="40"/>
            </w:pPr>
            <w:r>
              <w:t>Inizio della registrazione di ogni presa in carico e di ogni seduta, con i punteggi di esito</w:t>
            </w:r>
          </w:p>
        </w:tc>
      </w:tr>
      <w:tr w:rsidR="007C4598" w14:paraId="7C9A762C"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D533F25" w14:textId="77777777" w:rsidR="007C4598" w:rsidRDefault="00000000">
            <w:pPr>
              <w:spacing w:after="40"/>
            </w:pPr>
            <w:r>
              <w:rPr>
                <w:b/>
                <w:bCs/>
              </w:rPr>
              <w:t>In continuo</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DAA62BB" w14:textId="77777777" w:rsidR="007C4598" w:rsidRDefault="00000000">
            <w:pPr>
              <w:spacing w:after="40"/>
            </w:pPr>
            <w:r>
              <w:t>Alimentazione del registro; trasmissione di indicatori aggregati all'Osservatorio con cadenza mensile</w:t>
            </w:r>
          </w:p>
        </w:tc>
      </w:tr>
      <w:tr w:rsidR="007C4598" w14:paraId="7C3742BB"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CB478CF" w14:textId="77777777" w:rsidR="007C4598" w:rsidRDefault="00000000">
            <w:pPr>
              <w:spacing w:after="40"/>
            </w:pPr>
            <w:r>
              <w:rPr>
                <w:b/>
                <w:bCs/>
              </w:rPr>
              <w:t>Periodico (semestrale e annuale)</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28B7C95" w14:textId="77777777" w:rsidR="007C4598" w:rsidRDefault="00000000">
            <w:pPr>
              <w:spacing w:after="40"/>
            </w:pPr>
            <w:r>
              <w:t>Calcolo delle misure di sintesi e aggiornamento del cruscotto regionale</w:t>
            </w:r>
          </w:p>
        </w:tc>
      </w:tr>
    </w:tbl>
    <w:p w14:paraId="6F0801A2" w14:textId="77777777" w:rsidR="007C4598" w:rsidRDefault="007C4598"/>
    <w:p w14:paraId="21338DE1" w14:textId="77777777" w:rsidR="007C4598" w:rsidRDefault="00000000">
      <w:pPr>
        <w:jc w:val="both"/>
      </w:pPr>
      <w:r>
        <w:rPr>
          <w:i/>
          <w:iCs/>
        </w:rPr>
        <w:t>Tabella L.2. Il calendario della rilevazione. La baseline da statistiche correnti precede l'avvio; la rilevazione di servizio parte con il primo assistito.</w:t>
      </w:r>
    </w:p>
    <w:p w14:paraId="51D6A51D" w14:textId="77777777" w:rsidR="007C4598" w:rsidRDefault="007C4598"/>
    <w:p w14:paraId="3289221A" w14:textId="77777777" w:rsidR="007C4598" w:rsidRDefault="00000000">
      <w:pPr>
        <w:pStyle w:val="Titolo2"/>
        <w:spacing w:before="200" w:after="100"/>
      </w:pPr>
      <w:r>
        <w:rPr>
          <w:sz w:val="22"/>
          <w:szCs w:val="22"/>
        </w:rPr>
        <w:t>L.3 La valutazione controfattuale</w:t>
      </w:r>
    </w:p>
    <w:p w14:paraId="51EE0DBF" w14:textId="77777777" w:rsidR="007C4598" w:rsidRDefault="007C4598"/>
    <w:p w14:paraId="34922B1C" w14:textId="77777777" w:rsidR="007C4598" w:rsidRDefault="00000000">
      <w:pPr>
        <w:jc w:val="both"/>
      </w:pPr>
      <w:r>
        <w:t>Il monitoraggio continuo dice se gli indicatori migliorano; non dice, da solo, se a migliorarli sia stato l'intervento. A questa domanda risponde la valutazione controfattuale d'impatto, che misura l'effetto causale confrontando gli esiti dei trattati con il controfattuale — ciò che sarebbe accaduto in loro assenza, per definizione non osservabile direttamente. Lo strumento che rende possibile questa stima è, in questo studio, lo stesso disegno del dispiegamento: la sua scansione scaglionata configura un esperimento naturale, idoneo a misurare gli effetti reali del servizio.</w:t>
      </w:r>
      <w:r>
        <w:rPr>
          <w:color w:val="555555"/>
          <w:sz w:val="16"/>
          <w:szCs w:val="16"/>
          <w:vertAlign w:val="superscript"/>
        </w:rPr>
        <w:t>[11]</w:t>
      </w:r>
      <w:r>
        <w:t xml:space="preserve"> Il metodo principale è la differenza-nelle-differenze, che confronta la variazione nel tempo dell'esito tra le aree già attivate e quelle non ancora attivate, sotto l'ipotesi di andamento parallelo; a esso si affianca il controllo sintetico, che costruisce un'unità di confronto artificiale come combinazione ponderata di unità non trattate.</w:t>
      </w:r>
      <w:r>
        <w:rPr>
          <w:color w:val="555555"/>
          <w:sz w:val="16"/>
          <w:szCs w:val="16"/>
          <w:vertAlign w:val="superscript"/>
        </w:rPr>
        <w:t>[12]</w:t>
      </w:r>
    </w:p>
    <w:p w14:paraId="668C9907" w14:textId="77777777" w:rsidR="007C4598" w:rsidRDefault="007C4598"/>
    <w:p w14:paraId="3AD782CD" w14:textId="77777777" w:rsidR="007C4598" w:rsidRDefault="00000000">
      <w:pPr>
        <w:jc w:val="both"/>
      </w:pPr>
      <w:r>
        <w:t xml:space="preserve">L'analisi restituisce l'effetto medio sull'intera popolazione e l'effetto medio sui soli trattati, e la sua solidità dipende dalla validità interna — la garanzia che l'effetto sia realmente attribuibile all'intervento e non a tendenze generali — mentre la validità esterna, ossia la </w:t>
      </w:r>
      <w:proofErr w:type="spellStart"/>
      <w:r>
        <w:t>generalizzabilità</w:t>
      </w:r>
      <w:proofErr w:type="spellEnd"/>
      <w:r>
        <w:t xml:space="preserve"> ad altri contesti, va valutata a parte; i disegni a esperimento naturale sono, per gli interventi di salute della popolazione, lo strumento raccomandato dalla letteratura metodologica.</w:t>
      </w:r>
      <w:r>
        <w:rPr>
          <w:color w:val="555555"/>
          <w:sz w:val="16"/>
          <w:szCs w:val="16"/>
          <w:vertAlign w:val="superscript"/>
        </w:rPr>
        <w:t>[13]</w:t>
      </w:r>
      <w:r>
        <w:t xml:space="preserve"> La portata di questo metodo, per il presente studio, è dirimente: confrontando, ad esempio, l'andamento degli accessi al pronto soccorso per cause psichiatriche nelle aree che hanno attivato il servizio con quello delle aree che lo attiveranno, si isola l'effetto proprio della riforma e si trasforma la stima dei risparmi da proiezione attesa a misura empiricamente fondata.</w:t>
      </w:r>
      <w:r>
        <w:rPr>
          <w:color w:val="555555"/>
          <w:sz w:val="16"/>
          <w:szCs w:val="16"/>
          <w:vertAlign w:val="superscript"/>
        </w:rPr>
        <w:t>[14]</w:t>
      </w:r>
      <w:r>
        <w:t xml:space="preserve"> È questo il passaggio che, a regime, eleva lo studio da proposta argomentata a politica validata, e che chiude il cerchio aperto dal valore dell'informazione della Parte F, sostituendo le stime con misure osservate.</w:t>
      </w:r>
    </w:p>
    <w:p w14:paraId="78C1C378" w14:textId="77777777" w:rsidR="007C4598" w:rsidRDefault="007C4598"/>
    <w:p w14:paraId="3C74B9FF" w14:textId="77777777" w:rsidR="007C4598" w:rsidRDefault="00000000">
      <w:pPr>
        <w:pStyle w:val="Titolo2"/>
        <w:spacing w:before="200" w:after="100"/>
      </w:pPr>
      <w:r>
        <w:rPr>
          <w:sz w:val="22"/>
          <w:szCs w:val="22"/>
        </w:rPr>
        <w:t>L.4 La verifica ex post della regolamentazione</w:t>
      </w:r>
    </w:p>
    <w:p w14:paraId="65103896" w14:textId="77777777" w:rsidR="007C4598" w:rsidRDefault="007C4598"/>
    <w:p w14:paraId="3A57C13D" w14:textId="77777777" w:rsidR="007C4598" w:rsidRDefault="00000000">
      <w:pPr>
        <w:jc w:val="both"/>
      </w:pPr>
      <w:r>
        <w:t>Alla valutazione d'impatto, che accerta gli effetti dell'intervento, si affianca la verifica ex post della regolamentazione, che accerta gli effetti della norma. È una valutazione ex post, di norma condotta dopo un biennio, che esamina l'efficacia, l'efficienza, l'utilità e la coerenza della norma, e che chiude il ciclo aperto dall'analisi preventiva della regolamentazione, accertando se la norma abbia prodotto gli effetti che essa si era prefissa.</w:t>
      </w:r>
      <w:r>
        <w:rPr>
          <w:color w:val="555555"/>
          <w:sz w:val="16"/>
          <w:szCs w:val="16"/>
          <w:vertAlign w:val="superscript"/>
        </w:rPr>
        <w:t>[15]</w:t>
      </w:r>
      <w:r>
        <w:t xml:space="preserve"> Il rapporto tra l'analisi preventiva e la verifica ex post è di simmetria: la prima stima ciò che la norma dovrebbe produrre, la seconda misura ciò che ha effettivamente prodotto, e insieme costituiscono un ciclo di apprendimento che impedisce alla regolazione di sottrarsi alla verifica dei propri risultati.</w:t>
      </w:r>
    </w:p>
    <w:p w14:paraId="539D0678" w14:textId="77777777" w:rsidR="007C4598" w:rsidRDefault="007C4598"/>
    <w:p w14:paraId="4A0E041B" w14:textId="77777777" w:rsidR="007C4598" w:rsidRDefault="00000000">
      <w:pPr>
        <w:jc w:val="both"/>
      </w:pPr>
      <w:r>
        <w:t>Sul piano regionale, questa funzione è assolta dalla clausola valutativa, lo strumento mediante il quale il legislatore regionale impegna la Giunta a riferire periodicamente al Consiglio sui risultati conseguiti dalla riforma.</w:t>
      </w:r>
      <w:r>
        <w:rPr>
          <w:color w:val="555555"/>
          <w:sz w:val="16"/>
          <w:szCs w:val="16"/>
          <w:vertAlign w:val="superscript"/>
        </w:rPr>
        <w:t>[16]</w:t>
      </w:r>
      <w:r>
        <w:t xml:space="preserve"> La clausola valutativa non è una formalità, ma il presidio istituzionale della responsabilità: trasforma la valutazione da esercizio tecnico facoltativo in obbligo di rendiconto verso l'organo rappresentativo, e con ciò distingue una riforma annunciata da una riforma dimostrata, assicurandone la difendibilità nel tempo. È il punto in cui l'intero impianto valutativo dello studio — dagli indicatori alla valutazione controfattuale — trova il suo destinatario istituzionale e la sua sanzione politica, poiché i risultati misurati divengono oggetto di un rendiconto pubblico e periodico.</w:t>
      </w:r>
    </w:p>
    <w:p w14:paraId="16C069D6" w14:textId="77777777" w:rsidR="007C4598" w:rsidRDefault="007C4598"/>
    <w:p w14:paraId="6EA8EB0A" w14:textId="77777777" w:rsidR="007C4598" w:rsidRDefault="00000000">
      <w:pPr>
        <w:pStyle w:val="Titolo2"/>
        <w:spacing w:before="200" w:after="100"/>
      </w:pPr>
      <w:r>
        <w:rPr>
          <w:sz w:val="22"/>
          <w:szCs w:val="22"/>
        </w:rPr>
        <w:t>L.5 Gli indicatori compositi e il cruscotto</w:t>
      </w:r>
    </w:p>
    <w:p w14:paraId="614DD697" w14:textId="77777777" w:rsidR="007C4598" w:rsidRDefault="007C4598"/>
    <w:p w14:paraId="022E57B8" w14:textId="77777777" w:rsidR="007C4598" w:rsidRDefault="00000000">
      <w:pPr>
        <w:jc w:val="both"/>
      </w:pPr>
      <w:r>
        <w:t>L'ultima funzione del sistema di misurazione è la sintesi: ricondurre la molteplicità degli indicatori a poche misure complesse, leggibili dal decisore. La costruzione di tali indicatori compositi segue il manuale internazionale di riferimento, che la articola in dieci passi — dal quadro teorico alla selezione dei dati, all'imputazione dei dati mancanti, all'analisi multivariata, alla normalizzazione, alla ponderazione, all'aggregazione, all'analisi di sensibilità, al collegamento con misure esterne, fino alla visualizzazione — con una avvertenza che ne governa l'uso corretto: la scelta dei pesi e del metodo di aggregazione è resa esplicita, perché da essa dipende il risultato.</w:t>
      </w:r>
      <w:r>
        <w:rPr>
          <w:color w:val="555555"/>
          <w:sz w:val="16"/>
          <w:szCs w:val="16"/>
          <w:vertAlign w:val="superscript"/>
        </w:rPr>
        <w:t>[17]</w:t>
      </w:r>
      <w:r>
        <w:t xml:space="preserve"> La tabella seguente riepiloga i dieci passi.</w:t>
      </w:r>
    </w:p>
    <w:p w14:paraId="46E7E0CB" w14:textId="77777777" w:rsidR="007C4598" w:rsidRDefault="007C4598"/>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4513"/>
        <w:gridCol w:w="4513"/>
      </w:tblGrid>
      <w:tr w:rsidR="007C4598" w14:paraId="5BAEF914" w14:textId="77777777">
        <w:tc>
          <w:tcPr>
            <w:tcW w:w="4513"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48A7B95E" w14:textId="77777777" w:rsidR="007C4598" w:rsidRDefault="00000000">
            <w:pPr>
              <w:spacing w:after="40"/>
            </w:pPr>
            <w:r>
              <w:rPr>
                <w:b/>
                <w:bCs/>
                <w:color w:val="FFFFFF"/>
                <w:sz w:val="18"/>
                <w:szCs w:val="18"/>
              </w:rPr>
              <w:t>Passo</w:t>
            </w:r>
          </w:p>
        </w:tc>
        <w:tc>
          <w:tcPr>
            <w:tcW w:w="4513" w:type="dxa"/>
            <w:tcBorders>
              <w:top w:val="single" w:sz="1" w:space="0" w:color="AAAAAA"/>
              <w:left w:val="single" w:sz="1" w:space="0" w:color="AAAAAA"/>
              <w:bottom w:val="single" w:sz="1" w:space="0" w:color="AAAAAA"/>
              <w:right w:val="single" w:sz="1" w:space="0" w:color="AAAAAA"/>
            </w:tcBorders>
            <w:shd w:val="clear" w:color="auto" w:fill="16264B"/>
            <w:tcMar>
              <w:top w:w="60" w:type="dxa"/>
              <w:left w:w="120" w:type="dxa"/>
              <w:bottom w:w="60" w:type="dxa"/>
              <w:right w:w="120" w:type="dxa"/>
            </w:tcMar>
          </w:tcPr>
          <w:p w14:paraId="657F3206" w14:textId="77777777" w:rsidR="007C4598" w:rsidRDefault="00000000">
            <w:pPr>
              <w:spacing w:after="40"/>
            </w:pPr>
            <w:r>
              <w:rPr>
                <w:b/>
                <w:bCs/>
                <w:color w:val="FFFFFF"/>
                <w:sz w:val="18"/>
                <w:szCs w:val="18"/>
              </w:rPr>
              <w:t>Contenuto</w:t>
            </w:r>
          </w:p>
        </w:tc>
      </w:tr>
      <w:tr w:rsidR="007C4598" w14:paraId="7C75AE73"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296597E" w14:textId="77777777" w:rsidR="007C4598" w:rsidRDefault="00000000">
            <w:pPr>
              <w:spacing w:after="40"/>
            </w:pPr>
            <w:r>
              <w:rPr>
                <w:b/>
                <w:bCs/>
              </w:rPr>
              <w:t>1</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CF41FD3" w14:textId="77777777" w:rsidR="007C4598" w:rsidRDefault="00000000">
            <w:pPr>
              <w:spacing w:after="40"/>
            </w:pPr>
            <w:r>
              <w:t>Quadro teorico: definire il concetto e le sue componenti</w:t>
            </w:r>
          </w:p>
        </w:tc>
      </w:tr>
      <w:tr w:rsidR="007C4598" w14:paraId="71EFD1C7"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9B278F3" w14:textId="77777777" w:rsidR="007C4598" w:rsidRDefault="00000000">
            <w:pPr>
              <w:spacing w:after="40"/>
            </w:pPr>
            <w:r>
              <w:rPr>
                <w:b/>
                <w:bCs/>
              </w:rPr>
              <w:t>2</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ED6CFD4" w14:textId="77777777" w:rsidR="007C4598" w:rsidRDefault="00000000">
            <w:pPr>
              <w:spacing w:after="40"/>
            </w:pPr>
            <w:r>
              <w:t>Selezione dei dati: scegliere gli indicatori di base</w:t>
            </w:r>
          </w:p>
        </w:tc>
      </w:tr>
      <w:tr w:rsidR="007C4598" w14:paraId="2406FC8C"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84FB05D" w14:textId="77777777" w:rsidR="007C4598" w:rsidRDefault="00000000">
            <w:pPr>
              <w:spacing w:after="40"/>
            </w:pPr>
            <w:r>
              <w:rPr>
                <w:b/>
                <w:bCs/>
              </w:rPr>
              <w:t>3</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42D9702" w14:textId="77777777" w:rsidR="007C4598" w:rsidRDefault="00000000">
            <w:pPr>
              <w:spacing w:after="40"/>
            </w:pPr>
            <w:r>
              <w:t>Dati mancanti: imputare in modo trasparente</w:t>
            </w:r>
          </w:p>
        </w:tc>
      </w:tr>
      <w:tr w:rsidR="007C4598" w14:paraId="3D138DD9"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B135203" w14:textId="77777777" w:rsidR="007C4598" w:rsidRDefault="00000000">
            <w:pPr>
              <w:spacing w:after="40"/>
            </w:pPr>
            <w:r>
              <w:rPr>
                <w:b/>
                <w:bCs/>
              </w:rPr>
              <w:t>4</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F3E1E0B" w14:textId="77777777" w:rsidR="007C4598" w:rsidRDefault="00000000">
            <w:pPr>
              <w:spacing w:after="40"/>
            </w:pPr>
            <w:r>
              <w:t>Analisi multivariata: studiare la struttura dei dati</w:t>
            </w:r>
          </w:p>
        </w:tc>
      </w:tr>
      <w:tr w:rsidR="007C4598" w14:paraId="75F51EF2"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2358F6E" w14:textId="77777777" w:rsidR="007C4598" w:rsidRDefault="00000000">
            <w:pPr>
              <w:spacing w:after="40"/>
            </w:pPr>
            <w:r>
              <w:rPr>
                <w:b/>
                <w:bCs/>
              </w:rPr>
              <w:t>5</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BCC4162" w14:textId="77777777" w:rsidR="007C4598" w:rsidRDefault="00000000">
            <w:pPr>
              <w:spacing w:after="40"/>
            </w:pPr>
            <w:r>
              <w:t>Normalizzazione: rendere comparabili scale diverse</w:t>
            </w:r>
          </w:p>
        </w:tc>
      </w:tr>
      <w:tr w:rsidR="007C4598" w14:paraId="5B52EF87"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57B11BA7" w14:textId="77777777" w:rsidR="007C4598" w:rsidRDefault="00000000">
            <w:pPr>
              <w:spacing w:after="40"/>
            </w:pPr>
            <w:r>
              <w:rPr>
                <w:b/>
                <w:bCs/>
              </w:rPr>
              <w:t>6</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407ECB88" w14:textId="77777777" w:rsidR="007C4598" w:rsidRDefault="00000000">
            <w:pPr>
              <w:spacing w:after="40"/>
            </w:pPr>
            <w:r>
              <w:t>Ponderazione: attribuire i pesi alle componenti</w:t>
            </w:r>
          </w:p>
        </w:tc>
      </w:tr>
      <w:tr w:rsidR="007C4598" w14:paraId="509989D6"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17BC070E" w14:textId="77777777" w:rsidR="007C4598" w:rsidRDefault="00000000">
            <w:pPr>
              <w:spacing w:after="40"/>
            </w:pPr>
            <w:r>
              <w:rPr>
                <w:b/>
                <w:bCs/>
              </w:rPr>
              <w:t>7</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36764FA" w14:textId="77777777" w:rsidR="007C4598" w:rsidRDefault="00000000">
            <w:pPr>
              <w:spacing w:after="40"/>
            </w:pPr>
            <w:r>
              <w:t>Aggregazione: combinare gli indicatori in un indice</w:t>
            </w:r>
          </w:p>
        </w:tc>
      </w:tr>
      <w:tr w:rsidR="007C4598" w14:paraId="7864524F"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2D49A75E" w14:textId="77777777" w:rsidR="007C4598" w:rsidRDefault="00000000">
            <w:pPr>
              <w:spacing w:after="40"/>
            </w:pPr>
            <w:r>
              <w:rPr>
                <w:b/>
                <w:bCs/>
              </w:rPr>
              <w:t>8</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7DA685B4" w14:textId="77777777" w:rsidR="007C4598" w:rsidRDefault="00000000">
            <w:pPr>
              <w:spacing w:after="40"/>
            </w:pPr>
            <w:r>
              <w:t>Analisi di sensibilità: verificare la robustezza alle scelte</w:t>
            </w:r>
          </w:p>
        </w:tc>
      </w:tr>
      <w:tr w:rsidR="007C4598" w14:paraId="79689552"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BB68D92" w14:textId="77777777" w:rsidR="007C4598" w:rsidRDefault="00000000">
            <w:pPr>
              <w:spacing w:after="40"/>
            </w:pPr>
            <w:r>
              <w:rPr>
                <w:b/>
                <w:bCs/>
              </w:rPr>
              <w:t>9</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561F107" w14:textId="77777777" w:rsidR="007C4598" w:rsidRDefault="00000000">
            <w:pPr>
              <w:spacing w:after="40"/>
            </w:pPr>
            <w:r>
              <w:t>Collegamento: validare rispetto a misure esterne</w:t>
            </w:r>
          </w:p>
        </w:tc>
      </w:tr>
      <w:tr w:rsidR="007C4598" w14:paraId="572ED83D" w14:textId="77777777">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3C356DB0" w14:textId="77777777" w:rsidR="007C4598" w:rsidRDefault="00000000">
            <w:pPr>
              <w:spacing w:after="40"/>
            </w:pPr>
            <w:r>
              <w:rPr>
                <w:b/>
                <w:bCs/>
              </w:rPr>
              <w:t>10</w:t>
            </w:r>
          </w:p>
        </w:tc>
        <w:tc>
          <w:tcPr>
            <w:tcW w:w="4513" w:type="dxa"/>
            <w:tcBorders>
              <w:top w:val="single" w:sz="1" w:space="0" w:color="AAAAAA"/>
              <w:left w:val="single" w:sz="1" w:space="0" w:color="AAAAAA"/>
              <w:bottom w:val="single" w:sz="1" w:space="0" w:color="AAAAAA"/>
              <w:right w:val="single" w:sz="1" w:space="0" w:color="AAAAAA"/>
            </w:tcBorders>
            <w:shd w:val="clear" w:color="auto" w:fill="F7F7F7"/>
            <w:tcMar>
              <w:top w:w="60" w:type="dxa"/>
              <w:left w:w="120" w:type="dxa"/>
              <w:bottom w:w="60" w:type="dxa"/>
              <w:right w:w="120" w:type="dxa"/>
            </w:tcMar>
          </w:tcPr>
          <w:p w14:paraId="68BDDF5D" w14:textId="77777777" w:rsidR="007C4598" w:rsidRDefault="00000000">
            <w:pPr>
              <w:spacing w:after="40"/>
            </w:pPr>
            <w:r>
              <w:t>Visualizzazione: comunicare il risultato in modo leggibile</w:t>
            </w:r>
          </w:p>
        </w:tc>
      </w:tr>
    </w:tbl>
    <w:p w14:paraId="3B2A73C0" w14:textId="77777777" w:rsidR="007C4598" w:rsidRDefault="007C4598"/>
    <w:p w14:paraId="66A7738D" w14:textId="77777777" w:rsidR="007C4598" w:rsidRDefault="00000000">
      <w:pPr>
        <w:jc w:val="both"/>
      </w:pPr>
      <w:r>
        <w:rPr>
          <w:i/>
          <w:iCs/>
        </w:rPr>
        <w:t>Tabella L.3. I dieci passi per la costruzione degli indicatori compositi (OCSE-JRC).</w:t>
      </w:r>
    </w:p>
    <w:p w14:paraId="4108CA27" w14:textId="77777777" w:rsidR="007C4598" w:rsidRDefault="007C4598"/>
    <w:p w14:paraId="09402385" w14:textId="77777777" w:rsidR="007C4598" w:rsidRDefault="00000000">
      <w:pPr>
        <w:jc w:val="both"/>
      </w:pPr>
      <w:r>
        <w:t>La sintesi si ancora a una cornice nazionale riconosciuta. Il sistema del Benessere Equo e Sostenibile dell'istituto nazionale di statistica articola il benessere in dodici domini con indici compositi, e la legge di riforma del bilancio ne ha allegati dodici indicatori ai documenti di programmazione economica, facendone la cornice nazionale di sintesi multidimensionale a cui il cruscotto regionale si ancora.</w:t>
      </w:r>
      <w:r>
        <w:rPr>
          <w:color w:val="555555"/>
          <w:sz w:val="16"/>
          <w:szCs w:val="16"/>
          <w:vertAlign w:val="superscript"/>
        </w:rPr>
        <w:t>[18]</w:t>
      </w:r>
      <w:r>
        <w:t xml:space="preserve"> Un sistema a più strati, tuttavia, richiede regole che ne impediscano l'uso incoerente, e la principale è il divieto di doppia contabilizzazione: nel medesimo calcolo, una grandezza non può essere conteggiata più volte — come variabile semplice, come proprie ramificazioni e come componente di una misura complessa che già la incorpora; le variabili ramificate non si sommano tra loro né con la variabile-genitore, e le misure complesse sostituiscono, non si aggiungono a, le componenti che sintetizzano.</w:t>
      </w:r>
      <w:r>
        <w:rPr>
          <w:color w:val="555555"/>
          <w:sz w:val="16"/>
          <w:szCs w:val="16"/>
          <w:vertAlign w:val="superscript"/>
        </w:rPr>
        <w:t>[19]</w:t>
      </w:r>
      <w:r>
        <w:t xml:space="preserve"> È la regola che rende affidabili i totali, e che protegge la sintesi dall'errore, frequente nelle valutazioni complesse, di gonfiare il valore contando più volte il medesimo effetto — lo stesso rigore che, nella Parte E, ha imposto di tenere distinti i risparmi diretti dalle ricadute sociali. Tutte queste misure confluiscono nel cruscotto dell'Osservatorio, che ne restituisce la lettura sintetica e periodica. Definito il sistema di misurazione, l'ultima parte dello studio ne organizza la sintesi valutativa e le raccomandazioni: è l'oggetto della Parte M.</w:t>
      </w:r>
    </w:p>
    <w:p w14:paraId="7C9F67A0" w14:textId="77777777" w:rsidR="007C4598" w:rsidRDefault="007C4598"/>
    <w:p w14:paraId="0A575BD1" w14:textId="77777777" w:rsidR="007C4598" w:rsidRDefault="00000000">
      <w:pPr>
        <w:jc w:val="both"/>
      </w:pPr>
      <w:r>
        <w:rPr>
          <w:color w:val="555555"/>
          <w:sz w:val="16"/>
          <w:szCs w:val="16"/>
          <w:vertAlign w:val="superscript"/>
        </w:rPr>
        <w:t>[1]</w:t>
      </w:r>
      <w:r>
        <w:t>: Questa parte organizza la misurazione dell'intervento nel tempo: serve ex post i criteri della griglia di giudizio, chiude il ciclo aperto dall'analisi preventiva della regolamentazione e fornisce il fondamento empirico delle stime delle parti precedenti; la verifica onesta della completezza del progetto conduce a una conclusione netta — al progetto non manca un'architettura, ma il radicamento nei dati e l'avvio della misurazione, sicché le lacune residue sono di fondamento e di attivazione, non di disegno.</w:t>
      </w:r>
    </w:p>
    <w:p w14:paraId="546A099C" w14:textId="77777777" w:rsidR="007C4598" w:rsidRDefault="00000000">
      <w:pPr>
        <w:jc w:val="both"/>
      </w:pPr>
      <w:r>
        <w:rPr>
          <w:color w:val="555555"/>
          <w:sz w:val="16"/>
          <w:szCs w:val="16"/>
          <w:vertAlign w:val="superscript"/>
        </w:rPr>
        <w:t>[2]</w:t>
      </w:r>
      <w:r>
        <w:t xml:space="preserve">: Modello di </w:t>
      </w:r>
      <w:proofErr w:type="spellStart"/>
      <w:r>
        <w:t>Donabedian</w:t>
      </w:r>
      <w:proofErr w:type="spellEnd"/>
      <w:r>
        <w:t xml:space="preserve"> per la qualità dell'assistenza: distingue le dimensioni di struttura, processo ed esito, qui integrate dalla dimensione di impatto, e costituisce l'ossatura del sistema di indicatori.</w:t>
      </w:r>
    </w:p>
    <w:p w14:paraId="02FF97B7" w14:textId="77777777" w:rsidR="007C4598" w:rsidRDefault="00000000">
      <w:pPr>
        <w:jc w:val="both"/>
      </w:pPr>
      <w:r>
        <w:rPr>
          <w:color w:val="555555"/>
          <w:sz w:val="16"/>
          <w:szCs w:val="16"/>
          <w:vertAlign w:val="superscript"/>
        </w:rPr>
        <w:t>[3]</w:t>
      </w:r>
      <w:r>
        <w:t>: Batteria di indicatori: circa cinquantotto misure articolate in otto categorie, delle quali una parte è già ricavabile dalle statistiche correnti e circa quaranta richiedono la rilevazione diretta del servizio.</w:t>
      </w:r>
    </w:p>
    <w:p w14:paraId="226C0C7E" w14:textId="77777777" w:rsidR="007C4598" w:rsidRDefault="00000000">
      <w:pPr>
        <w:jc w:val="both"/>
      </w:pPr>
      <w:r>
        <w:rPr>
          <w:color w:val="555555"/>
          <w:sz w:val="16"/>
          <w:szCs w:val="16"/>
          <w:vertAlign w:val="superscript"/>
        </w:rPr>
        <w:t>[4]</w:t>
      </w:r>
      <w:r>
        <w:t xml:space="preserve">: Set di esiti essenziali: l'iniziativa COMET e gli standard ICHOM individuano, mediante consenso strutturato (metodo </w:t>
      </w:r>
      <w:proofErr w:type="spellStart"/>
      <w:r>
        <w:t>Delphi</w:t>
      </w:r>
      <w:proofErr w:type="spellEnd"/>
      <w:r>
        <w:t>), un nucleo parsimonioso e condiviso di esiti da misurare, prassi che fonda la selezione di un sottoinsieme prioritario di variabili ed evita la proliferazione di misure ridondanti.</w:t>
      </w:r>
    </w:p>
    <w:p w14:paraId="2627FC6B" w14:textId="77777777" w:rsidR="007C4598" w:rsidRDefault="00000000">
      <w:pPr>
        <w:jc w:val="both"/>
      </w:pPr>
      <w:r>
        <w:rPr>
          <w:color w:val="555555"/>
          <w:sz w:val="16"/>
          <w:szCs w:val="16"/>
          <w:vertAlign w:val="superscript"/>
        </w:rPr>
        <w:t>[5]</w:t>
      </w:r>
      <w:r>
        <w:t>: Le otto categorie di indicatori e lo stato della baseline: bisogno e domanda (disponibile), accesso ed equità (da rilevare), processo (da rilevare), esito clinico (da rilevare), economici (misto), impatto sociale (misto), organizzativi (da rilevare) e variabili di sintesi (da calcolare).</w:t>
      </w:r>
    </w:p>
    <w:p w14:paraId="670B59A7" w14:textId="77777777" w:rsidR="007C4598" w:rsidRDefault="00000000">
      <w:pPr>
        <w:jc w:val="both"/>
      </w:pPr>
      <w:r>
        <w:rPr>
          <w:color w:val="555555"/>
          <w:sz w:val="16"/>
          <w:szCs w:val="16"/>
          <w:vertAlign w:val="superscript"/>
        </w:rPr>
        <w:t>[6]</w:t>
      </w:r>
      <w:r>
        <w:t>: Protocollo minimo di rilevazione: attivo dal primo giorno, registra la presa in carico, ogni seduta, i punteggi di esito raccolti a ogni incontro, gli invii e le restituzioni; costituisce la fonte dei circa quaranta indicatori che il servizio deve rilevare in proprio e che non sono ricavabili dalle statistiche correnti.</w:t>
      </w:r>
    </w:p>
    <w:p w14:paraId="397B5221" w14:textId="77777777" w:rsidR="007C4598" w:rsidRDefault="00000000">
      <w:pPr>
        <w:jc w:val="both"/>
      </w:pPr>
      <w:r>
        <w:rPr>
          <w:color w:val="555555"/>
          <w:sz w:val="16"/>
          <w:szCs w:val="16"/>
          <w:vertAlign w:val="superscript"/>
        </w:rPr>
        <w:t>[7]</w:t>
      </w:r>
      <w:r>
        <w:t>: Strumenti di esito: il questionario sulla salute del paziente a nove voci (PHQ-9), con punteggio totale da 0 a 27, soglia di rilevanza clinica intorno a 10 e cambiamento affidabile dell'ordine di 6 punti, e il corrispondente questionario per l'ansia a sette voci (GAD-7), impiegati nei soli punteggi complessivi.</w:t>
      </w:r>
    </w:p>
    <w:p w14:paraId="4B0A9C7F" w14:textId="77777777" w:rsidR="007C4598" w:rsidRDefault="00000000">
      <w:pPr>
        <w:jc w:val="both"/>
      </w:pPr>
      <w:r>
        <w:rPr>
          <w:color w:val="555555"/>
          <w:sz w:val="16"/>
          <w:szCs w:val="16"/>
          <w:vertAlign w:val="superscript"/>
        </w:rPr>
        <w:t>[8]</w:t>
      </w:r>
      <w:r>
        <w:t>: Modello di misurazione dei programmi inglesi di terapie psicologiche: la raccolta delle misure di esito a ogni seduta, e non solo all'inizio e alla fine, consente di calcolare il tasso di recupero e il miglioramento affidabile e di non protrarre percorsi inefficaci; il tasso di recupero conseguito è dell'ordine del 50%.</w:t>
      </w:r>
    </w:p>
    <w:p w14:paraId="71228C2D" w14:textId="77777777" w:rsidR="007C4598" w:rsidRDefault="00000000">
      <w:pPr>
        <w:jc w:val="both"/>
      </w:pPr>
      <w:r>
        <w:rPr>
          <w:color w:val="555555"/>
          <w:sz w:val="16"/>
          <w:szCs w:val="16"/>
          <w:vertAlign w:val="superscript"/>
        </w:rPr>
        <w:t>[9]</w:t>
      </w:r>
      <w:r>
        <w:t>: Costituzione della baseline su due binari: gli indicatori già disponibili dalle statistiche correnti — demografici, epidemiologici, di benessere, di mortalità — forniscono la fotografia del «prima» e vanno registrati subito; la rilevazione di servizio parte con il primo assistito, nel principio che ogni mese di ritardo è un mese di dati di base perduti, non recuperabili a posteriori.</w:t>
      </w:r>
    </w:p>
    <w:p w14:paraId="55688498" w14:textId="77777777" w:rsidR="007C4598" w:rsidRDefault="00000000">
      <w:pPr>
        <w:jc w:val="both"/>
      </w:pPr>
      <w:r>
        <w:rPr>
          <w:color w:val="555555"/>
          <w:sz w:val="16"/>
          <w:szCs w:val="16"/>
          <w:vertAlign w:val="superscript"/>
        </w:rPr>
        <w:t>[10]</w:t>
      </w:r>
      <w:r>
        <w:t>: Calendario della rilevazione: prima dell'avvio, costituzione della baseline con i dati disponibili e predisposizione del registro e dei questionari; all'avvio, inizio della registrazione di ogni presa in carico e di ogni seduta; in continuo, alimentazione del registro e trasmissione di indicatori aggregati all'Osservatorio con cadenza mensile; periodicamente, con cadenza semestrale e annuale, calcolo delle misure di sintesi e aggiornamento del cruscotto regionale.</w:t>
      </w:r>
    </w:p>
    <w:p w14:paraId="25B3AACA" w14:textId="77777777" w:rsidR="007C4598" w:rsidRDefault="00000000">
      <w:pPr>
        <w:jc w:val="both"/>
      </w:pPr>
      <w:r>
        <w:rPr>
          <w:color w:val="555555"/>
          <w:sz w:val="16"/>
          <w:szCs w:val="16"/>
          <w:vertAlign w:val="superscript"/>
        </w:rPr>
        <w:t>[11]</w:t>
      </w:r>
      <w:r>
        <w:t>: Valutazione controfattuale d'impatto: misura l'effetto causale dell'intervento confrontando gli esiti dei trattati con il controfattuale, ciò che sarebbe accaduto in assenza dell'intervento; il dispiegamento scaglionato funge da esperimento naturale, e si avvale della differenza-nelle-differenze e del controllo sintetico.</w:t>
      </w:r>
    </w:p>
    <w:p w14:paraId="78ABCC9D" w14:textId="77777777" w:rsidR="007C4598" w:rsidRDefault="00000000">
      <w:pPr>
        <w:jc w:val="both"/>
      </w:pPr>
      <w:r>
        <w:rPr>
          <w:color w:val="555555"/>
          <w:sz w:val="16"/>
          <w:szCs w:val="16"/>
          <w:vertAlign w:val="superscript"/>
        </w:rPr>
        <w:t>[12]</w:t>
      </w:r>
      <w:r>
        <w:t>: Differenza-nelle-differenze: confronta la variazione nel tempo dell'esito tra le aree già attivate e quelle non ancora attivate, sotto l'ipotesi di andamento parallelo, ossia che i gruppi avrebbero evoluto in modo simile in assenza dell'intervento; il controllo sintetico costruisce un'unità di confronto artificiale come combinazione ponderata di unità non trattate.</w:t>
      </w:r>
    </w:p>
    <w:p w14:paraId="71D59CF1" w14:textId="77777777" w:rsidR="007C4598" w:rsidRDefault="00000000">
      <w:pPr>
        <w:jc w:val="both"/>
      </w:pPr>
      <w:r>
        <w:rPr>
          <w:color w:val="555555"/>
          <w:sz w:val="16"/>
          <w:szCs w:val="16"/>
          <w:vertAlign w:val="superscript"/>
        </w:rPr>
        <w:t>[13]</w:t>
      </w:r>
      <w:r>
        <w:t xml:space="preserve">: Effetti stimati e validità: l'analisi restituisce l'effetto medio sull'intera popolazione e l'effetto medio sui soli trattati; i metodi rigorosi garantiscono la validità interna, ossia che l'effetto sia realmente attribuibile all'intervento, mentre la validità esterna, ossia la </w:t>
      </w:r>
      <w:proofErr w:type="spellStart"/>
      <w:r>
        <w:t>generalizzabilità</w:t>
      </w:r>
      <w:proofErr w:type="spellEnd"/>
      <w:r>
        <w:t>, va valutata a parte; il Consiglio per la ricerca medica del Regno Unito raccomanda i disegni a esperimento naturale per gli interventi di salute della popolazione.</w:t>
      </w:r>
    </w:p>
    <w:p w14:paraId="2AF2B7C6" w14:textId="77777777" w:rsidR="007C4598" w:rsidRDefault="00000000">
      <w:pPr>
        <w:jc w:val="both"/>
      </w:pPr>
      <w:r>
        <w:rPr>
          <w:color w:val="555555"/>
          <w:sz w:val="16"/>
          <w:szCs w:val="16"/>
          <w:vertAlign w:val="superscript"/>
        </w:rPr>
        <w:t>[14]</w:t>
      </w:r>
      <w:r>
        <w:t>: Trasformazione delle stime in prove: confrontando l'andamento, ad esempio, degli accessi al pronto soccorso per cause psichiatriche nelle aree che hanno attivato il servizio con quello delle aree che lo attiveranno, si isola l'effetto proprio della riforma da eventuali tendenze generali, e si trasforma la stima dei risparmi da proiezione attesa a misura empiricamente fondata.</w:t>
      </w:r>
    </w:p>
    <w:p w14:paraId="3C80E1E6" w14:textId="77777777" w:rsidR="007C4598" w:rsidRDefault="00000000">
      <w:pPr>
        <w:jc w:val="both"/>
      </w:pPr>
      <w:r>
        <w:rPr>
          <w:color w:val="555555"/>
          <w:sz w:val="16"/>
          <w:szCs w:val="16"/>
          <w:vertAlign w:val="superscript"/>
        </w:rPr>
        <w:t>[15]</w:t>
      </w:r>
      <w:r>
        <w:t>: Verifica ex post dell'impatto della regolamentazione (VIR; DPCM 169/2017): è valutazione ex post, di norma dopo un biennio, dell'efficacia, dell'efficienza, dell'utilità e della coerenza della norma, e chiude il ciclo aperto dall'analisi preventiva (AIR) accertando se la norma abbia prodotto gli effetti attesi.</w:t>
      </w:r>
    </w:p>
    <w:p w14:paraId="37670C85" w14:textId="77777777" w:rsidR="007C4598" w:rsidRDefault="00000000">
      <w:pPr>
        <w:jc w:val="both"/>
      </w:pPr>
      <w:r>
        <w:rPr>
          <w:color w:val="555555"/>
          <w:sz w:val="16"/>
          <w:szCs w:val="16"/>
          <w:vertAlign w:val="superscript"/>
        </w:rPr>
        <w:t>[16]</w:t>
      </w:r>
      <w:r>
        <w:t>: Clausola valutativa: sul piano regionale, impegna la Giunta a riferire periodicamente al Consiglio sui risultati conseguiti; è il passaggio che distingue una riforma annunciata da una riforma dimostrata e ne assicura la difendibilità nel tempo.</w:t>
      </w:r>
    </w:p>
    <w:p w14:paraId="07582D9A" w14:textId="77777777" w:rsidR="007C4598" w:rsidRDefault="00000000">
      <w:pPr>
        <w:jc w:val="both"/>
      </w:pPr>
      <w:r>
        <w:rPr>
          <w:color w:val="555555"/>
          <w:sz w:val="16"/>
          <w:szCs w:val="16"/>
          <w:vertAlign w:val="superscript"/>
        </w:rPr>
        <w:t>[17]</w:t>
      </w:r>
      <w:r>
        <w:t>: Manuale OCSE-JRC per la costruzione di indicatori compositi (2008): articola in dieci passi la costruzione e la validazione delle misure di sintesi — quadro teorico, selezione dei dati, imputazione dei dati mancanti, analisi multivariata, normalizzazione, ponderazione, aggregazione, analisi di sensibilità, collegamento ad altre misure e visualizzazione — con la scelta dei pesi e del metodo di aggregazione resa esplicita, perché da essa dipende il risultato.</w:t>
      </w:r>
    </w:p>
    <w:p w14:paraId="5CDA13E8" w14:textId="77777777" w:rsidR="007C4598" w:rsidRDefault="00000000">
      <w:pPr>
        <w:jc w:val="both"/>
      </w:pPr>
      <w:r>
        <w:rPr>
          <w:color w:val="555555"/>
          <w:sz w:val="16"/>
          <w:szCs w:val="16"/>
          <w:vertAlign w:val="superscript"/>
        </w:rPr>
        <w:t>[18]</w:t>
      </w:r>
      <w:r>
        <w:t>: Benessere Equo e Sostenibile (BES), ISTAT: dodici domini con indici compositi; con la legge n. 163/2016 di riforma del bilancio, dodici indicatori BES sono allegati ai documenti di programmazione economica, il che rende il BES la cornice nazionale di sintesi multidimensionale a cui il cruscotto si ancora.</w:t>
      </w:r>
    </w:p>
    <w:p w14:paraId="353A9681" w14:textId="77777777" w:rsidR="007C4598" w:rsidRDefault="00000000">
      <w:pPr>
        <w:jc w:val="both"/>
      </w:pPr>
      <w:r>
        <w:rPr>
          <w:color w:val="555555"/>
          <w:sz w:val="16"/>
          <w:szCs w:val="16"/>
          <w:vertAlign w:val="superscript"/>
        </w:rPr>
        <w:t>[19]</w:t>
      </w:r>
      <w:r>
        <w:t>: Regole di coerenza e di non duplicazione: il divieto di doppia contabilizzazione impone che, nel medesimo calcolo, una grandezza sia conteggiata una sola volta — non come variabile semplice, come proprie ramificazioni e come componente di una misura complessa che già la incorpora; le variabili ramificate non si sommano tra loro né con la variabile-genitore, e le misure complesse sostituiscono, non si aggiungono a, le componenti che sintetizzano.</w:t>
      </w:r>
    </w:p>
    <w:sectPr w:rsidR="007C459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rlow Semi Condensed">
    <w:panose1 w:val="00000506000000000000"/>
    <w:charset w:val="00"/>
    <w:family w:val="auto"/>
    <w:pitch w:val="variable"/>
    <w:sig w:usb0="20000007" w:usb1="00000000" w:usb2="00000000" w:usb3="00000000" w:csb0="00000193"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4942"/>
    <w:multiLevelType w:val="multilevel"/>
    <w:tmpl w:val="FFFFFFFF"/>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AB052FA"/>
    <w:multiLevelType w:val="hybridMultilevel"/>
    <w:tmpl w:val="FFFFFFFF"/>
    <w:lvl w:ilvl="0" w:tplc="2BB07850">
      <w:start w:val="1"/>
      <w:numFmt w:val="bullet"/>
      <w:lvlText w:val="●"/>
      <w:lvlJc w:val="left"/>
      <w:pPr>
        <w:ind w:left="720" w:hanging="360"/>
      </w:pPr>
    </w:lvl>
    <w:lvl w:ilvl="1" w:tplc="0304EB36">
      <w:start w:val="1"/>
      <w:numFmt w:val="bullet"/>
      <w:lvlText w:val="○"/>
      <w:lvlJc w:val="left"/>
      <w:pPr>
        <w:ind w:left="1440" w:hanging="360"/>
      </w:pPr>
    </w:lvl>
    <w:lvl w:ilvl="2" w:tplc="0C0A4D36">
      <w:start w:val="1"/>
      <w:numFmt w:val="bullet"/>
      <w:lvlText w:val="■"/>
      <w:lvlJc w:val="left"/>
      <w:pPr>
        <w:ind w:left="2160" w:hanging="360"/>
      </w:pPr>
    </w:lvl>
    <w:lvl w:ilvl="3" w:tplc="99445BF8">
      <w:start w:val="1"/>
      <w:numFmt w:val="bullet"/>
      <w:lvlText w:val="●"/>
      <w:lvlJc w:val="left"/>
      <w:pPr>
        <w:ind w:left="2880" w:hanging="360"/>
      </w:pPr>
    </w:lvl>
    <w:lvl w:ilvl="4" w:tplc="A5820B04">
      <w:start w:val="1"/>
      <w:numFmt w:val="bullet"/>
      <w:lvlText w:val="○"/>
      <w:lvlJc w:val="left"/>
      <w:pPr>
        <w:ind w:left="3600" w:hanging="360"/>
      </w:pPr>
    </w:lvl>
    <w:lvl w:ilvl="5" w:tplc="1C4CEE1E">
      <w:start w:val="1"/>
      <w:numFmt w:val="bullet"/>
      <w:lvlText w:val="■"/>
      <w:lvlJc w:val="left"/>
      <w:pPr>
        <w:ind w:left="4320" w:hanging="360"/>
      </w:pPr>
    </w:lvl>
    <w:lvl w:ilvl="6" w:tplc="73D65216">
      <w:start w:val="1"/>
      <w:numFmt w:val="bullet"/>
      <w:lvlText w:val="●"/>
      <w:lvlJc w:val="left"/>
      <w:pPr>
        <w:ind w:left="5040" w:hanging="360"/>
      </w:pPr>
    </w:lvl>
    <w:lvl w:ilvl="7" w:tplc="9A68F44E">
      <w:start w:val="1"/>
      <w:numFmt w:val="bullet"/>
      <w:lvlText w:val="●"/>
      <w:lvlJc w:val="left"/>
      <w:pPr>
        <w:ind w:left="5760" w:hanging="360"/>
      </w:pPr>
    </w:lvl>
    <w:lvl w:ilvl="8" w:tplc="E19E1CA6">
      <w:start w:val="1"/>
      <w:numFmt w:val="bullet"/>
      <w:lvlText w:val="●"/>
      <w:lvlJc w:val="left"/>
      <w:pPr>
        <w:ind w:left="6480" w:hanging="360"/>
      </w:pPr>
    </w:lvl>
  </w:abstractNum>
  <w:abstractNum w:abstractNumId="2" w15:restartNumberingAfterBreak="0">
    <w:nsid w:val="3C9C6D74"/>
    <w:multiLevelType w:val="hybridMultilevel"/>
    <w:tmpl w:val="402679C8"/>
    <w:lvl w:ilvl="0" w:tplc="FFFFFFF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931204371">
    <w:abstractNumId w:val="1"/>
    <w:lvlOverride w:ilvl="0">
      <w:startOverride w:val="1"/>
    </w:lvlOverride>
  </w:num>
  <w:num w:numId="2" w16cid:durableId="1058825172">
    <w:abstractNumId w:val="0"/>
  </w:num>
  <w:num w:numId="3" w16cid:durableId="1228996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displayBackgroundShape/>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598"/>
    <w:rsid w:val="00012989"/>
    <w:rsid w:val="003C3578"/>
    <w:rsid w:val="004B3643"/>
    <w:rsid w:val="004C3E2F"/>
    <w:rsid w:val="005C4560"/>
    <w:rsid w:val="007B3B95"/>
    <w:rsid w:val="007C4598"/>
    <w:rsid w:val="009F7539"/>
    <w:rsid w:val="00A37DE9"/>
    <w:rsid w:val="00B40730"/>
    <w:rsid w:val="00B74432"/>
    <w:rsid w:val="00C1130B"/>
    <w:rsid w:val="00CA0034"/>
    <w:rsid w:val="00CF2874"/>
    <w:rsid w:val="00F4785E"/>
    <w:rsid w:val="00F969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256B302C"/>
  <w15:docId w15:val="{386B6114-C2CC-3F42-ABCF-B5E79B1D1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arlow Semi Condensed" w:eastAsia="Barlow Semi Condensed" w:hAnsi="Barlow Semi Condensed" w:cs="Barlow Semi Condensed"/>
        <w:color w:val="1A1A1A"/>
        <w:sz w:val="22"/>
        <w:szCs w:val="22"/>
        <w:lang w:val="it-IT" w:eastAsia="it-IT"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00" w:after="120"/>
      <w:outlineLvl w:val="0"/>
    </w:pPr>
    <w:rPr>
      <w:b/>
      <w:bCs/>
      <w:color w:val="16264B"/>
      <w:sz w:val="36"/>
      <w:szCs w:val="36"/>
    </w:rPr>
  </w:style>
  <w:style w:type="paragraph" w:styleId="Titolo2">
    <w:name w:val="heading 2"/>
    <w:uiPriority w:val="9"/>
    <w:unhideWhenUsed/>
    <w:qFormat/>
    <w:pPr>
      <w:spacing w:before="220" w:after="90"/>
      <w:outlineLvl w:val="1"/>
    </w:pPr>
    <w:rPr>
      <w:b/>
      <w:bCs/>
      <w:color w:val="16264B"/>
      <w:sz w:val="28"/>
      <w:szCs w:val="28"/>
    </w:rPr>
  </w:style>
  <w:style w:type="paragraph" w:styleId="Titolo3">
    <w:name w:val="heading 3"/>
    <w:uiPriority w:val="9"/>
    <w:unhideWhenUsed/>
    <w:qFormat/>
    <w:pPr>
      <w:spacing w:before="180"/>
      <w:outlineLvl w:val="2"/>
    </w:pPr>
    <w:rPr>
      <w:b/>
      <w:bCs/>
      <w:color w:val="2E4057"/>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pPr>
      <w:spacing w:after="0"/>
    </w:pPr>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pPr>
      <w:spacing w:after="0"/>
    </w:pPr>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svg" /><Relationship Id="rId117" Type="http://schemas.openxmlformats.org/officeDocument/2006/relationships/image" Target="media/image113.png" /><Relationship Id="rId21" Type="http://schemas.openxmlformats.org/officeDocument/2006/relationships/image" Target="media/image17.png" /><Relationship Id="rId42" Type="http://schemas.openxmlformats.org/officeDocument/2006/relationships/image" Target="media/image38.svg" /><Relationship Id="rId47" Type="http://schemas.openxmlformats.org/officeDocument/2006/relationships/image" Target="media/image43.png" /><Relationship Id="rId63" Type="http://schemas.openxmlformats.org/officeDocument/2006/relationships/image" Target="media/image59.png" /><Relationship Id="rId68" Type="http://schemas.openxmlformats.org/officeDocument/2006/relationships/image" Target="media/image64.svg" /><Relationship Id="rId84" Type="http://schemas.openxmlformats.org/officeDocument/2006/relationships/image" Target="media/image80.svg" /><Relationship Id="rId89" Type="http://schemas.openxmlformats.org/officeDocument/2006/relationships/image" Target="media/image85.png" /><Relationship Id="rId112" Type="http://schemas.openxmlformats.org/officeDocument/2006/relationships/image" Target="media/image108.svg" /><Relationship Id="rId133" Type="http://schemas.openxmlformats.org/officeDocument/2006/relationships/image" Target="media/image129.png" /><Relationship Id="rId138" Type="http://schemas.openxmlformats.org/officeDocument/2006/relationships/image" Target="media/image134.svg" /><Relationship Id="rId16" Type="http://schemas.openxmlformats.org/officeDocument/2006/relationships/image" Target="media/image12.svg" /><Relationship Id="rId107" Type="http://schemas.openxmlformats.org/officeDocument/2006/relationships/image" Target="media/image103.png" /><Relationship Id="rId11" Type="http://schemas.openxmlformats.org/officeDocument/2006/relationships/image" Target="media/image7.png" /><Relationship Id="rId32" Type="http://schemas.openxmlformats.org/officeDocument/2006/relationships/image" Target="media/image28.svg" /><Relationship Id="rId37" Type="http://schemas.openxmlformats.org/officeDocument/2006/relationships/image" Target="media/image33.png" /><Relationship Id="rId53" Type="http://schemas.openxmlformats.org/officeDocument/2006/relationships/image" Target="media/image49.png" /><Relationship Id="rId58" Type="http://schemas.openxmlformats.org/officeDocument/2006/relationships/image" Target="media/image54.svg" /><Relationship Id="rId74" Type="http://schemas.openxmlformats.org/officeDocument/2006/relationships/image" Target="media/image70.svg" /><Relationship Id="rId79" Type="http://schemas.openxmlformats.org/officeDocument/2006/relationships/image" Target="media/image75.png" /><Relationship Id="rId102" Type="http://schemas.openxmlformats.org/officeDocument/2006/relationships/image" Target="media/image98.svg" /><Relationship Id="rId123" Type="http://schemas.openxmlformats.org/officeDocument/2006/relationships/image" Target="media/image119.png" /><Relationship Id="rId128" Type="http://schemas.openxmlformats.org/officeDocument/2006/relationships/image" Target="media/image124.svg" /><Relationship Id="rId5" Type="http://schemas.openxmlformats.org/officeDocument/2006/relationships/image" Target="media/image1.png" /><Relationship Id="rId90" Type="http://schemas.openxmlformats.org/officeDocument/2006/relationships/image" Target="media/image86.svg" /><Relationship Id="rId95" Type="http://schemas.openxmlformats.org/officeDocument/2006/relationships/image" Target="media/image91.png" /><Relationship Id="rId22" Type="http://schemas.openxmlformats.org/officeDocument/2006/relationships/image" Target="media/image18.svg" /><Relationship Id="rId27" Type="http://schemas.openxmlformats.org/officeDocument/2006/relationships/image" Target="media/image23.png" /><Relationship Id="rId43" Type="http://schemas.openxmlformats.org/officeDocument/2006/relationships/image" Target="media/image39.png" /><Relationship Id="rId48" Type="http://schemas.openxmlformats.org/officeDocument/2006/relationships/image" Target="media/image44.svg" /><Relationship Id="rId64" Type="http://schemas.openxmlformats.org/officeDocument/2006/relationships/image" Target="media/image60.svg" /><Relationship Id="rId69" Type="http://schemas.openxmlformats.org/officeDocument/2006/relationships/image" Target="media/image65.png" /><Relationship Id="rId113" Type="http://schemas.openxmlformats.org/officeDocument/2006/relationships/image" Target="media/image109.png" /><Relationship Id="rId118" Type="http://schemas.openxmlformats.org/officeDocument/2006/relationships/image" Target="media/image114.svg" /><Relationship Id="rId134" Type="http://schemas.openxmlformats.org/officeDocument/2006/relationships/image" Target="media/image130.svg" /><Relationship Id="rId139" Type="http://schemas.openxmlformats.org/officeDocument/2006/relationships/image" Target="media/image135.png" /><Relationship Id="rId8" Type="http://schemas.openxmlformats.org/officeDocument/2006/relationships/image" Target="media/image4.svg" /><Relationship Id="rId51" Type="http://schemas.openxmlformats.org/officeDocument/2006/relationships/image" Target="media/image47.png" /><Relationship Id="rId72" Type="http://schemas.openxmlformats.org/officeDocument/2006/relationships/image" Target="media/image68.svg" /><Relationship Id="rId80" Type="http://schemas.openxmlformats.org/officeDocument/2006/relationships/image" Target="media/image76.svg" /><Relationship Id="rId85" Type="http://schemas.openxmlformats.org/officeDocument/2006/relationships/image" Target="media/image81.png" /><Relationship Id="rId93" Type="http://schemas.openxmlformats.org/officeDocument/2006/relationships/image" Target="media/image89.png" /><Relationship Id="rId98" Type="http://schemas.openxmlformats.org/officeDocument/2006/relationships/image" Target="media/image94.svg" /><Relationship Id="rId121" Type="http://schemas.openxmlformats.org/officeDocument/2006/relationships/image" Target="media/image117.png" /><Relationship Id="rId142" Type="http://schemas.openxmlformats.org/officeDocument/2006/relationships/theme" Target="theme/theme1.xml" /><Relationship Id="rId3" Type="http://schemas.openxmlformats.org/officeDocument/2006/relationships/settings" Target="settings.xml" /><Relationship Id="rId12" Type="http://schemas.openxmlformats.org/officeDocument/2006/relationships/image" Target="media/image8.svg" /><Relationship Id="rId17" Type="http://schemas.openxmlformats.org/officeDocument/2006/relationships/image" Target="media/image13.png" /><Relationship Id="rId25" Type="http://schemas.openxmlformats.org/officeDocument/2006/relationships/image" Target="media/image21.png" /><Relationship Id="rId33" Type="http://schemas.openxmlformats.org/officeDocument/2006/relationships/image" Target="media/image29.png" /><Relationship Id="rId38" Type="http://schemas.openxmlformats.org/officeDocument/2006/relationships/image" Target="media/image34.svg" /><Relationship Id="rId46" Type="http://schemas.openxmlformats.org/officeDocument/2006/relationships/image" Target="media/image42.svg" /><Relationship Id="rId59" Type="http://schemas.openxmlformats.org/officeDocument/2006/relationships/image" Target="media/image55.png" /><Relationship Id="rId67" Type="http://schemas.openxmlformats.org/officeDocument/2006/relationships/image" Target="media/image63.png" /><Relationship Id="rId103" Type="http://schemas.openxmlformats.org/officeDocument/2006/relationships/image" Target="media/image99.png" /><Relationship Id="rId108" Type="http://schemas.openxmlformats.org/officeDocument/2006/relationships/image" Target="media/image104.svg" /><Relationship Id="rId116" Type="http://schemas.openxmlformats.org/officeDocument/2006/relationships/image" Target="media/image112.svg" /><Relationship Id="rId124" Type="http://schemas.openxmlformats.org/officeDocument/2006/relationships/image" Target="media/image120.svg" /><Relationship Id="rId129" Type="http://schemas.openxmlformats.org/officeDocument/2006/relationships/image" Target="media/image125.png" /><Relationship Id="rId137" Type="http://schemas.openxmlformats.org/officeDocument/2006/relationships/image" Target="media/image133.png" /><Relationship Id="rId20" Type="http://schemas.openxmlformats.org/officeDocument/2006/relationships/image" Target="media/image16.svg" /><Relationship Id="rId41" Type="http://schemas.openxmlformats.org/officeDocument/2006/relationships/image" Target="media/image37.png" /><Relationship Id="rId54" Type="http://schemas.openxmlformats.org/officeDocument/2006/relationships/image" Target="media/image50.svg" /><Relationship Id="rId62" Type="http://schemas.openxmlformats.org/officeDocument/2006/relationships/image" Target="media/image58.svg" /><Relationship Id="rId70" Type="http://schemas.openxmlformats.org/officeDocument/2006/relationships/image" Target="media/image66.svg" /><Relationship Id="rId75" Type="http://schemas.openxmlformats.org/officeDocument/2006/relationships/image" Target="media/image71.png" /><Relationship Id="rId83" Type="http://schemas.openxmlformats.org/officeDocument/2006/relationships/image" Target="media/image79.png" /><Relationship Id="rId88" Type="http://schemas.openxmlformats.org/officeDocument/2006/relationships/image" Target="media/image84.svg" /><Relationship Id="rId91" Type="http://schemas.openxmlformats.org/officeDocument/2006/relationships/image" Target="media/image87.png" /><Relationship Id="rId96" Type="http://schemas.openxmlformats.org/officeDocument/2006/relationships/image" Target="media/image92.svg" /><Relationship Id="rId111" Type="http://schemas.openxmlformats.org/officeDocument/2006/relationships/image" Target="media/image107.png" /><Relationship Id="rId132" Type="http://schemas.openxmlformats.org/officeDocument/2006/relationships/image" Target="media/image128.svg" /><Relationship Id="rId140" Type="http://schemas.openxmlformats.org/officeDocument/2006/relationships/image" Target="media/image136.svg" /><Relationship Id="rId1" Type="http://schemas.openxmlformats.org/officeDocument/2006/relationships/numbering" Target="numbering.xml" /><Relationship Id="rId6" Type="http://schemas.openxmlformats.org/officeDocument/2006/relationships/image" Target="media/image2.svg" /><Relationship Id="rId15" Type="http://schemas.openxmlformats.org/officeDocument/2006/relationships/image" Target="media/image11.png" /><Relationship Id="rId23" Type="http://schemas.openxmlformats.org/officeDocument/2006/relationships/image" Target="media/image19.png" /><Relationship Id="rId28" Type="http://schemas.openxmlformats.org/officeDocument/2006/relationships/image" Target="media/image24.svg" /><Relationship Id="rId36" Type="http://schemas.openxmlformats.org/officeDocument/2006/relationships/image" Target="media/image32.svg" /><Relationship Id="rId49" Type="http://schemas.openxmlformats.org/officeDocument/2006/relationships/image" Target="media/image45.png" /><Relationship Id="rId57" Type="http://schemas.openxmlformats.org/officeDocument/2006/relationships/image" Target="media/image53.png" /><Relationship Id="rId106" Type="http://schemas.openxmlformats.org/officeDocument/2006/relationships/image" Target="media/image102.svg" /><Relationship Id="rId114" Type="http://schemas.openxmlformats.org/officeDocument/2006/relationships/image" Target="media/image110.svg" /><Relationship Id="rId119" Type="http://schemas.openxmlformats.org/officeDocument/2006/relationships/image" Target="media/image115.png" /><Relationship Id="rId127" Type="http://schemas.openxmlformats.org/officeDocument/2006/relationships/image" Target="media/image123.png" /><Relationship Id="rId10" Type="http://schemas.openxmlformats.org/officeDocument/2006/relationships/image" Target="media/image6.svg" /><Relationship Id="rId31" Type="http://schemas.openxmlformats.org/officeDocument/2006/relationships/image" Target="media/image27.png" /><Relationship Id="rId44" Type="http://schemas.openxmlformats.org/officeDocument/2006/relationships/image" Target="media/image40.svg" /><Relationship Id="rId52" Type="http://schemas.openxmlformats.org/officeDocument/2006/relationships/image" Target="media/image48.svg" /><Relationship Id="rId60" Type="http://schemas.openxmlformats.org/officeDocument/2006/relationships/image" Target="media/image56.svg" /><Relationship Id="rId65" Type="http://schemas.openxmlformats.org/officeDocument/2006/relationships/image" Target="media/image61.png" /><Relationship Id="rId73" Type="http://schemas.openxmlformats.org/officeDocument/2006/relationships/image" Target="media/image69.png" /><Relationship Id="rId78" Type="http://schemas.openxmlformats.org/officeDocument/2006/relationships/image" Target="media/image74.svg" /><Relationship Id="rId81" Type="http://schemas.openxmlformats.org/officeDocument/2006/relationships/image" Target="media/image77.png" /><Relationship Id="rId86" Type="http://schemas.openxmlformats.org/officeDocument/2006/relationships/image" Target="media/image82.svg" /><Relationship Id="rId94" Type="http://schemas.openxmlformats.org/officeDocument/2006/relationships/image" Target="media/image90.svg" /><Relationship Id="rId99" Type="http://schemas.openxmlformats.org/officeDocument/2006/relationships/image" Target="media/image95.png" /><Relationship Id="rId101" Type="http://schemas.openxmlformats.org/officeDocument/2006/relationships/image" Target="media/image97.png" /><Relationship Id="rId122" Type="http://schemas.openxmlformats.org/officeDocument/2006/relationships/image" Target="media/image118.svg" /><Relationship Id="rId130" Type="http://schemas.openxmlformats.org/officeDocument/2006/relationships/image" Target="media/image126.svg" /><Relationship Id="rId135" Type="http://schemas.openxmlformats.org/officeDocument/2006/relationships/image" Target="media/image131.png" /><Relationship Id="rId4" Type="http://schemas.openxmlformats.org/officeDocument/2006/relationships/webSettings" Target="webSettings.xml" /><Relationship Id="rId9" Type="http://schemas.openxmlformats.org/officeDocument/2006/relationships/image" Target="media/image5.png" /><Relationship Id="rId13" Type="http://schemas.openxmlformats.org/officeDocument/2006/relationships/image" Target="media/image9.png" /><Relationship Id="rId18" Type="http://schemas.openxmlformats.org/officeDocument/2006/relationships/image" Target="media/image14.svg" /><Relationship Id="rId39" Type="http://schemas.openxmlformats.org/officeDocument/2006/relationships/image" Target="media/image35.png" /><Relationship Id="rId109" Type="http://schemas.openxmlformats.org/officeDocument/2006/relationships/image" Target="media/image105.png" /><Relationship Id="rId34" Type="http://schemas.openxmlformats.org/officeDocument/2006/relationships/image" Target="media/image30.svg" /><Relationship Id="rId50" Type="http://schemas.openxmlformats.org/officeDocument/2006/relationships/image" Target="media/image46.svg" /><Relationship Id="rId55" Type="http://schemas.openxmlformats.org/officeDocument/2006/relationships/image" Target="media/image51.png" /><Relationship Id="rId76" Type="http://schemas.openxmlformats.org/officeDocument/2006/relationships/image" Target="media/image72.svg" /><Relationship Id="rId97" Type="http://schemas.openxmlformats.org/officeDocument/2006/relationships/image" Target="media/image93.png" /><Relationship Id="rId104" Type="http://schemas.openxmlformats.org/officeDocument/2006/relationships/image" Target="media/image100.svg" /><Relationship Id="rId120" Type="http://schemas.openxmlformats.org/officeDocument/2006/relationships/image" Target="media/image116.svg" /><Relationship Id="rId125" Type="http://schemas.openxmlformats.org/officeDocument/2006/relationships/image" Target="media/image121.png" /><Relationship Id="rId141" Type="http://schemas.openxmlformats.org/officeDocument/2006/relationships/fontTable" Target="fontTable.xml" /><Relationship Id="rId7" Type="http://schemas.openxmlformats.org/officeDocument/2006/relationships/image" Target="media/image3.png" /><Relationship Id="rId71" Type="http://schemas.openxmlformats.org/officeDocument/2006/relationships/image" Target="media/image67.png" /><Relationship Id="rId92" Type="http://schemas.openxmlformats.org/officeDocument/2006/relationships/image" Target="media/image88.svg" /><Relationship Id="rId2" Type="http://schemas.openxmlformats.org/officeDocument/2006/relationships/styles" Target="styles.xml" /><Relationship Id="rId29" Type="http://schemas.openxmlformats.org/officeDocument/2006/relationships/image" Target="media/image25.png" /><Relationship Id="rId24" Type="http://schemas.openxmlformats.org/officeDocument/2006/relationships/image" Target="media/image20.svg" /><Relationship Id="rId40" Type="http://schemas.openxmlformats.org/officeDocument/2006/relationships/image" Target="media/image36.svg" /><Relationship Id="rId45" Type="http://schemas.openxmlformats.org/officeDocument/2006/relationships/image" Target="media/image41.png" /><Relationship Id="rId66" Type="http://schemas.openxmlformats.org/officeDocument/2006/relationships/image" Target="media/image62.svg" /><Relationship Id="rId87" Type="http://schemas.openxmlformats.org/officeDocument/2006/relationships/image" Target="media/image83.png" /><Relationship Id="rId110" Type="http://schemas.openxmlformats.org/officeDocument/2006/relationships/image" Target="media/image106.svg" /><Relationship Id="rId115" Type="http://schemas.openxmlformats.org/officeDocument/2006/relationships/image" Target="media/image111.png" /><Relationship Id="rId131" Type="http://schemas.openxmlformats.org/officeDocument/2006/relationships/image" Target="media/image127.png" /><Relationship Id="rId136" Type="http://schemas.openxmlformats.org/officeDocument/2006/relationships/image" Target="media/image132.svg" /><Relationship Id="rId61" Type="http://schemas.openxmlformats.org/officeDocument/2006/relationships/image" Target="media/image57.png" /><Relationship Id="rId82" Type="http://schemas.openxmlformats.org/officeDocument/2006/relationships/image" Target="media/image78.svg" /><Relationship Id="rId19" Type="http://schemas.openxmlformats.org/officeDocument/2006/relationships/image" Target="media/image15.png" /><Relationship Id="rId14" Type="http://schemas.openxmlformats.org/officeDocument/2006/relationships/image" Target="media/image10.svg" /><Relationship Id="rId30" Type="http://schemas.openxmlformats.org/officeDocument/2006/relationships/image" Target="media/image26.svg" /><Relationship Id="rId35" Type="http://schemas.openxmlformats.org/officeDocument/2006/relationships/image" Target="media/image31.png" /><Relationship Id="rId56" Type="http://schemas.openxmlformats.org/officeDocument/2006/relationships/image" Target="media/image52.svg" /><Relationship Id="rId77" Type="http://schemas.openxmlformats.org/officeDocument/2006/relationships/image" Target="media/image73.png" /><Relationship Id="rId100" Type="http://schemas.openxmlformats.org/officeDocument/2006/relationships/image" Target="media/image96.svg" /><Relationship Id="rId105" Type="http://schemas.openxmlformats.org/officeDocument/2006/relationships/image" Target="media/image101.png" /><Relationship Id="rId126" Type="http://schemas.openxmlformats.org/officeDocument/2006/relationships/image" Target="media/image122.svg"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297843</Words>
  <Characters>1697709</Characters>
  <Application>Microsoft Office Word</Application>
  <DocSecurity>0</DocSecurity>
  <Lines>14147</Lines>
  <Paragraphs>3983</Paragraphs>
  <ScaleCrop>false</ScaleCrop>
  <Company/>
  <LinksUpToDate>false</LinksUpToDate>
  <CharactersWithSpaces>1991569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Studio Integrale Finale e Definitivo — Psicologo di Base — Puglia</dc:title>
  <dc:subject>Documento Unico Integrale — 15 Parti</dc:subject>
  <dc:creator>Luigi De Michele</dc:creator>
  <dc:description>Documento Unico Integrale dello Studio sulla riforma del Psicologo di Base in Puglia</dc:description>
  <cp:lastModifiedBy>Luigi De Michele</cp:lastModifiedBy>
  <cp:revision>15</cp:revision>
  <dcterms:created xsi:type="dcterms:W3CDTF">2026-06-25T12:24:00Z</dcterms:created>
  <dcterms:modified xsi:type="dcterms:W3CDTF">2026-06-27T18:15:00Z</dcterms:modified>
</cp:coreProperties>
</file>