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La terza strada — Il ceppo Simioni e il nodo Hyperion</w:t>
      </w:r>
    </w:p>
    <w:p>
      <w:pPr>
        <w:spacing w:after="120" w:line="276"/>
        <w:jc w:val="both"/>
      </w:pPr>
      <w:r>
        <w:rPr>
          <w:rFonts w:ascii="Times New Roman" w:cs="Times New Roman" w:eastAsia="Times New Roman" w:hAnsi="Times New Roman"/>
          <w:b/>
          <w:bCs/>
          <w:sz w:val="24"/>
          <w:szCs w:val="24"/>
        </w:rPr>
        <w:t xml:space="preserve">Dittico: lo studio monografico della discendenza CPM → Superclan → Hyperion · la triangolazione del nodo con il corpus</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Volume rilegato — 25 agosto 2026 · Branch pubblico del corpus storico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Ordine del volume, e l'esito in testa.</w:t>
      </w:r>
      <w:r>
        <w:rPr>
          <w:rFonts w:ascii="Times New Roman" w:cs="Times New Roman" w:eastAsia="Times New Roman" w:hAnsi="Times New Roman"/>
          <w:i w:val="false"/>
          <w:iCs w:val="false"/>
          <w:sz w:val="24"/>
          <w:szCs w:val="24"/>
        </w:rPr>
        <w:t xml:space="preserve"> Questo dittico raccoglie i due pannelli della «terza strada» della matrice milanese del 1969. Il </w:t>
      </w:r>
      <w:r>
        <w:rPr>
          <w:rFonts w:ascii="Times New Roman" w:cs="Times New Roman" w:eastAsia="Times New Roman" w:hAnsi="Times New Roman"/>
          <w:b/>
          <w:bCs/>
          <w:i w:val="false"/>
          <w:iCs w:val="false"/>
          <w:sz w:val="24"/>
          <w:szCs w:val="24"/>
        </w:rPr>
        <w:t xml:space="preserve">primo pannello</w:t>
      </w:r>
      <w:r>
        <w:rPr>
          <w:rFonts w:ascii="Times New Roman" w:cs="Times New Roman" w:eastAsia="Times New Roman" w:hAnsi="Times New Roman"/>
          <w:i w:val="false"/>
          <w:iCs w:val="false"/>
          <w:sz w:val="24"/>
          <w:szCs w:val="24"/>
        </w:rPr>
        <w:t xml:space="preserve"> è lo studio monografico del ceppo Simioni: la fondazione a due del CPM (8 settembre 1969), la biografia di Corrado Simioni coi gradi dichiarati, la scissione del 1970-71 e il Superclan, Parigi e Hyperion, i tre percorsi giudiziari persona per persona, le suggestioni pesate una per una. Il </w:t>
      </w:r>
      <w:r>
        <w:rPr>
          <w:rFonts w:ascii="Times New Roman" w:cs="Times New Roman" w:eastAsia="Times New Roman" w:hAnsi="Times New Roman"/>
          <w:b/>
          <w:bCs/>
          <w:i w:val="false"/>
          <w:iCs w:val="false"/>
          <w:sz w:val="24"/>
          <w:szCs w:val="24"/>
        </w:rPr>
        <w:t xml:space="preserve">secondo pannello</w:t>
      </w:r>
      <w:r>
        <w:rPr>
          <w:rFonts w:ascii="Times New Roman" w:cs="Times New Roman" w:eastAsia="Times New Roman" w:hAnsi="Times New Roman"/>
          <w:i w:val="false"/>
          <w:iCs w:val="false"/>
          <w:sz w:val="24"/>
          <w:szCs w:val="24"/>
        </w:rPr>
        <w:t xml:space="preserve"> è la triangolazione del nodo Hyperion con il corpus: i nove fatti documentati (HY-1…HY-9), le due tesi contrapposte entrambe lasciate al grado di congettura, i ponti e le anti-triangolazioni. Prima di ogni pagina vale il loro esito comune: </w:t>
      </w:r>
      <w:r>
        <w:rPr>
          <w:rFonts w:ascii="Times New Roman" w:cs="Times New Roman" w:eastAsia="Times New Roman" w:hAnsi="Times New Roman"/>
          <w:b/>
          <w:bCs/>
          <w:i w:val="false"/>
          <w:iCs w:val="false"/>
          <w:sz w:val="24"/>
          <w:szCs w:val="24"/>
        </w:rPr>
        <w:t xml:space="preserve">tutti i procedimenti su Hyperion e sui suoi fondatori si chiusero con proscioglimenti e assoluzioni — Mulinaris con formula piena e risarcimento, Berio due volte, Simioni mai condannato.</w:t>
      </w:r>
      <w:r>
        <w:rPr>
          <w:rFonts w:ascii="Times New Roman" w:cs="Times New Roman" w:eastAsia="Times New Roman" w:hAnsi="Times New Roman"/>
          <w:i w:val="false"/>
          <w:iCs w:val="false"/>
          <w:sz w:val="24"/>
          <w:szCs w:val="24"/>
        </w:rPr>
        <w:t xml:space="preserve"> Nessuno è mai stato condannato; la presunzione d'innocenza è piena e nominale.</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Disciplina.</w:t>
      </w:r>
      <w:r>
        <w:rPr>
          <w:rFonts w:ascii="Times New Roman" w:cs="Times New Roman" w:eastAsia="Times New Roman" w:hAnsi="Times New Roman"/>
          <w:i w:val="false"/>
          <w:iCs w:val="false"/>
          <w:sz w:val="24"/>
          <w:szCs w:val="24"/>
        </w:rPr>
        <w:t xml:space="preserve"> La Regola di Ferro vale qui al massimo grado: dove la fonte documenta, si certifica; dove tace, si tace. La memorialistica della scissione opposta è fonte di parte (grado C); il «si dice» resta «si dice»; l'impiego non è appartenenza e l'appartenenza non è condotta; la coincidenza non è nesso; il «fu assolto, ma» è bandito. Ogni verifica è stata condotta su fonti prima della stesura, con gli indirizzi riportati per la tracciabilità.</w:t>
      </w:r>
    </w:p>
    <w:p>
      <w:pPr>
        <w:spacing w:after="120" w:line="276"/>
        <w:jc w:val="both"/>
      </w:pPr>
      <w:r>
        <w:rPr>
          <w:rFonts w:ascii="Times New Roman" w:cs="Times New Roman" w:eastAsia="Times New Roman" w:hAnsi="Times New Roman"/>
          <w:sz w:val="24"/>
          <w:szCs w:val="24"/>
        </w:rPr>
        <w:t xml:space="preserve">ewpage</w:t>
      </w:r>
    </w:p>
    <w:p>
      <w:pPr>
        <w:pStyle w:val="Heading1"/>
        <w:spacing w:after="120" w:before="240"/>
      </w:pPr>
      <w:r>
        <w:rPr>
          <w:rFonts w:ascii="Times New Roman" w:cs="Times New Roman" w:eastAsia="Times New Roman" w:hAnsi="Times New Roman"/>
          <w:sz w:val="24"/>
          <w:szCs w:val="24"/>
        </w:rPr>
        <w:t xml:space="preserve">Pannello primo — Il ceppo Simioni: la discendenza CPM → Superclan → Hyperion</w:t>
      </w:r>
    </w:p>
    <w:p>
      <w:pPr>
        <w:pStyle w:val="Heading1"/>
        <w:spacing w:after="120" w:before="240"/>
      </w:pPr>
      <w:r>
        <w:rPr>
          <w:rFonts w:ascii="Times New Roman" w:cs="Times New Roman" w:eastAsia="Times New Roman" w:hAnsi="Times New Roman"/>
          <w:sz w:val="24"/>
          <w:szCs w:val="24"/>
        </w:rPr>
        <w:t xml:space="preserve">Il ceppo Simioni</w:t>
      </w:r>
    </w:p>
    <w:p>
      <w:pPr>
        <w:pStyle w:val="Heading2"/>
        <w:spacing w:after="100" w:before="200"/>
      </w:pPr>
      <w:r>
        <w:rPr>
          <w:rFonts w:ascii="Times New Roman" w:cs="Times New Roman" w:eastAsia="Times New Roman" w:hAnsi="Times New Roman"/>
          <w:sz w:val="24"/>
          <w:szCs w:val="24"/>
        </w:rPr>
        <w:t xml:space="preserve">La discendenza CPM → Superclan → Hyperion: genealogia di una strada che non finì in tribunale</w:t>
      </w:r>
    </w:p>
    <w:p>
      <w:pPr>
        <w:spacing w:after="120" w:line="276"/>
        <w:jc w:val="both"/>
      </w:pPr>
      <w:r>
        <w:rPr>
          <w:rFonts w:ascii="Times New Roman" w:cs="Times New Roman" w:eastAsia="Times New Roman" w:hAnsi="Times New Roman"/>
          <w:i/>
          <w:iCs/>
          <w:sz w:val="24"/>
          <w:szCs w:val="24"/>
        </w:rPr>
        <w:t xml:space="preserve">Studio monografico — 25 agosto 2026 · Complemento della triangolazione Hyperion e della Fase decima</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l'esito in testa.</w:t>
      </w:r>
      <w:r>
        <w:rPr>
          <w:rFonts w:ascii="Times New Roman" w:cs="Times New Roman" w:eastAsia="Times New Roman" w:hAnsi="Times New Roman"/>
          <w:i w:val="false"/>
          <w:iCs w:val="false"/>
          <w:sz w:val="24"/>
          <w:szCs w:val="24"/>
        </w:rPr>
        <w:t xml:space="preserve"> Questo studio ricostruisce la </w:t>
      </w:r>
      <w:r>
        <w:rPr>
          <w:rFonts w:ascii="Times New Roman" w:cs="Times New Roman" w:eastAsia="Times New Roman" w:hAnsi="Times New Roman"/>
          <w:b/>
          <w:bCs/>
          <w:i w:val="false"/>
          <w:iCs w:val="false"/>
          <w:sz w:val="24"/>
          <w:szCs w:val="24"/>
        </w:rPr>
        <w:t xml:space="preserve">seconda discendenza</w:t>
      </w:r>
      <w:r>
        <w:rPr>
          <w:rFonts w:ascii="Times New Roman" w:cs="Times New Roman" w:eastAsia="Times New Roman" w:hAnsi="Times New Roman"/>
          <w:i w:val="false"/>
          <w:iCs w:val="false"/>
          <w:sz w:val="24"/>
          <w:szCs w:val="24"/>
        </w:rPr>
        <w:t xml:space="preserve"> del ceppo milanese del 1969: quella che dal Collettivo Politico Metropolitano — fondato da Renato Curcio </w:t>
      </w:r>
      <w:r>
        <w:rPr>
          <w:rFonts w:ascii="Times New Roman" w:cs="Times New Roman" w:eastAsia="Times New Roman" w:hAnsi="Times New Roman"/>
          <w:b/>
          <w:bCs/>
          <w:i w:val="false"/>
          <w:iCs w:val="false"/>
          <w:sz w:val="24"/>
          <w:szCs w:val="24"/>
        </w:rPr>
        <w:t xml:space="preserve">e</w:t>
      </w:r>
      <w:r>
        <w:rPr>
          <w:rFonts w:ascii="Times New Roman" w:cs="Times New Roman" w:eastAsia="Times New Roman" w:hAnsi="Times New Roman"/>
          <w:i w:val="false"/>
          <w:iCs w:val="false"/>
          <w:sz w:val="24"/>
          <w:szCs w:val="24"/>
        </w:rPr>
        <w:t xml:space="preserve"> da Corrado Simioni — non andò verso le Brigate Rosse ma verso il Superclan e poi, a Parigi, verso la scuola di lingue Hyperion. L'esito giudiziario di questa discendenza va scritto </w:t>
      </w:r>
      <w:r>
        <w:rPr>
          <w:rFonts w:ascii="Times New Roman" w:cs="Times New Roman" w:eastAsia="Times New Roman" w:hAnsi="Times New Roman"/>
          <w:b/>
          <w:bCs/>
          <w:i w:val="false"/>
          <w:iCs w:val="false"/>
          <w:sz w:val="24"/>
          <w:szCs w:val="24"/>
        </w:rPr>
        <w:t xml:space="preserve">prima di ogni altra cosa</w:t>
      </w:r>
      <w:r>
        <w:rPr>
          <w:rFonts w:ascii="Times New Roman" w:cs="Times New Roman" w:eastAsia="Times New Roman" w:hAnsi="Times New Roman"/>
          <w:i w:val="false"/>
          <w:iCs w:val="false"/>
          <w:sz w:val="24"/>
          <w:szCs w:val="24"/>
        </w:rPr>
        <w:t xml:space="preserve">, perché governa ogni riga che segue: </w:t>
      </w:r>
      <w:r>
        <w:rPr>
          <w:rFonts w:ascii="Times New Roman" w:cs="Times New Roman" w:eastAsia="Times New Roman" w:hAnsi="Times New Roman"/>
          <w:b/>
          <w:bCs/>
          <w:i w:val="false"/>
          <w:iCs w:val="false"/>
          <w:sz w:val="24"/>
          <w:szCs w:val="24"/>
        </w:rPr>
        <w:t xml:space="preserve">Vanni Mulinaris fu assolto con formula piena e risarcito dallo Stato per l'ingiusta detenzione; Duccio Berio fu assolto a Roma (1989) e a Venezia (1990); Corrado Simioni non fu mai condannato per alcunché.</w:t>
      </w:r>
      <w:r>
        <w:rPr>
          <w:rFonts w:ascii="Times New Roman" w:cs="Times New Roman" w:eastAsia="Times New Roman" w:hAnsi="Times New Roman"/>
          <w:i w:val="false"/>
          <w:iCs w:val="false"/>
          <w:sz w:val="24"/>
          <w:szCs w:val="24"/>
        </w:rPr>
        <w:t xml:space="preserve"> I tre fondatori di Hyperion sono, per l'ordinamento della Repubblica, </w:t>
      </w:r>
      <w:r>
        <w:rPr>
          <w:rFonts w:ascii="Times New Roman" w:cs="Times New Roman" w:eastAsia="Times New Roman" w:hAnsi="Times New Roman"/>
          <w:b/>
          <w:bCs/>
          <w:i w:val="false"/>
          <w:iCs w:val="false"/>
          <w:sz w:val="24"/>
          <w:szCs w:val="24"/>
        </w:rPr>
        <w:t xml:space="preserve">innocenti</w:t>
      </w:r>
      <w:r>
        <w:rPr>
          <w:rFonts w:ascii="Times New Roman" w:cs="Times New Roman" w:eastAsia="Times New Roman" w:hAnsi="Times New Roman"/>
          <w:i w:val="false"/>
          <w:iCs w:val="false"/>
          <w:sz w:val="24"/>
          <w:szCs w:val="24"/>
        </w:rPr>
        <w:t xml:space="preserve"> — non «sfuggiti», non «coperti»: innocenti. Chi legge questo studio cercando una requisitoria non la troverà; troverà una genealogia di persone e percorsi, documentata su fonti verificate, con i gradi dichiarati e con il divieto — qui più stringente che altrove — di far dire alle coincidenze ciò che le sentenze hanno negato. Le due tesi contrapposte su Hyperion («centrale del terrorismo» / «centrale d'intelligence») restano entrambe al </w:t>
      </w:r>
      <w:r>
        <w:rPr>
          <w:rFonts w:ascii="Times New Roman" w:cs="Times New Roman" w:eastAsia="Times New Roman" w:hAnsi="Times New Roman"/>
          <w:b/>
          <w:bCs/>
          <w:i w:val="false"/>
          <w:iCs w:val="false"/>
          <w:sz w:val="24"/>
          <w:szCs w:val="24"/>
        </w:rPr>
        <w:t xml:space="preserve">grado C</w:t>
      </w:r>
      <w:r>
        <w:rPr>
          <w:rFonts w:ascii="Times New Roman" w:cs="Times New Roman" w:eastAsia="Times New Roman" w:hAnsi="Times New Roman"/>
          <w:i w:val="false"/>
          <w:iCs w:val="false"/>
          <w:sz w:val="24"/>
          <w:szCs w:val="24"/>
        </w:rPr>
        <w:t xml:space="preserve">, come il corpus le ha già gradate in </w:t>
      </w:r>
      <w:r>
        <w:rPr>
          <w:rFonts w:ascii="Times New Roman" w:cs="Times New Roman" w:eastAsia="Times New Roman" w:hAnsi="Times New Roman"/>
          <w:i w:val="false"/>
          <w:iCs w:val="false"/>
          <w:sz w:val="24"/>
          <w:szCs w:val="24"/>
        </w:rPr>
        <w:t xml:space="preserve">triangolazione-hyperion-corpus.md</w:t>
      </w:r>
      <w:r>
        <w:rPr>
          <w:rFonts w:ascii="Times New Roman" w:cs="Times New Roman" w:eastAsia="Times New Roman" w:hAnsi="Times New Roman"/>
          <w:i w:val="false"/>
          <w:iCs w:val="false"/>
          <w:sz w:val="24"/>
          <w:szCs w:val="24"/>
        </w:rPr>
        <w:t xml:space="preserve">, e questo studio non le promuove di un millimetro.</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I — Perché questo studio: il ceppo a doppia discendenza</w:t>
      </w:r>
    </w:p>
    <w:p>
      <w:pPr>
        <w:spacing w:after="120" w:line="276"/>
        <w:jc w:val="both"/>
      </w:pPr>
      <w:r>
        <w:rPr>
          <w:rFonts w:ascii="Times New Roman" w:cs="Times New Roman" w:eastAsia="Times New Roman" w:hAnsi="Times New Roman"/>
          <w:sz w:val="24"/>
          <w:szCs w:val="24"/>
        </w:rPr>
        <w:t xml:space="preserve">La triangolazione dei tredici condannati (nodo T-1) ha reso visibile un fatto genealogico che merita uno studio a sé: il </w:t>
      </w:r>
      <w:r>
        <w:rPr>
          <w:rFonts w:ascii="Times New Roman" w:cs="Times New Roman" w:eastAsia="Times New Roman" w:hAnsi="Times New Roman"/>
          <w:b/>
          <w:bCs/>
          <w:sz w:val="24"/>
          <w:szCs w:val="24"/>
        </w:rPr>
        <w:t xml:space="preserve">Collettivo Politico Metropolitano</w:t>
      </w:r>
      <w:r>
        <w:rPr>
          <w:rFonts w:ascii="Times New Roman" w:cs="Times New Roman" w:eastAsia="Times New Roman" w:hAnsi="Times New Roman"/>
          <w:sz w:val="24"/>
          <w:szCs w:val="24"/>
        </w:rPr>
        <w:t xml:space="preserve">, fondato a Milano l'</w:t>
      </w:r>
      <w:r>
        <w:rPr>
          <w:rFonts w:ascii="Times New Roman" w:cs="Times New Roman" w:eastAsia="Times New Roman" w:hAnsi="Times New Roman"/>
          <w:b/>
          <w:bCs/>
          <w:sz w:val="24"/>
          <w:szCs w:val="24"/>
        </w:rPr>
        <w:t xml:space="preserve">8 settembre 1969</w:t>
      </w:r>
      <w:r>
        <w:rPr>
          <w:rFonts w:ascii="Times New Roman" w:cs="Times New Roman" w:eastAsia="Times New Roman" w:hAnsi="Times New Roman"/>
          <w:sz w:val="24"/>
          <w:szCs w:val="24"/>
        </w:rPr>
        <w:t xml:space="preserve">, ebbe due fondatori — Curcio e Simioni — e </w:t>
      </w:r>
      <w:r>
        <w:rPr>
          <w:rFonts w:ascii="Times New Roman" w:cs="Times New Roman" w:eastAsia="Times New Roman" w:hAnsi="Times New Roman"/>
          <w:b/>
          <w:bCs/>
          <w:sz w:val="24"/>
          <w:szCs w:val="24"/>
        </w:rPr>
        <w:t xml:space="preserve">due discendenze</w:t>
      </w:r>
      <w:r>
        <w:rPr>
          <w:rFonts w:ascii="Times New Roman" w:cs="Times New Roman" w:eastAsia="Times New Roman" w:hAnsi="Times New Roman"/>
          <w:sz w:val="24"/>
          <w:szCs w:val="24"/>
        </w:rPr>
        <w:t xml:space="preserve">. Dalla via di Curcio, attraverso Sinistra Proletaria e la clandestinità del 1970, nacquero le Brigate Rosse: tredici delle persone che ne uscirono stanno oggi nel registro del giudicato (Fase decima), ciascuna con la propria condanna. Dalla via di Simioni nacquero il Superclan e poi Hyperion: le tre persone che la percorsero fino in fondo </w:t>
      </w:r>
      <w:r>
        <w:rPr>
          <w:rFonts w:ascii="Times New Roman" w:cs="Times New Roman" w:eastAsia="Times New Roman" w:hAnsi="Times New Roman"/>
          <w:b/>
          <w:bCs/>
          <w:sz w:val="24"/>
          <w:szCs w:val="24"/>
        </w:rPr>
        <w:t xml:space="preserve">non stanno in nessun registro di condannati</w:t>
      </w:r>
      <w:r>
        <w:rPr>
          <w:rFonts w:ascii="Times New Roman" w:cs="Times New Roman" w:eastAsia="Times New Roman" w:hAnsi="Times New Roman"/>
          <w:sz w:val="24"/>
          <w:szCs w:val="24"/>
        </w:rPr>
        <w:t xml:space="preserve">, perché i processi che le riguardarono finirono in assoluzioni e proscioglimenti.</w:t>
      </w:r>
    </w:p>
    <w:p>
      <w:pPr>
        <w:spacing w:after="120" w:line="276"/>
        <w:jc w:val="both"/>
      </w:pPr>
      <w:r>
        <w:rPr>
          <w:rFonts w:ascii="Times New Roman" w:cs="Times New Roman" w:eastAsia="Times New Roman" w:hAnsi="Times New Roman"/>
          <w:sz w:val="24"/>
          <w:szCs w:val="24"/>
        </w:rPr>
        <w:t xml:space="preserve">Il ceppo comune produsse dunque </w:t>
      </w:r>
      <w:r>
        <w:rPr>
          <w:rFonts w:ascii="Times New Roman" w:cs="Times New Roman" w:eastAsia="Times New Roman" w:hAnsi="Times New Roman"/>
          <w:b/>
          <w:bCs/>
          <w:sz w:val="24"/>
          <w:szCs w:val="24"/>
        </w:rPr>
        <w:t xml:space="preserve">esiti giudiziari opposti</w:t>
      </w:r>
      <w:r>
        <w:rPr>
          <w:rFonts w:ascii="Times New Roman" w:cs="Times New Roman" w:eastAsia="Times New Roman" w:hAnsi="Times New Roman"/>
          <w:sz w:val="24"/>
          <w:szCs w:val="24"/>
        </w:rPr>
        <w:t xml:space="preserve">, e il metodo dell'opera impone di rispettarli entrambi con la stessa forza: come nessuna assoluzione dei secondi attenua le condanne dei primi, così </w:t>
      </w:r>
      <w:r>
        <w:rPr>
          <w:rFonts w:ascii="Times New Roman" w:cs="Times New Roman" w:eastAsia="Times New Roman" w:hAnsi="Times New Roman"/>
          <w:b/>
          <w:bCs/>
          <w:sz w:val="24"/>
          <w:szCs w:val="24"/>
        </w:rPr>
        <w:t xml:space="preserve">nessuna condanna dei primi ombreggia le assoluzioni dei secondi</w:t>
      </w:r>
      <w:r>
        <w:rPr>
          <w:rFonts w:ascii="Times New Roman" w:cs="Times New Roman" w:eastAsia="Times New Roman" w:hAnsi="Times New Roman"/>
          <w:sz w:val="24"/>
          <w:szCs w:val="24"/>
        </w:rPr>
        <w:t xml:space="preserve">. Studiare il ceppo non è cercare la colpa che i tribunali non trovarono: è capire come una stessa matrice — la Milano operaia e universitaria del 1969, Sit-Siemens e Pirelli, i collettivi — generò strade tanto divergenti. È storia, e la si fa da storici.</w:t>
      </w:r>
    </w:p>
    <w:p>
      <w:pPr>
        <w:pStyle w:val="Heading1"/>
        <w:spacing w:after="120" w:before="240"/>
      </w:pPr>
      <w:r>
        <w:rPr>
          <w:rFonts w:ascii="Times New Roman" w:cs="Times New Roman" w:eastAsia="Times New Roman" w:hAnsi="Times New Roman"/>
          <w:sz w:val="24"/>
          <w:szCs w:val="24"/>
        </w:rPr>
        <w:t xml:space="preserve">Capitolo II — L'uomo prima del ceppo: Simioni 1934-1969</w:t>
      </w:r>
    </w:p>
    <w:p>
      <w:pPr>
        <w:spacing w:after="120" w:line="276"/>
        <w:jc w:val="both"/>
      </w:pPr>
      <w:r>
        <w:rPr>
          <w:rFonts w:ascii="Times New Roman" w:cs="Times New Roman" w:eastAsia="Times New Roman" w:hAnsi="Times New Roman"/>
          <w:sz w:val="24"/>
          <w:szCs w:val="24"/>
        </w:rPr>
        <w:t xml:space="preserve">Corrado Simioni nacque a </w:t>
      </w:r>
      <w:r>
        <w:rPr>
          <w:rFonts w:ascii="Times New Roman" w:cs="Times New Roman" w:eastAsia="Times New Roman" w:hAnsi="Times New Roman"/>
          <w:b/>
          <w:bCs/>
          <w:sz w:val="24"/>
          <w:szCs w:val="24"/>
        </w:rPr>
        <w:t xml:space="preserve">Dolo il 10 dicembre 1934</w:t>
      </w:r>
      <w:r>
        <w:rPr>
          <w:rFonts w:ascii="Times New Roman" w:cs="Times New Roman" w:eastAsia="Times New Roman" w:hAnsi="Times New Roman"/>
          <w:sz w:val="24"/>
          <w:szCs w:val="24"/>
        </w:rPr>
        <w:t xml:space="preserve">. Studioso di Pirandello, cominciò l'attività politica nella </w:t>
      </w:r>
      <w:r>
        <w:rPr>
          <w:rFonts w:ascii="Times New Roman" w:cs="Times New Roman" w:eastAsia="Times New Roman" w:hAnsi="Times New Roman"/>
          <w:b/>
          <w:bCs/>
          <w:sz w:val="24"/>
          <w:szCs w:val="24"/>
        </w:rPr>
        <w:t xml:space="preserve">gioventù socialista, accanto a Bettino Craxi</w:t>
      </w:r>
      <w:r>
        <w:rPr>
          <w:rFonts w:ascii="Times New Roman" w:cs="Times New Roman" w:eastAsia="Times New Roman" w:hAnsi="Times New Roman"/>
          <w:sz w:val="24"/>
          <w:szCs w:val="24"/>
        </w:rPr>
        <w:t xml:space="preserve">; nel </w:t>
      </w:r>
      <w:r>
        <w:rPr>
          <w:rFonts w:ascii="Times New Roman" w:cs="Times New Roman" w:eastAsia="Times New Roman" w:hAnsi="Times New Roman"/>
          <w:b/>
          <w:bCs/>
          <w:sz w:val="24"/>
          <w:szCs w:val="24"/>
        </w:rPr>
        <w:t xml:space="preserve">1965 fu espulso dal PSI «per indegnità morale»</w:t>
      </w:r>
      <w:r>
        <w:rPr>
          <w:rFonts w:ascii="Times New Roman" w:cs="Times New Roman" w:eastAsia="Times New Roman" w:hAnsi="Times New Roman"/>
          <w:sz w:val="24"/>
          <w:szCs w:val="24"/>
        </w:rPr>
        <w:t xml:space="preserve"> — formula d'epoca alla quale egli stesso avrebbe poi alluso parlando di una vicenda di donne che coinvolgeva Craxi. Dopo l'espulsione si trasferì a </w:t>
      </w:r>
      <w:r>
        <w:rPr>
          <w:rFonts w:ascii="Times New Roman" w:cs="Times New Roman" w:eastAsia="Times New Roman" w:hAnsi="Times New Roman"/>
          <w:b/>
          <w:bCs/>
          <w:sz w:val="24"/>
          <w:szCs w:val="24"/>
        </w:rPr>
        <w:t xml:space="preserve">Monaco di Baviera</w:t>
      </w:r>
      <w:r>
        <w:rPr>
          <w:rFonts w:ascii="Times New Roman" w:cs="Times New Roman" w:eastAsia="Times New Roman" w:hAnsi="Times New Roman"/>
          <w:sz w:val="24"/>
          <w:szCs w:val="24"/>
        </w:rPr>
        <w:t xml:space="preserve">, dove frequentò un corso di teologia; rientrò a </w:t>
      </w:r>
      <w:r>
        <w:rPr>
          <w:rFonts w:ascii="Times New Roman" w:cs="Times New Roman" w:eastAsia="Times New Roman" w:hAnsi="Times New Roman"/>
          <w:b/>
          <w:bCs/>
          <w:sz w:val="24"/>
          <w:szCs w:val="24"/>
        </w:rPr>
        <w:t xml:space="preserve">Milano nel 1967</w:t>
      </w:r>
      <w:r>
        <w:rPr>
          <w:rFonts w:ascii="Times New Roman" w:cs="Times New Roman" w:eastAsia="Times New Roman" w:hAnsi="Times New Roman"/>
          <w:sz w:val="24"/>
          <w:szCs w:val="24"/>
        </w:rPr>
        <w:t xml:space="preserve">, lavorando per </w:t>
      </w:r>
      <w:r>
        <w:rPr>
          <w:rFonts w:ascii="Times New Roman" w:cs="Times New Roman" w:eastAsia="Times New Roman" w:hAnsi="Times New Roman"/>
          <w:b/>
          <w:bCs/>
          <w:sz w:val="24"/>
          <w:szCs w:val="24"/>
        </w:rPr>
        <w:t xml:space="preserve">Mondadori</w:t>
      </w:r>
      <w:r>
        <w:rPr>
          <w:rFonts w:ascii="Times New Roman" w:cs="Times New Roman" w:eastAsia="Times New Roman" w:hAnsi="Times New Roman"/>
          <w:sz w:val="24"/>
          <w:szCs w:val="24"/>
        </w:rPr>
        <w:t xml:space="preserve"> e per l'</w:t>
      </w:r>
      <w:r>
        <w:rPr>
          <w:rFonts w:ascii="Times New Roman" w:cs="Times New Roman" w:eastAsia="Times New Roman" w:hAnsi="Times New Roman"/>
          <w:b/>
          <w:bCs/>
          <w:sz w:val="24"/>
          <w:szCs w:val="24"/>
        </w:rPr>
        <w:t xml:space="preserve">USIS</w:t>
      </w:r>
      <w:r>
        <w:rPr>
          <w:rFonts w:ascii="Times New Roman" w:cs="Times New Roman" w:eastAsia="Times New Roman" w:hAnsi="Times New Roman"/>
          <w:sz w:val="24"/>
          <w:szCs w:val="24"/>
        </w:rPr>
        <w:t xml:space="preserve"> — lo United States Information Service (Wikipedia, </w:t>
      </w:r>
      <w:r>
        <w:rPr>
          <w:rFonts w:ascii="Times New Roman" w:cs="Times New Roman" w:eastAsia="Times New Roman" w:hAnsi="Times New Roman"/>
          <w:i/>
          <w:iCs/>
          <w:sz w:val="24"/>
          <w:szCs w:val="24"/>
        </w:rPr>
        <w:t xml:space="preserve">Corrado Simioni</w:t>
      </w:r>
      <w:r>
        <w:rPr>
          <w:rFonts w:ascii="Times New Roman" w:cs="Times New Roman" w:eastAsia="Times New Roman" w:hAnsi="Times New Roman"/>
          <w:sz w:val="24"/>
          <w:szCs w:val="24"/>
        </w:rPr>
        <w:t xml:space="preserve"> (https://it.wikipedia.org/wiki/Corrado_Simioni); Valerio Lucarelli, </w:t>
      </w:r>
      <w:r>
        <w:rPr>
          <w:rFonts w:ascii="Times New Roman" w:cs="Times New Roman" w:eastAsia="Times New Roman" w:hAnsi="Times New Roman"/>
          <w:i/>
          <w:iCs/>
          <w:sz w:val="24"/>
          <w:szCs w:val="24"/>
        </w:rPr>
        <w:t xml:space="preserve">Hyperion e Superclan</w:t>
      </w:r>
      <w:r>
        <w:rPr>
          <w:rFonts w:ascii="Times New Roman" w:cs="Times New Roman" w:eastAsia="Times New Roman" w:hAnsi="Times New Roman"/>
          <w:sz w:val="24"/>
          <w:szCs w:val="24"/>
        </w:rPr>
        <w:t xml:space="preserve"> (http://www.valeriolucarelli.it/Hyperion.htm)).</w:t>
      </w:r>
    </w:p>
    <w:p>
      <w:pPr>
        <w:spacing w:after="120" w:line="276"/>
        <w:jc w:val="both"/>
      </w:pPr>
      <w:r>
        <w:rPr>
          <w:rFonts w:ascii="Times New Roman" w:cs="Times New Roman" w:eastAsia="Times New Roman" w:hAnsi="Times New Roman"/>
          <w:sz w:val="24"/>
          <w:szCs w:val="24"/>
        </w:rPr>
        <w:t xml:space="preserve">Su questa biografia si è depositata mezza congetturistica italiana, e i gradi vanno quindi fissati subito. </w:t>
      </w:r>
      <w:r>
        <w:rPr>
          <w:rFonts w:ascii="Times New Roman" w:cs="Times New Roman" w:eastAsia="Times New Roman" w:hAnsi="Times New Roman"/>
          <w:b/>
          <w:bCs/>
          <w:sz w:val="24"/>
          <w:szCs w:val="24"/>
        </w:rPr>
        <w:t xml:space="preserve">L'impiego all'USIS è un fatto biografico (F)</w:t>
      </w:r>
      <w:r>
        <w:rPr>
          <w:rFonts w:ascii="Times New Roman" w:cs="Times New Roman" w:eastAsia="Times New Roman" w:hAnsi="Times New Roman"/>
          <w:sz w:val="24"/>
          <w:szCs w:val="24"/>
        </w:rPr>
        <w:t xml:space="preserve">: un lavoro, documentato. La voce di un passaggio a </w:t>
      </w:r>
      <w:r>
        <w:rPr>
          <w:rFonts w:ascii="Times New Roman" w:cs="Times New Roman" w:eastAsia="Times New Roman" w:hAnsi="Times New Roman"/>
          <w:b/>
          <w:bCs/>
          <w:sz w:val="24"/>
          <w:szCs w:val="24"/>
        </w:rPr>
        <w:t xml:space="preserve">Radio Free Europe</w:t>
      </w:r>
      <w:r>
        <w:rPr>
          <w:rFonts w:ascii="Times New Roman" w:cs="Times New Roman" w:eastAsia="Times New Roman" w:hAnsi="Times New Roman"/>
          <w:sz w:val="24"/>
          <w:szCs w:val="24"/>
        </w:rPr>
        <w:t xml:space="preserve"> a Monaco — emittente finanziata dalla CIA — circola nella pubblicistica preceduta da un «si dice», e come «si dice» va classificata: </w:t>
      </w:r>
      <w:r>
        <w:rPr>
          <w:rFonts w:ascii="Times New Roman" w:cs="Times New Roman" w:eastAsia="Times New Roman" w:hAnsi="Times New Roman"/>
          <w:b/>
          <w:bCs/>
          <w:sz w:val="24"/>
          <w:szCs w:val="24"/>
        </w:rPr>
        <w:t xml:space="preserve">riferita, non accertata</w:t>
      </w:r>
      <w:r>
        <w:rPr>
          <w:rFonts w:ascii="Times New Roman" w:cs="Times New Roman" w:eastAsia="Times New Roman" w:hAnsi="Times New Roman"/>
          <w:sz w:val="24"/>
          <w:szCs w:val="24"/>
        </w:rPr>
        <w:t xml:space="preserve">. E soprattutto vale, per Simioni come per chiunque, la regola che la Fase decima ha scolpito: </w:t>
      </w:r>
      <w:r>
        <w:rPr>
          <w:rFonts w:ascii="Times New Roman" w:cs="Times New Roman" w:eastAsia="Times New Roman" w:hAnsi="Times New Roman"/>
          <w:b/>
          <w:bCs/>
          <w:sz w:val="24"/>
          <w:szCs w:val="24"/>
        </w:rPr>
        <w:t xml:space="preserve">quand'anche ogni impiego fosse accertato, un impiego non è un'appartenenza, e un'appartenenza non è una condotta.</w:t>
      </w:r>
      <w:r>
        <w:rPr>
          <w:rFonts w:ascii="Times New Roman" w:cs="Times New Roman" w:eastAsia="Times New Roman" w:hAnsi="Times New Roman"/>
          <w:sz w:val="24"/>
          <w:szCs w:val="24"/>
        </w:rPr>
        <w:t xml:space="preserve"> Lavorare per un ente culturale americano nel 1967 non rende nessuno un agente, esattamente come militare in un collettivo del 1969 non rende nessuno un brigatista.</w:t>
      </w:r>
    </w:p>
    <w:p>
      <w:pPr>
        <w:pStyle w:val="Heading1"/>
        <w:spacing w:after="120" w:before="240"/>
      </w:pPr>
      <w:r>
        <w:rPr>
          <w:rFonts w:ascii="Times New Roman" w:cs="Times New Roman" w:eastAsia="Times New Roman" w:hAnsi="Times New Roman"/>
          <w:sz w:val="24"/>
          <w:szCs w:val="24"/>
        </w:rPr>
        <w:t xml:space="preserve">Capitolo III — Il CPM: la fondazione a due (8 settembre 1969)</w:t>
      </w:r>
    </w:p>
    <w:p>
      <w:pPr>
        <w:spacing w:after="120" w:line="276"/>
        <w:jc w:val="both"/>
      </w:pPr>
      <w:r>
        <w:rPr>
          <w:rFonts w:ascii="Times New Roman" w:cs="Times New Roman" w:eastAsia="Times New Roman" w:hAnsi="Times New Roman"/>
          <w:sz w:val="24"/>
          <w:szCs w:val="24"/>
        </w:rPr>
        <w:t xml:space="preserve">Il Collettivo Politico Metropolitano nacque a Milano l'8 settembre 1969 come coordinamento di collettivi autonomi, con base operaia e tecnica soprattutto in </w:t>
      </w:r>
      <w:r>
        <w:rPr>
          <w:rFonts w:ascii="Times New Roman" w:cs="Times New Roman" w:eastAsia="Times New Roman" w:hAnsi="Times New Roman"/>
          <w:b/>
          <w:bCs/>
          <w:sz w:val="24"/>
          <w:szCs w:val="24"/>
        </w:rPr>
        <w:t xml:space="preserve">due fabbriche: Sit-Siemens e Pirelli</w:t>
      </w:r>
      <w:r>
        <w:rPr>
          <w:rFonts w:ascii="Times New Roman" w:cs="Times New Roman" w:eastAsia="Times New Roman" w:hAnsi="Times New Roman"/>
          <w:sz w:val="24"/>
          <w:szCs w:val="24"/>
        </w:rPr>
        <w:t xml:space="preserve"> (Spazio70 (https://nazionalpopolare70.wordpress.com/tag/collettivo-politico-metropolitano/)). I fondatori furono </w:t>
      </w:r>
      <w:r>
        <w:rPr>
          <w:rFonts w:ascii="Times New Roman" w:cs="Times New Roman" w:eastAsia="Times New Roman" w:hAnsi="Times New Roman"/>
          <w:b/>
          <w:bCs/>
          <w:sz w:val="24"/>
          <w:szCs w:val="24"/>
        </w:rPr>
        <w:t xml:space="preserve">Renato Curcio e Corrado Simioni</w:t>
      </w:r>
      <w:r>
        <w:rPr>
          <w:rFonts w:ascii="Times New Roman" w:cs="Times New Roman" w:eastAsia="Times New Roman" w:hAnsi="Times New Roman"/>
          <w:sz w:val="24"/>
          <w:szCs w:val="24"/>
        </w:rPr>
        <w:t xml:space="preserve">; attorno a loro, Margherita Cagol e il milieu da cui sarebbero usciti — per la via che il corpus ha già percorso — Mario Moretti e gli altri assunti della Sit-Siemens. Dal CPM discese </w:t>
      </w:r>
      <w:r>
        <w:rPr>
          <w:rFonts w:ascii="Times New Roman" w:cs="Times New Roman" w:eastAsia="Times New Roman" w:hAnsi="Times New Roman"/>
          <w:b/>
          <w:bCs/>
          <w:sz w:val="24"/>
          <w:szCs w:val="24"/>
        </w:rPr>
        <w:t xml:space="preserve">Sinistra Proletaria</w:t>
      </w:r>
      <w:r>
        <w:rPr>
          <w:rFonts w:ascii="Times New Roman" w:cs="Times New Roman" w:eastAsia="Times New Roman" w:hAnsi="Times New Roman"/>
          <w:sz w:val="24"/>
          <w:szCs w:val="24"/>
        </w:rPr>
        <w:t xml:space="preserve">, l'organizzazione-ponte del 1970.</w:t>
      </w:r>
    </w:p>
    <w:p>
      <w:pPr>
        <w:spacing w:after="120" w:line="276"/>
        <w:jc w:val="both"/>
      </w:pPr>
      <w:r>
        <w:rPr>
          <w:rFonts w:ascii="Times New Roman" w:cs="Times New Roman" w:eastAsia="Times New Roman" w:hAnsi="Times New Roman"/>
          <w:sz w:val="24"/>
          <w:szCs w:val="24"/>
        </w:rPr>
        <w:t xml:space="preserve">Il punto storico da tenere fermo è che nel 1969 </w:t>
      </w:r>
      <w:r>
        <w:rPr>
          <w:rFonts w:ascii="Times New Roman" w:cs="Times New Roman" w:eastAsia="Times New Roman" w:hAnsi="Times New Roman"/>
          <w:b/>
          <w:bCs/>
          <w:sz w:val="24"/>
          <w:szCs w:val="24"/>
        </w:rPr>
        <w:t xml:space="preserve">le strade non erano ancora divise</w:t>
      </w:r>
      <w:r>
        <w:rPr>
          <w:rFonts w:ascii="Times New Roman" w:cs="Times New Roman" w:eastAsia="Times New Roman" w:hAnsi="Times New Roman"/>
          <w:sz w:val="24"/>
          <w:szCs w:val="24"/>
        </w:rPr>
        <w:t xml:space="preserve">: il CPM era un solo ambiente, e le persone che due anni dopo si sarebbero trovate su sponde opposte — e trent'anni dopo in tribunali con esiti opposti — sedevano nelle stesse riunioni. La genealogia condivisa è il fatto; ciò che ciascuno ne fece è la storia individuale che i capitoli seguenti separano.</w:t>
      </w:r>
    </w:p>
    <w:p>
      <w:pPr>
        <w:pStyle w:val="Heading1"/>
        <w:spacing w:after="120" w:before="240"/>
      </w:pPr>
      <w:r>
        <w:rPr>
          <w:rFonts w:ascii="Times New Roman" w:cs="Times New Roman" w:eastAsia="Times New Roman" w:hAnsi="Times New Roman"/>
          <w:sz w:val="24"/>
          <w:szCs w:val="24"/>
        </w:rPr>
        <w:t xml:space="preserve">Capitolo IV — La scissione (1970-1971): due vie, e la memorialistica di parte</w:t>
      </w:r>
    </w:p>
    <w:p>
      <w:pPr>
        <w:spacing w:after="120" w:line="276"/>
        <w:jc w:val="both"/>
      </w:pPr>
      <w:r>
        <w:rPr>
          <w:rFonts w:ascii="Times New Roman" w:cs="Times New Roman" w:eastAsia="Times New Roman" w:hAnsi="Times New Roman"/>
          <w:sz w:val="24"/>
          <w:szCs w:val="24"/>
        </w:rPr>
        <w:t xml:space="preserve">Fra il 1970 e il 1971 il ceppo si divise. La via di Curcio andò verso la clandestinità e il nucleo storico delle Brigate Rosse. La via di Simioni produsse il </w:t>
      </w:r>
      <w:r>
        <w:rPr>
          <w:rFonts w:ascii="Times New Roman" w:cs="Times New Roman" w:eastAsia="Times New Roman" w:hAnsi="Times New Roman"/>
          <w:b/>
          <w:bCs/>
          <w:sz w:val="24"/>
          <w:szCs w:val="24"/>
        </w:rPr>
        <w:t xml:space="preserve">Superclan</w:t>
      </w:r>
      <w:r>
        <w:rPr>
          <w:rFonts w:ascii="Times New Roman" w:cs="Times New Roman" w:eastAsia="Times New Roman" w:hAnsi="Times New Roman"/>
          <w:sz w:val="24"/>
          <w:szCs w:val="24"/>
        </w:rPr>
        <w:t xml:space="preserve"> — i «super-clandestini» — costituito </w:t>
      </w:r>
      <w:r>
        <w:rPr>
          <w:rFonts w:ascii="Times New Roman" w:cs="Times New Roman" w:eastAsia="Times New Roman" w:hAnsi="Times New Roman"/>
          <w:b/>
          <w:bCs/>
          <w:sz w:val="24"/>
          <w:szCs w:val="24"/>
        </w:rPr>
        <w:t xml:space="preserve">dai nuclei di Sinistra Proletaria fra il 1970 e il 1971</w:t>
      </w:r>
      <w:r>
        <w:rPr>
          <w:rFonts w:ascii="Times New Roman" w:cs="Times New Roman" w:eastAsia="Times New Roman" w:hAnsi="Times New Roman"/>
          <w:sz w:val="24"/>
          <w:szCs w:val="24"/>
        </w:rPr>
        <w:t xml:space="preserve">, dopo che Simioni e i suoi ebbero </w:t>
      </w:r>
      <w:r>
        <w:rPr>
          <w:rFonts w:ascii="Times New Roman" w:cs="Times New Roman" w:eastAsia="Times New Roman" w:hAnsi="Times New Roman"/>
          <w:b/>
          <w:bCs/>
          <w:sz w:val="24"/>
          <w:szCs w:val="24"/>
        </w:rPr>
        <w:t xml:space="preserve">contestato le scelte del gruppo dirigente</w:t>
      </w:r>
      <w:r>
        <w:rPr>
          <w:rFonts w:ascii="Times New Roman" w:cs="Times New Roman" w:eastAsia="Times New Roman" w:hAnsi="Times New Roman"/>
          <w:sz w:val="24"/>
          <w:szCs w:val="24"/>
        </w:rPr>
        <w:t xml:space="preserve"> della nascente organizzazione armata; la voce enciclopedica lo descrive come organizzazione dai «propositi grandiosi» e dalle «realizzazioni limitate» (Wikipedia, </w:t>
      </w:r>
      <w:r>
        <w:rPr>
          <w:rFonts w:ascii="Times New Roman" w:cs="Times New Roman" w:eastAsia="Times New Roman" w:hAnsi="Times New Roman"/>
          <w:i/>
          <w:iCs/>
          <w:sz w:val="24"/>
          <w:szCs w:val="24"/>
        </w:rPr>
        <w:t xml:space="preserve">Superclan</w:t>
      </w:r>
      <w:r>
        <w:rPr>
          <w:rFonts w:ascii="Times New Roman" w:cs="Times New Roman" w:eastAsia="Times New Roman" w:hAnsi="Times New Roman"/>
          <w:sz w:val="24"/>
          <w:szCs w:val="24"/>
        </w:rPr>
        <w:t xml:space="preserve"> (https://it.wikipedia.org/wiki/Superclan)).</w:t>
      </w:r>
    </w:p>
    <w:p>
      <w:pPr>
        <w:spacing w:after="120" w:line="276"/>
        <w:jc w:val="both"/>
      </w:pPr>
      <w:r>
        <w:rPr>
          <w:rFonts w:ascii="Times New Roman" w:cs="Times New Roman" w:eastAsia="Times New Roman" w:hAnsi="Times New Roman"/>
          <w:sz w:val="24"/>
          <w:szCs w:val="24"/>
        </w:rPr>
        <w:t xml:space="preserve">Su che cosa il Superclan </w:t>
      </w:r>
      <w:r>
        <w:rPr>
          <w:rFonts w:ascii="Times New Roman" w:cs="Times New Roman" w:eastAsia="Times New Roman" w:hAnsi="Times New Roman"/>
          <w:i/>
          <w:iCs/>
          <w:sz w:val="24"/>
          <w:szCs w:val="24"/>
        </w:rPr>
        <w:t xml:space="preserve">fosse davvero</w:t>
      </w:r>
      <w:r>
        <w:rPr>
          <w:rFonts w:ascii="Times New Roman" w:cs="Times New Roman" w:eastAsia="Times New Roman" w:hAnsi="Times New Roman"/>
          <w:sz w:val="24"/>
          <w:szCs w:val="24"/>
        </w:rPr>
        <w:t xml:space="preserve">, la fonte principale è — ed è bene dirlo brutalmente — </w:t>
      </w:r>
      <w:r>
        <w:rPr>
          <w:rFonts w:ascii="Times New Roman" w:cs="Times New Roman" w:eastAsia="Times New Roman" w:hAnsi="Times New Roman"/>
          <w:b/>
          <w:bCs/>
          <w:sz w:val="24"/>
          <w:szCs w:val="24"/>
        </w:rPr>
        <w:t xml:space="preserve">la memorialistica dei capi brigatisti</w:t>
      </w:r>
      <w:r>
        <w:rPr>
          <w:rFonts w:ascii="Times New Roman" w:cs="Times New Roman" w:eastAsia="Times New Roman" w:hAnsi="Times New Roman"/>
          <w:sz w:val="24"/>
          <w:szCs w:val="24"/>
        </w:rPr>
        <w:t xml:space="preserve">, resa nei processi e nei libri degli anni Ottanta: quando nel giugno 1982 i mandati di cattura raggiunsero gli uomini di Hyperion, furono «i capi BR» a «raccontare il Superclan» agli inquirenti (Ugo Maria Tassinari (https://www.ugomariatassinari.it/hyperion-mandati-di-cattura/)). Ora: la memorialistica di chi proveniva dalla scissione </w:t>
      </w:r>
      <w:r>
        <w:rPr>
          <w:rFonts w:ascii="Times New Roman" w:cs="Times New Roman" w:eastAsia="Times New Roman" w:hAnsi="Times New Roman"/>
          <w:i/>
          <w:iCs/>
          <w:sz w:val="24"/>
          <w:szCs w:val="24"/>
        </w:rPr>
        <w:t xml:space="preserve">opposta</w:t>
      </w:r>
      <w:r>
        <w:rPr>
          <w:rFonts w:ascii="Times New Roman" w:cs="Times New Roman" w:eastAsia="Times New Roman" w:hAnsi="Times New Roman"/>
          <w:sz w:val="24"/>
          <w:szCs w:val="24"/>
        </w:rPr>
        <w:t xml:space="preserve"> è, per definizione, </w:t>
      </w:r>
      <w:r>
        <w:rPr>
          <w:rFonts w:ascii="Times New Roman" w:cs="Times New Roman" w:eastAsia="Times New Roman" w:hAnsi="Times New Roman"/>
          <w:b/>
          <w:bCs/>
          <w:sz w:val="24"/>
          <w:szCs w:val="24"/>
        </w:rPr>
        <w:t xml:space="preserve">fonte di parte</w:t>
      </w:r>
      <w:r>
        <w:rPr>
          <w:rFonts w:ascii="Times New Roman" w:cs="Times New Roman" w:eastAsia="Times New Roman" w:hAnsi="Times New Roman"/>
          <w:sz w:val="24"/>
          <w:szCs w:val="24"/>
        </w:rPr>
        <w:t xml:space="preserve"> — preziosa per la storia degli ambienti, inservibile come prova delle condotte. Il corpus la tratta ovunque così, e qui a maggior ragione: le descrizioni del Superclan come struttura occulta e manovriera provengono in larga parte da uomini che con Simioni avevano rotto, e i processi che ne seguirono si chiusero come si chiusero. </w:t>
      </w:r>
      <w:r>
        <w:rPr>
          <w:rFonts w:ascii="Times New Roman" w:cs="Times New Roman" w:eastAsia="Times New Roman" w:hAnsi="Times New Roman"/>
          <w:b/>
          <w:bCs/>
          <w:sz w:val="24"/>
          <w:szCs w:val="24"/>
        </w:rPr>
        <w:t xml:space="preserve">Grado C</w:t>
      </w:r>
      <w:r>
        <w:rPr>
          <w:rFonts w:ascii="Times New Roman" w:cs="Times New Roman" w:eastAsia="Times New Roman" w:hAnsi="Times New Roman"/>
          <w:sz w:val="24"/>
          <w:szCs w:val="24"/>
        </w:rPr>
        <w:t xml:space="preserve">, dichiarato e mantenuto.</w:t>
      </w:r>
    </w:p>
    <w:p>
      <w:pPr>
        <w:pStyle w:val="Heading1"/>
        <w:spacing w:after="120" w:before="240"/>
      </w:pPr>
      <w:r>
        <w:rPr>
          <w:rFonts w:ascii="Times New Roman" w:cs="Times New Roman" w:eastAsia="Times New Roman" w:hAnsi="Times New Roman"/>
          <w:sz w:val="24"/>
          <w:szCs w:val="24"/>
        </w:rPr>
        <w:t xml:space="preserve">Capitolo V — Parigi: Hyperion (1976/1977)</w:t>
      </w:r>
    </w:p>
    <w:p>
      <w:pPr>
        <w:spacing w:after="120" w:line="276"/>
        <w:jc w:val="both"/>
      </w:pPr>
      <w:r>
        <w:rPr>
          <w:rFonts w:ascii="Times New Roman" w:cs="Times New Roman" w:eastAsia="Times New Roman" w:hAnsi="Times New Roman"/>
          <w:sz w:val="24"/>
          <w:szCs w:val="24"/>
        </w:rPr>
        <w:t xml:space="preserve">Trasferitosi in Francia, Simioni fondò a Parigi — con </w:t>
      </w:r>
      <w:r>
        <w:rPr>
          <w:rFonts w:ascii="Times New Roman" w:cs="Times New Roman" w:eastAsia="Times New Roman" w:hAnsi="Times New Roman"/>
          <w:b/>
          <w:bCs/>
          <w:sz w:val="24"/>
          <w:szCs w:val="24"/>
        </w:rPr>
        <w:t xml:space="preserve">Duccio Berio e Vanni Mulinaris</w:t>
      </w:r>
      <w:r>
        <w:rPr>
          <w:rFonts w:ascii="Times New Roman" w:cs="Times New Roman" w:eastAsia="Times New Roman" w:hAnsi="Times New Roman"/>
          <w:sz w:val="24"/>
          <w:szCs w:val="24"/>
        </w:rPr>
        <w:t xml:space="preserve"> — la scuola di lingue </w:t>
      </w:r>
      <w:r>
        <w:rPr>
          <w:rFonts w:ascii="Times New Roman" w:cs="Times New Roman" w:eastAsia="Times New Roman" w:hAnsi="Times New Roman"/>
          <w:b/>
          <w:bCs/>
          <w:sz w:val="24"/>
          <w:szCs w:val="24"/>
        </w:rPr>
        <w:t xml:space="preserve">Hyperion</w:t>
      </w:r>
      <w:r>
        <w:rPr>
          <w:rFonts w:ascii="Times New Roman" w:cs="Times New Roman" w:eastAsia="Times New Roman" w:hAnsi="Times New Roman"/>
          <w:sz w:val="24"/>
          <w:szCs w:val="24"/>
        </w:rPr>
        <w:t xml:space="preserve">, al </w:t>
      </w:r>
      <w:r>
        <w:rPr>
          <w:rFonts w:ascii="Times New Roman" w:cs="Times New Roman" w:eastAsia="Times New Roman" w:hAnsi="Times New Roman"/>
          <w:b/>
          <w:bCs/>
          <w:sz w:val="24"/>
          <w:szCs w:val="24"/>
        </w:rPr>
        <w:t xml:space="preserve">27 di Quai de la Tournelle</w:t>
      </w:r>
      <w:r>
        <w:rPr>
          <w:rFonts w:ascii="Times New Roman" w:cs="Times New Roman" w:eastAsia="Times New Roman" w:hAnsi="Times New Roman"/>
          <w:sz w:val="24"/>
          <w:szCs w:val="24"/>
        </w:rPr>
        <w:t xml:space="preserve">. Sulla data di fondazione le fonti divergono fra il </w:t>
      </w:r>
      <w:r>
        <w:rPr>
          <w:rFonts w:ascii="Times New Roman" w:cs="Times New Roman" w:eastAsia="Times New Roman" w:hAnsi="Times New Roman"/>
          <w:b/>
          <w:bCs/>
          <w:sz w:val="24"/>
          <w:szCs w:val="24"/>
        </w:rPr>
        <w:t xml:space="preserve">1976 e il 1977</w:t>
      </w:r>
      <w:r>
        <w:rPr>
          <w:rFonts w:ascii="Times New Roman" w:cs="Times New Roman" w:eastAsia="Times New Roman" w:hAnsi="Times New Roman"/>
          <w:sz w:val="24"/>
          <w:szCs w:val="24"/>
        </w:rPr>
        <w:t xml:space="preserve"> (Wikipedia, </w:t>
      </w:r>
      <w:r>
        <w:rPr>
          <w:rFonts w:ascii="Times New Roman" w:cs="Times New Roman" w:eastAsia="Times New Roman" w:hAnsi="Times New Roman"/>
          <w:i/>
          <w:iCs/>
          <w:sz w:val="24"/>
          <w:szCs w:val="24"/>
        </w:rPr>
        <w:t xml:space="preserve">Hyperion (Parigi)</w:t>
      </w:r>
      <w:r>
        <w:rPr>
          <w:rFonts w:ascii="Times New Roman" w:cs="Times New Roman" w:eastAsia="Times New Roman" w:hAnsi="Times New Roman"/>
          <w:sz w:val="24"/>
          <w:szCs w:val="24"/>
        </w:rPr>
        <w:t xml:space="preserve"> (https://it.wikipedia.org/wiki/Hyperion_(Parigi)); ASNSMP, scheda Mulinaris (http://www.comune.bologna.it/iperbole/asnsmp/Friuli_Vanni_Mulinaris.html)); la divergenza si riporta e non si risolve. La scuola insegnava lingue; attorno ad essa, per gli anni che seguirono, si sarebbero addensate le due tesi contrapposte che il corpus ha già vagliato — e l'episodio documentato dell'</w:t>
      </w:r>
      <w:r>
        <w:rPr>
          <w:rFonts w:ascii="Times New Roman" w:cs="Times New Roman" w:eastAsia="Times New Roman" w:hAnsi="Times New Roman"/>
          <w:b/>
          <w:bCs/>
          <w:sz w:val="24"/>
          <w:szCs w:val="24"/>
        </w:rPr>
        <w:t xml:space="preserve">ufficio romano di via Nicotera</w:t>
      </w:r>
      <w:r>
        <w:rPr>
          <w:rFonts w:ascii="Times New Roman" w:cs="Times New Roman" w:eastAsia="Times New Roman" w:hAnsi="Times New Roman"/>
          <w:sz w:val="24"/>
          <w:szCs w:val="24"/>
        </w:rPr>
        <w:t xml:space="preserve">, aperto nel </w:t>
      </w:r>
      <w:r>
        <w:rPr>
          <w:rFonts w:ascii="Times New Roman" w:cs="Times New Roman" w:eastAsia="Times New Roman" w:hAnsi="Times New Roman"/>
          <w:b/>
          <w:bCs/>
          <w:sz w:val="24"/>
          <w:szCs w:val="24"/>
        </w:rPr>
        <w:t xml:space="preserve">febbraio 1978</w:t>
      </w:r>
      <w:r>
        <w:rPr>
          <w:rFonts w:ascii="Times New Roman" w:cs="Times New Roman" w:eastAsia="Times New Roman" w:hAnsi="Times New Roman"/>
          <w:sz w:val="24"/>
          <w:szCs w:val="24"/>
        </w:rPr>
        <w:t xml:space="preserve"> e richiuso dopo pochi mesi, con la sua tremenda coincidenza cronologica col sequestro Moro, che </w:t>
      </w:r>
      <w:r>
        <w:rPr>
          <w:rFonts w:ascii="Times New Roman" w:cs="Times New Roman" w:eastAsia="Times New Roman" w:hAnsi="Times New Roman"/>
          <w:b/>
          <w:bCs/>
          <w:sz w:val="24"/>
          <w:szCs w:val="24"/>
        </w:rPr>
        <w:t xml:space="preserve">resta una coincidenza non spiegata e non un fatto probante</w:t>
      </w:r>
      <w:r>
        <w:rPr>
          <w:rFonts w:ascii="Times New Roman" w:cs="Times New Roman" w:eastAsia="Times New Roman" w:hAnsi="Times New Roman"/>
          <w:sz w:val="24"/>
          <w:szCs w:val="24"/>
        </w:rPr>
        <w:t xml:space="preserve">, al grado che la triangolazione Hyperion gli ha assegnato. Questo studio non riapre quel fascicolo: rinvia a </w:t>
      </w:r>
      <w:r>
        <w:rPr>
          <w:rFonts w:ascii="Times New Roman" w:cs="Times New Roman" w:eastAsia="Times New Roman" w:hAnsi="Times New Roman"/>
          <w:i/>
          <w:iCs/>
          <w:sz w:val="24"/>
          <w:szCs w:val="24"/>
        </w:rPr>
        <w:t xml:space="preserve">triangolazione-hyperion-corpus.md</w:t>
      </w:r>
      <w:r>
        <w:rPr>
          <w:rFonts w:ascii="Times New Roman" w:cs="Times New Roman" w:eastAsia="Times New Roman" w:hAnsi="Times New Roman"/>
          <w:sz w:val="24"/>
          <w:szCs w:val="24"/>
        </w:rPr>
        <w:t xml:space="preserve">, dove i nove nodi documentati stanno con i loro gradi.</w:t>
      </w:r>
    </w:p>
    <w:p>
      <w:pPr>
        <w:pStyle w:val="Heading1"/>
        <w:spacing w:after="120" w:before="240"/>
      </w:pPr>
      <w:r>
        <w:rPr>
          <w:rFonts w:ascii="Times New Roman" w:cs="Times New Roman" w:eastAsia="Times New Roman" w:hAnsi="Times New Roman"/>
          <w:sz w:val="24"/>
          <w:szCs w:val="24"/>
        </w:rPr>
        <w:t xml:space="preserve">Capitolo VI — Tre persone, tre percorsi giudiziari, tre esiti (il registro rovesciato)</w:t>
      </w:r>
    </w:p>
    <w:p>
      <w:pPr>
        <w:spacing w:after="120" w:line="276"/>
        <w:jc w:val="both"/>
      </w:pPr>
      <w:r>
        <w:rPr>
          <w:rFonts w:ascii="Times New Roman" w:cs="Times New Roman" w:eastAsia="Times New Roman" w:hAnsi="Times New Roman"/>
          <w:sz w:val="24"/>
          <w:szCs w:val="24"/>
        </w:rPr>
        <w:t xml:space="preserve">La Fase decima ha costruito il registro dei condannati. Questo capitolo costruisce il suo </w:t>
      </w:r>
      <w:r>
        <w:rPr>
          <w:rFonts w:ascii="Times New Roman" w:cs="Times New Roman" w:eastAsia="Times New Roman" w:hAnsi="Times New Roman"/>
          <w:b/>
          <w:bCs/>
          <w:sz w:val="24"/>
          <w:szCs w:val="24"/>
        </w:rPr>
        <w:t xml:space="preserve">speculare esatto</w:t>
      </w:r>
      <w:r>
        <w:rPr>
          <w:rFonts w:ascii="Times New Roman" w:cs="Times New Roman" w:eastAsia="Times New Roman" w:hAnsi="Times New Roman"/>
          <w:sz w:val="24"/>
          <w:szCs w:val="24"/>
        </w:rPr>
        <w:t xml:space="preserve">: il registro dei prosciolti del ceppo, con la stessa disciplina personalistica — una persona, un percorso, un esito — e con lo stesso divieto di appiattirli l'uno sull'altro.</w:t>
      </w:r>
    </w:p>
    <w:p>
      <w:pPr>
        <w:spacing w:after="120" w:line="276"/>
        <w:jc w:val="both"/>
      </w:pPr>
      <w:r>
        <w:rPr>
          <w:rFonts w:ascii="Times New Roman" w:cs="Times New Roman" w:eastAsia="Times New Roman" w:hAnsi="Times New Roman"/>
          <w:b/>
          <w:bCs/>
          <w:sz w:val="24"/>
          <w:szCs w:val="24"/>
        </w:rPr>
        <w:t xml:space="preserve">Vanni Mulinaris.</w:t>
      </w:r>
      <w:r>
        <w:rPr>
          <w:rFonts w:ascii="Times New Roman" w:cs="Times New Roman" w:eastAsia="Times New Roman" w:hAnsi="Times New Roman"/>
          <w:sz w:val="24"/>
          <w:szCs w:val="24"/>
        </w:rPr>
        <w:t xml:space="preserve"> Friulano, laureato a Trento come Curcio, fu arrestato a Udine il </w:t>
      </w:r>
      <w:r>
        <w:rPr>
          <w:rFonts w:ascii="Times New Roman" w:cs="Times New Roman" w:eastAsia="Times New Roman" w:hAnsi="Times New Roman"/>
          <w:b/>
          <w:bCs/>
          <w:sz w:val="24"/>
          <w:szCs w:val="24"/>
        </w:rPr>
        <w:t xml:space="preserve">2 febbraio 1982</w:t>
      </w:r>
      <w:r>
        <w:rPr>
          <w:rFonts w:ascii="Times New Roman" w:cs="Times New Roman" w:eastAsia="Times New Roman" w:hAnsi="Times New Roman"/>
          <w:sz w:val="24"/>
          <w:szCs w:val="24"/>
        </w:rPr>
        <w:t xml:space="preserve"> con accuse di traffico d'armi e collaborazione col terrorismo, </w:t>
      </w:r>
      <w:r>
        <w:rPr>
          <w:rFonts w:ascii="Times New Roman" w:cs="Times New Roman" w:eastAsia="Times New Roman" w:hAnsi="Times New Roman"/>
          <w:b/>
          <w:bCs/>
          <w:sz w:val="24"/>
          <w:szCs w:val="24"/>
        </w:rPr>
        <w:t xml:space="preserve">fondate su dichiarazioni di pentiti</w:t>
      </w:r>
      <w:r>
        <w:rPr>
          <w:rFonts w:ascii="Times New Roman" w:cs="Times New Roman" w:eastAsia="Times New Roman" w:hAnsi="Times New Roman"/>
          <w:sz w:val="24"/>
          <w:szCs w:val="24"/>
        </w:rPr>
        <w:t xml:space="preserve"> (ASNSMP (http://www.comune.bologna.it/iperbole/asnsmp/Friuli_Vanni_Mulinaris.html)). Seguirono mesi di carcere, </w:t>
      </w:r>
      <w:r>
        <w:rPr>
          <w:rFonts w:ascii="Times New Roman" w:cs="Times New Roman" w:eastAsia="Times New Roman" w:hAnsi="Times New Roman"/>
          <w:b/>
          <w:bCs/>
          <w:sz w:val="24"/>
          <w:szCs w:val="24"/>
        </w:rPr>
        <w:t xml:space="preserve">digiuni prolungati</w:t>
      </w:r>
      <w:r>
        <w:rPr>
          <w:rFonts w:ascii="Times New Roman" w:cs="Times New Roman" w:eastAsia="Times New Roman" w:hAnsi="Times New Roman"/>
          <w:sz w:val="24"/>
          <w:szCs w:val="24"/>
        </w:rPr>
        <w:t xml:space="preserve">, gli arresti domiciliari, e una campagna internazionale per la sua liberazione guidata dall'</w:t>
      </w:r>
      <w:r>
        <w:rPr>
          <w:rFonts w:ascii="Times New Roman" w:cs="Times New Roman" w:eastAsia="Times New Roman" w:hAnsi="Times New Roman"/>
          <w:b/>
          <w:bCs/>
          <w:sz w:val="24"/>
          <w:szCs w:val="24"/>
        </w:rPr>
        <w:t xml:space="preserve">Abbé Pierre</w:t>
      </w:r>
      <w:r>
        <w:rPr>
          <w:rFonts w:ascii="Times New Roman" w:cs="Times New Roman" w:eastAsia="Times New Roman" w:hAnsi="Times New Roman"/>
          <w:sz w:val="24"/>
          <w:szCs w:val="24"/>
        </w:rPr>
        <w:t xml:space="preserve">, il fondatore di Emmaus, alla testa di un comitato di intellettuali francesi e italiani (1983-84); la vicenda — divenuta un caso diplomatico franco-italiano, oggi oggetto di studio accademico (</w:t>
      </w:r>
      <w:r>
        <w:rPr>
          <w:rFonts w:ascii="Times New Roman" w:cs="Times New Roman" w:eastAsia="Times New Roman" w:hAnsi="Times New Roman"/>
          <w:i/>
          <w:iCs/>
          <w:sz w:val="24"/>
          <w:szCs w:val="24"/>
        </w:rPr>
        <w:t xml:space="preserve">Une intrigue franco-italienne: l'affaire Mulinaris, 1982-1986</w:t>
      </w:r>
      <w:r>
        <w:rPr>
          <w:rFonts w:ascii="Times New Roman" w:cs="Times New Roman" w:eastAsia="Times New Roman" w:hAnsi="Times New Roman"/>
          <w:sz w:val="24"/>
          <w:szCs w:val="24"/>
        </w:rPr>
        <w:t xml:space="preserve"> (https://shs.cairn.info/journal-materiaux-pour-l-histoire-de-notre-temps-2015-1-page-72?lang=en)) — si chiuse con l'</w:t>
      </w:r>
      <w:r>
        <w:rPr>
          <w:rFonts w:ascii="Times New Roman" w:cs="Times New Roman" w:eastAsia="Times New Roman" w:hAnsi="Times New Roman"/>
          <w:b/>
          <w:bCs/>
          <w:sz w:val="24"/>
          <w:szCs w:val="24"/>
        </w:rPr>
        <w:t xml:space="preserve">assoluzione con formula piena</w:t>
      </w:r>
      <w:r>
        <w:rPr>
          <w:rFonts w:ascii="Times New Roman" w:cs="Times New Roman" w:eastAsia="Times New Roman" w:hAnsi="Times New Roman"/>
          <w:sz w:val="24"/>
          <w:szCs w:val="24"/>
        </w:rPr>
        <w:t xml:space="preserve"> e con un </w:t>
      </w:r>
      <w:r>
        <w:rPr>
          <w:rFonts w:ascii="Times New Roman" w:cs="Times New Roman" w:eastAsia="Times New Roman" w:hAnsi="Times New Roman"/>
          <w:b/>
          <w:bCs/>
          <w:sz w:val="24"/>
          <w:szCs w:val="24"/>
        </w:rPr>
        <w:t xml:space="preserve">risarcimento di cento milioni di lire</w:t>
      </w:r>
      <w:r>
        <w:rPr>
          <w:rFonts w:ascii="Times New Roman" w:cs="Times New Roman" w:eastAsia="Times New Roman" w:hAnsi="Times New Roman"/>
          <w:sz w:val="24"/>
          <w:szCs w:val="24"/>
        </w:rPr>
        <w:t xml:space="preserve"> per l'ingiusta detenzione. L'esito va scritto per esteso perché è raro e pesante: lo Stato che lo aveva accusato lo ha dichiarato innocente </w:t>
      </w:r>
      <w:r>
        <w:rPr>
          <w:rFonts w:ascii="Times New Roman" w:cs="Times New Roman" w:eastAsia="Times New Roman" w:hAnsi="Times New Roman"/>
          <w:b/>
          <w:bCs/>
          <w:sz w:val="24"/>
          <w:szCs w:val="24"/>
        </w:rPr>
        <w:t xml:space="preserve">e lo ha indennizzato</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Duccio Berio.</w:t>
      </w:r>
      <w:r>
        <w:rPr>
          <w:rFonts w:ascii="Times New Roman" w:cs="Times New Roman" w:eastAsia="Times New Roman" w:hAnsi="Times New Roman"/>
          <w:sz w:val="24"/>
          <w:szCs w:val="24"/>
        </w:rPr>
        <w:t xml:space="preserve"> Aveva lasciato il proprio ruolo a Hyperion già nel </w:t>
      </w:r>
      <w:r>
        <w:rPr>
          <w:rFonts w:ascii="Times New Roman" w:cs="Times New Roman" w:eastAsia="Times New Roman" w:hAnsi="Times New Roman"/>
          <w:b/>
          <w:bCs/>
          <w:sz w:val="24"/>
          <w:szCs w:val="24"/>
        </w:rPr>
        <w:t xml:space="preserve">1979</w:t>
      </w:r>
      <w:r>
        <w:rPr>
          <w:rFonts w:ascii="Times New Roman" w:cs="Times New Roman" w:eastAsia="Times New Roman" w:hAnsi="Times New Roman"/>
          <w:sz w:val="24"/>
          <w:szCs w:val="24"/>
        </w:rPr>
        <w:t xml:space="preserve">; il mandato di cattura del </w:t>
      </w:r>
      <w:r>
        <w:rPr>
          <w:rFonts w:ascii="Times New Roman" w:cs="Times New Roman" w:eastAsia="Times New Roman" w:hAnsi="Times New Roman"/>
          <w:b/>
          <w:bCs/>
          <w:sz w:val="24"/>
          <w:szCs w:val="24"/>
        </w:rPr>
        <w:t xml:space="preserve">17 giugno 1982</w:t>
      </w:r>
      <w:r>
        <w:rPr>
          <w:rFonts w:ascii="Times New Roman" w:cs="Times New Roman" w:eastAsia="Times New Roman" w:hAnsi="Times New Roman"/>
          <w:sz w:val="24"/>
          <w:szCs w:val="24"/>
        </w:rPr>
        <w:t xml:space="preserve"> lo raggiunse insieme a Simioni (Tassinari (https://www.ugomariatassinari.it/hyperion-mandati-di-cattura/)). Fu </w:t>
      </w:r>
      <w:r>
        <w:rPr>
          <w:rFonts w:ascii="Times New Roman" w:cs="Times New Roman" w:eastAsia="Times New Roman" w:hAnsi="Times New Roman"/>
          <w:b/>
          <w:bCs/>
          <w:sz w:val="24"/>
          <w:szCs w:val="24"/>
        </w:rPr>
        <w:t xml:space="preserve">assolto a Roma nel 1989</w:t>
      </w:r>
      <w:r>
        <w:rPr>
          <w:rFonts w:ascii="Times New Roman" w:cs="Times New Roman" w:eastAsia="Times New Roman" w:hAnsi="Times New Roman"/>
          <w:sz w:val="24"/>
          <w:szCs w:val="24"/>
        </w:rPr>
        <w:t xml:space="preserve"> (insurrezione armata) e </w:t>
      </w:r>
      <w:r>
        <w:rPr>
          <w:rFonts w:ascii="Times New Roman" w:cs="Times New Roman" w:eastAsia="Times New Roman" w:hAnsi="Times New Roman"/>
          <w:b/>
          <w:bCs/>
          <w:sz w:val="24"/>
          <w:szCs w:val="24"/>
        </w:rPr>
        <w:t xml:space="preserve">a Venezia nel 1990</w:t>
      </w:r>
      <w:r>
        <w:rPr>
          <w:rFonts w:ascii="Times New Roman" w:cs="Times New Roman" w:eastAsia="Times New Roman" w:hAnsi="Times New Roman"/>
          <w:sz w:val="24"/>
          <w:szCs w:val="24"/>
        </w:rPr>
        <w:t xml:space="preserve"> (traffico d'armi). Trentatré anni dopo, il </w:t>
      </w:r>
      <w:r>
        <w:rPr>
          <w:rFonts w:ascii="Times New Roman" w:cs="Times New Roman" w:eastAsia="Times New Roman" w:hAnsi="Times New Roman"/>
          <w:b/>
          <w:bCs/>
          <w:sz w:val="24"/>
          <w:szCs w:val="24"/>
        </w:rPr>
        <w:t xml:space="preserve">28 ottobre 2015</w:t>
      </w:r>
      <w:r>
        <w:rPr>
          <w:rFonts w:ascii="Times New Roman" w:cs="Times New Roman" w:eastAsia="Times New Roman" w:hAnsi="Times New Roman"/>
          <w:sz w:val="24"/>
          <w:szCs w:val="24"/>
        </w:rPr>
        <w:t xml:space="preserve">, la Commissione Moro 2 lo ascoltò in audizione: la sua posizione — «non c'entriamo nulla, eravamo solo un gruppo di amici» dedito alla vita comunitaria e lontano da chi aveva scelto la lotta armata (Il Fatto Quotidiano (https://www.ilfattoquotidiano.it/2015/10/28/caso-moro-luomo-di-hyperion-alla-commissione-non-centriamo-nulla-eravamo-solo-un-gruppo-di-amici/2169499/)) — è la parola di un uomo due volte assolto, e come tale si riporta. Dall'audizione emerse però anche il dato più notevole dell'intero fascicolo, di </w:t>
      </w:r>
      <w:r>
        <w:rPr>
          <w:rFonts w:ascii="Times New Roman" w:cs="Times New Roman" w:eastAsia="Times New Roman" w:hAnsi="Times New Roman"/>
          <w:b/>
          <w:bCs/>
          <w:sz w:val="24"/>
          <w:szCs w:val="24"/>
        </w:rPr>
        <w:t xml:space="preserve">grado B</w:t>
      </w:r>
      <w:r>
        <w:rPr>
          <w:rFonts w:ascii="Times New Roman" w:cs="Times New Roman" w:eastAsia="Times New Roman" w:hAnsi="Times New Roman"/>
          <w:sz w:val="24"/>
          <w:szCs w:val="24"/>
        </w:rPr>
        <w:t xml:space="preserve"> perché reso a un organo parlamentare: Berio riferì che </w:t>
      </w:r>
      <w:r>
        <w:rPr>
          <w:rFonts w:ascii="Times New Roman" w:cs="Times New Roman" w:eastAsia="Times New Roman" w:hAnsi="Times New Roman"/>
          <w:b/>
          <w:bCs/>
          <w:sz w:val="24"/>
          <w:szCs w:val="24"/>
        </w:rPr>
        <w:t xml:space="preserve">nel 1972 un agente del SID</w:t>
      </w:r>
      <w:r>
        <w:rPr>
          <w:rFonts w:ascii="Times New Roman" w:cs="Times New Roman" w:eastAsia="Times New Roman" w:hAnsi="Times New Roman"/>
          <w:sz w:val="24"/>
          <w:szCs w:val="24"/>
        </w:rPr>
        <w:t xml:space="preserve"> (un «Ballini») </w:t>
      </w:r>
      <w:r>
        <w:rPr>
          <w:rFonts w:ascii="Times New Roman" w:cs="Times New Roman" w:eastAsia="Times New Roman" w:hAnsi="Times New Roman"/>
          <w:b/>
          <w:bCs/>
          <w:sz w:val="24"/>
          <w:szCs w:val="24"/>
        </w:rPr>
        <w:t xml:space="preserve">gli propose di infiltrarsi nelle Brigate Rosse</w:t>
      </w:r>
      <w:r>
        <w:rPr>
          <w:rFonts w:ascii="Times New Roman" w:cs="Times New Roman" w:eastAsia="Times New Roman" w:hAnsi="Times New Roman"/>
          <w:sz w:val="24"/>
          <w:szCs w:val="24"/>
        </w:rPr>
        <w:t xml:space="preserve"> che si stavano organizzando — e che egli documentò l'approccio </w:t>
      </w:r>
      <w:r>
        <w:rPr>
          <w:rFonts w:ascii="Times New Roman" w:cs="Times New Roman" w:eastAsia="Times New Roman" w:hAnsi="Times New Roman"/>
          <w:b/>
          <w:bCs/>
          <w:sz w:val="24"/>
          <w:szCs w:val="24"/>
        </w:rPr>
        <w:t xml:space="preserve">in una lettera al suocero, Alberto Malagugini</w:t>
      </w:r>
      <w:r>
        <w:rPr>
          <w:rFonts w:ascii="Times New Roman" w:cs="Times New Roman" w:eastAsia="Times New Roman" w:hAnsi="Times New Roman"/>
          <w:sz w:val="24"/>
          <w:szCs w:val="24"/>
        </w:rPr>
        <w:t xml:space="preserve">, deputato comunista e futuro giudice della Corte costituzionale. Il valore del dato sta nel suo verso: è la testimonianza di un </w:t>
      </w:r>
      <w:r>
        <w:rPr>
          <w:rFonts w:ascii="Times New Roman" w:cs="Times New Roman" w:eastAsia="Times New Roman" w:hAnsi="Times New Roman"/>
          <w:b/>
          <w:bCs/>
          <w:sz w:val="24"/>
          <w:szCs w:val="24"/>
        </w:rPr>
        <w:t xml:space="preserve">approccio dei servizi respinto e messo per iscritto presso un'autorità della Repubblica</w:t>
      </w:r>
      <w:r>
        <w:rPr>
          <w:rFonts w:ascii="Times New Roman" w:cs="Times New Roman" w:eastAsia="Times New Roman" w:hAnsi="Times New Roman"/>
          <w:sz w:val="24"/>
          <w:szCs w:val="24"/>
        </w:rPr>
        <w:t xml:space="preserve"> — cioè l'esatto contrario, quanto a condotta documentata, della figura dell'infiltrato che la congetturistica gli ha voluto cucire addosso. Ciò non «prova» nulla oltre se stesso; ma è l'unico contatto Berio-servizi che una fonte istituzionale attesti, e dice quel che dice.</w:t>
      </w:r>
    </w:p>
    <w:p>
      <w:pPr>
        <w:spacing w:after="120" w:line="276"/>
        <w:jc w:val="both"/>
      </w:pPr>
      <w:r>
        <w:rPr>
          <w:rFonts w:ascii="Times New Roman" w:cs="Times New Roman" w:eastAsia="Times New Roman" w:hAnsi="Times New Roman"/>
          <w:b/>
          <w:bCs/>
          <w:sz w:val="24"/>
          <w:szCs w:val="24"/>
        </w:rPr>
        <w:t xml:space="preserve">Corrado Simioni.</w:t>
      </w:r>
      <w:r>
        <w:rPr>
          <w:rFonts w:ascii="Times New Roman" w:cs="Times New Roman" w:eastAsia="Times New Roman" w:hAnsi="Times New Roman"/>
          <w:sz w:val="24"/>
          <w:szCs w:val="24"/>
        </w:rPr>
        <w:t xml:space="preserve"> Ricercato dal giugno 1982, </w:t>
      </w:r>
      <w:r>
        <w:rPr>
          <w:rFonts w:ascii="Times New Roman" w:cs="Times New Roman" w:eastAsia="Times New Roman" w:hAnsi="Times New Roman"/>
          <w:b/>
          <w:bCs/>
          <w:sz w:val="24"/>
          <w:szCs w:val="24"/>
        </w:rPr>
        <w:t xml:space="preserve">non fu mai condannato</w:t>
      </w:r>
      <w:r>
        <w:rPr>
          <w:rFonts w:ascii="Times New Roman" w:cs="Times New Roman" w:eastAsia="Times New Roman" w:hAnsi="Times New Roman"/>
          <w:sz w:val="24"/>
          <w:szCs w:val="24"/>
        </w:rPr>
        <w:t xml:space="preserve">. La sua vita francese è documentata e pubblica: divenne </w:t>
      </w:r>
      <w:r>
        <w:rPr>
          <w:rFonts w:ascii="Times New Roman" w:cs="Times New Roman" w:eastAsia="Times New Roman" w:hAnsi="Times New Roman"/>
          <w:b/>
          <w:bCs/>
          <w:sz w:val="24"/>
          <w:szCs w:val="24"/>
        </w:rPr>
        <w:t xml:space="preserve">vicepresidente della Fondazione Abbé Pierre</w:t>
      </w:r>
      <w:r>
        <w:rPr>
          <w:rFonts w:ascii="Times New Roman" w:cs="Times New Roman" w:eastAsia="Times New Roman" w:hAnsi="Times New Roman"/>
          <w:sz w:val="24"/>
          <w:szCs w:val="24"/>
        </w:rPr>
        <w:t xml:space="preserve">, accompagnò l'Abbé nell'</w:t>
      </w:r>
      <w:r>
        <w:rPr>
          <w:rFonts w:ascii="Times New Roman" w:cs="Times New Roman" w:eastAsia="Times New Roman" w:hAnsi="Times New Roman"/>
          <w:b/>
          <w:bCs/>
          <w:sz w:val="24"/>
          <w:szCs w:val="24"/>
        </w:rPr>
        <w:t xml:space="preserve">udienza privata da Giovanni Paolo II del novembre 1992</w:t>
      </w:r>
      <w:r>
        <w:rPr>
          <w:rFonts w:ascii="Times New Roman" w:cs="Times New Roman" w:eastAsia="Times New Roman" w:hAnsi="Times New Roman"/>
          <w:sz w:val="24"/>
          <w:szCs w:val="24"/>
        </w:rPr>
        <w:t xml:space="preserve">, fu fatto </w:t>
      </w:r>
      <w:r>
        <w:rPr>
          <w:rFonts w:ascii="Times New Roman" w:cs="Times New Roman" w:eastAsia="Times New Roman" w:hAnsi="Times New Roman"/>
          <w:b/>
          <w:bCs/>
          <w:sz w:val="24"/>
          <w:szCs w:val="24"/>
        </w:rPr>
        <w:t xml:space="preserve">cavaliere della Repubblica francese nel 2001</w:t>
      </w:r>
      <w:r>
        <w:rPr>
          <w:rFonts w:ascii="Times New Roman" w:cs="Times New Roman" w:eastAsia="Times New Roman" w:hAnsi="Times New Roman"/>
          <w:sz w:val="24"/>
          <w:szCs w:val="24"/>
        </w:rPr>
        <w:t xml:space="preserve"> per l'impegno verso i senzatetto, e si ritirò infine nella campagna della Drôme, a Truinas, dove gestì un bed &amp; breakfast con la compagna e dove </w:t>
      </w:r>
      <w:r>
        <w:rPr>
          <w:rFonts w:ascii="Times New Roman" w:cs="Times New Roman" w:eastAsia="Times New Roman" w:hAnsi="Times New Roman"/>
          <w:b/>
          <w:bCs/>
          <w:sz w:val="24"/>
          <w:szCs w:val="24"/>
        </w:rPr>
        <w:t xml:space="preserve">morì nell'ottobre 2008</w:t>
      </w:r>
      <w:r>
        <w:rPr>
          <w:rFonts w:ascii="Times New Roman" w:cs="Times New Roman" w:eastAsia="Times New Roman" w:hAnsi="Times New Roman"/>
          <w:sz w:val="24"/>
          <w:szCs w:val="24"/>
        </w:rPr>
        <w:t xml:space="preserve"> (Wikipedia (https://it.wikipedia.org/wiki/Corrado_Simioni)). L'uomo che la memorialistica brigatista dipinse come il manovratore occulto del decennio chiuse la vita nella campagna francese, dopo trent'anni al servizio del più celebre prete degli straccivendoli d'Europa. Anche questo è un dato — e uno studio onesto lo riporta con lo stesso peso degli altri.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Fondatore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Percorso giudiziario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Esito</w:t>
            </w:r>
          </w:p>
        </w:tc>
      </w:tr>
      <w:tr>
        <w:tc>
          <w:tcPr>
            <w:tcW w:type="dxa" w:w="3120"/>
          </w:tcPr>
          <w:p>
            <w:pPr>
              <w:spacing w:after="20" w:before="20"/>
              <w:jc w:val="left"/>
            </w:pPr>
            <w:r>
              <w:rPr>
                <w:rFonts w:ascii="Times New Roman" w:cs="Times New Roman" w:eastAsia="Times New Roman" w:hAnsi="Times New Roman"/>
                <w:b/>
                <w:bCs/>
                <w:sz w:val="20"/>
                <w:szCs w:val="20"/>
              </w:rPr>
              <w:t xml:space="preserve">Vanni Mulinaris</w:t>
            </w:r>
          </w:p>
        </w:tc>
        <w:tc>
          <w:tcPr>
            <w:tcW w:type="dxa" w:w="3120"/>
          </w:tcPr>
          <w:p>
            <w:pPr>
              <w:spacing w:after="20" w:before="20"/>
              <w:jc w:val="left"/>
            </w:pPr>
            <w:r>
              <w:rPr>
                <w:rFonts w:ascii="Times New Roman" w:cs="Times New Roman" w:eastAsia="Times New Roman" w:hAnsi="Times New Roman"/>
                <w:sz w:val="20"/>
                <w:szCs w:val="20"/>
              </w:rPr>
              <w:t xml:space="preserve">Arresto 2/2/1982 (Udine), carcere, digiuni, domiciliari; campagna Abbé Pierre</w:t>
            </w:r>
          </w:p>
        </w:tc>
        <w:tc>
          <w:tcPr>
            <w:tcW w:type="dxa" w:w="3120"/>
          </w:tcPr>
          <w:p>
            <w:pPr>
              <w:spacing w:after="20" w:before="20"/>
              <w:jc w:val="left"/>
            </w:pPr>
            <w:r>
              <w:rPr>
                <w:rFonts w:ascii="Times New Roman" w:cs="Times New Roman" w:eastAsia="Times New Roman" w:hAnsi="Times New Roman"/>
                <w:b/>
                <w:bCs/>
                <w:sz w:val="20"/>
                <w:szCs w:val="20"/>
              </w:rPr>
              <w:t xml:space="preserve">Assoluzione con formula piena; risarcimento di 100 milioni</w:t>
            </w:r>
          </w:p>
        </w:tc>
      </w:tr>
      <w:tr>
        <w:tc>
          <w:tcPr>
            <w:tcW w:type="dxa" w:w="3120"/>
          </w:tcPr>
          <w:p>
            <w:pPr>
              <w:spacing w:after="20" w:before="20"/>
              <w:jc w:val="left"/>
            </w:pPr>
            <w:r>
              <w:rPr>
                <w:rFonts w:ascii="Times New Roman" w:cs="Times New Roman" w:eastAsia="Times New Roman" w:hAnsi="Times New Roman"/>
                <w:b/>
                <w:bCs/>
                <w:sz w:val="20"/>
                <w:szCs w:val="20"/>
              </w:rPr>
              <w:t xml:space="preserve">Duccio Berio</w:t>
            </w:r>
          </w:p>
        </w:tc>
        <w:tc>
          <w:tcPr>
            <w:tcW w:type="dxa" w:w="3120"/>
          </w:tcPr>
          <w:p>
            <w:pPr>
              <w:spacing w:after="20" w:before="20"/>
              <w:jc w:val="left"/>
            </w:pPr>
            <w:r>
              <w:rPr>
                <w:rFonts w:ascii="Times New Roman" w:cs="Times New Roman" w:eastAsia="Times New Roman" w:hAnsi="Times New Roman"/>
                <w:sz w:val="20"/>
                <w:szCs w:val="20"/>
              </w:rPr>
              <w:t xml:space="preserve">Mandato di cattura 17/6/1982</w:t>
            </w:r>
          </w:p>
        </w:tc>
        <w:tc>
          <w:tcPr>
            <w:tcW w:type="dxa" w:w="3120"/>
          </w:tcPr>
          <w:p>
            <w:pPr>
              <w:spacing w:after="20" w:before="20"/>
              <w:jc w:val="left"/>
            </w:pPr>
            <w:r>
              <w:rPr>
                <w:rFonts w:ascii="Times New Roman" w:cs="Times New Roman" w:eastAsia="Times New Roman" w:hAnsi="Times New Roman"/>
                <w:b/>
                <w:bCs/>
                <w:sz w:val="20"/>
                <w:szCs w:val="20"/>
              </w:rPr>
              <w:t xml:space="preserve">Assolto a Roma (1989) e a Venezia (1990)</w:t>
            </w:r>
            <w:r>
              <w:rPr>
                <w:rFonts w:ascii="Times New Roman" w:cs="Times New Roman" w:eastAsia="Times New Roman" w:hAnsi="Times New Roman"/>
                <w:sz w:val="20"/>
                <w:szCs w:val="20"/>
              </w:rPr>
              <w:t xml:space="preserve">; audito dalla Moro 2 (2015)</w:t>
            </w:r>
          </w:p>
        </w:tc>
      </w:tr>
      <w:tr>
        <w:tc>
          <w:tcPr>
            <w:tcW w:type="dxa" w:w="3120"/>
          </w:tcPr>
          <w:p>
            <w:pPr>
              <w:spacing w:after="20" w:before="20"/>
              <w:jc w:val="left"/>
            </w:pPr>
            <w:r>
              <w:rPr>
                <w:rFonts w:ascii="Times New Roman" w:cs="Times New Roman" w:eastAsia="Times New Roman" w:hAnsi="Times New Roman"/>
                <w:b/>
                <w:bCs/>
                <w:sz w:val="20"/>
                <w:szCs w:val="20"/>
              </w:rPr>
              <w:t xml:space="preserve">Corrado Simioni</w:t>
            </w:r>
          </w:p>
        </w:tc>
        <w:tc>
          <w:tcPr>
            <w:tcW w:type="dxa" w:w="3120"/>
          </w:tcPr>
          <w:p>
            <w:pPr>
              <w:spacing w:after="20" w:before="20"/>
              <w:jc w:val="left"/>
            </w:pPr>
            <w:r>
              <w:rPr>
                <w:rFonts w:ascii="Times New Roman" w:cs="Times New Roman" w:eastAsia="Times New Roman" w:hAnsi="Times New Roman"/>
                <w:sz w:val="20"/>
                <w:szCs w:val="20"/>
              </w:rPr>
              <w:t xml:space="preserve">Ricercato dal 17/6/1982</w:t>
            </w:r>
          </w:p>
        </w:tc>
        <w:tc>
          <w:tcPr>
            <w:tcW w:type="dxa" w:w="3120"/>
          </w:tcPr>
          <w:p>
            <w:pPr>
              <w:spacing w:after="20" w:before="20"/>
              <w:jc w:val="left"/>
            </w:pPr>
            <w:r>
              <w:rPr>
                <w:rFonts w:ascii="Times New Roman" w:cs="Times New Roman" w:eastAsia="Times New Roman" w:hAnsi="Times New Roman"/>
                <w:b/>
                <w:bCs/>
                <w:sz w:val="20"/>
                <w:szCs w:val="20"/>
              </w:rPr>
              <w:t xml:space="preserve">Mai condannato</w:t>
            </w:r>
            <w:r>
              <w:rPr>
                <w:rFonts w:ascii="Times New Roman" w:cs="Times New Roman" w:eastAsia="Times New Roman" w:hAnsi="Times New Roman"/>
                <w:sz w:val="20"/>
                <w:szCs w:val="20"/>
              </w:rPr>
              <w:t xml:space="preserve">; † Truinas, ottobre 2008</w:t>
            </w:r>
          </w:p>
        </w:tc>
      </w:tr>
    </w:tbl>
    <w:p>
      <w:pPr>
        <w:spacing w:after="80"/>
      </w:pPr>
    </w:p>
    <w:p>
      <w:pPr>
        <w:pStyle w:val="Heading1"/>
        <w:spacing w:after="120" w:before="240"/>
      </w:pPr>
      <w:r>
        <w:rPr>
          <w:rFonts w:ascii="Times New Roman" w:cs="Times New Roman" w:eastAsia="Times New Roman" w:hAnsi="Times New Roman"/>
          <w:sz w:val="24"/>
          <w:szCs w:val="24"/>
        </w:rPr>
        <w:t xml:space="preserve">Capitolo VII — Le suggestioni e i loro gradi</w:t>
      </w:r>
    </w:p>
    <w:p>
      <w:pPr>
        <w:spacing w:after="120" w:line="276"/>
        <w:jc w:val="both"/>
      </w:pPr>
      <w:r>
        <w:rPr>
          <w:rFonts w:ascii="Times New Roman" w:cs="Times New Roman" w:eastAsia="Times New Roman" w:hAnsi="Times New Roman"/>
          <w:sz w:val="24"/>
          <w:szCs w:val="24"/>
        </w:rPr>
        <w:t xml:space="preserve">Attorno al ceppo si addensano suggestioni potenti, ed è compito di questo capitolo pesarle una per una, perché è qui che la congetturistica ha sempre barato.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L'USIS e il «si dice» di Radio Free Europe</w:t>
      </w:r>
      <w:r>
        <w:rPr>
          <w:rFonts w:ascii="Times New Roman" w:cs="Times New Roman" w:eastAsia="Times New Roman" w:hAnsi="Times New Roman"/>
          <w:sz w:val="24"/>
          <w:szCs w:val="24"/>
        </w:rPr>
        <w:t xml:space="preserve"> → il lavoro all'USIS è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la voce su RFE è </w:t>
      </w:r>
      <w:r>
        <w:rPr>
          <w:rFonts w:ascii="Times New Roman" w:cs="Times New Roman" w:eastAsia="Times New Roman" w:hAnsi="Times New Roman"/>
          <w:b/>
          <w:bCs/>
          <w:sz w:val="24"/>
          <w:szCs w:val="24"/>
        </w:rPr>
        <w:t xml:space="preserve">riferita, non accertata</w:t>
      </w:r>
      <w:r>
        <w:rPr>
          <w:rFonts w:ascii="Times New Roman" w:cs="Times New Roman" w:eastAsia="Times New Roman" w:hAnsi="Times New Roman"/>
          <w:sz w:val="24"/>
          <w:szCs w:val="24"/>
        </w:rPr>
        <w:t xml:space="preserve">; la lettura di entrambi come «appartenenza ai servizi americani» è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 e comunque inerte, per la regola dell'opera.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memorialistica brigatista sul Superclan</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fonte di parte della scissione opposta (cap. IV).</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L'approccio SID del 1972 a Berio</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(audizione parlamentare), e documenta un rifiuto messo per iscritto, non una collaborazione.</w:t>
      </w:r>
    </w:p>
    <w:p>
      <w:pPr>
        <w:pStyle w:val="ListParagraph"/>
        <w:numPr>
          <w:ilvl w:val="0"/>
          <w:numId w:val="1"/>
        </w:numPr>
        <w:spacing w:after="40"/>
        <w:jc w:val="both"/>
      </w:pPr>
      <w:r>
        <w:rPr>
          <w:rFonts w:ascii="Times New Roman" w:cs="Times New Roman" w:eastAsia="Times New Roman" w:hAnsi="Times New Roman"/>
          <w:b/>
          <w:bCs/>
          <w:sz w:val="24"/>
          <w:szCs w:val="24"/>
        </w:rPr>
        <w:t xml:space="preserve">Via Nicotera, febbraio-estate 1978</w:t>
      </w:r>
      <w:r>
        <w:rPr>
          <w:rFonts w:ascii="Times New Roman" w:cs="Times New Roman" w:eastAsia="Times New Roman" w:hAnsi="Times New Roman"/>
          <w:sz w:val="24"/>
          <w:szCs w:val="24"/>
        </w:rPr>
        <w:t xml:space="preserve"> → coincidenza cronologica </w:t>
      </w:r>
      <w:r>
        <w:rPr>
          <w:rFonts w:ascii="Times New Roman" w:cs="Times New Roman" w:eastAsia="Times New Roman" w:hAnsi="Times New Roman"/>
          <w:b/>
          <w:bCs/>
          <w:sz w:val="24"/>
          <w:szCs w:val="24"/>
        </w:rPr>
        <w:t xml:space="preserve">non spiegata</w:t>
      </w:r>
      <w:r>
        <w:rPr>
          <w:rFonts w:ascii="Times New Roman" w:cs="Times New Roman" w:eastAsia="Times New Roman" w:hAnsi="Times New Roman"/>
          <w:sz w:val="24"/>
          <w:szCs w:val="24"/>
        </w:rPr>
        <w:t xml:space="preserve">; resta al grado assegnatole dalla triangolazione Hyperion. Una coincidenza non spiegata è un compito per la ricerca, non una prova per l'accusa.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L'ambiente Abbé Pierre</w:t>
      </w:r>
      <w:r>
        <w:rPr>
          <w:rFonts w:ascii="Times New Roman" w:cs="Times New Roman" w:eastAsia="Times New Roman" w:hAnsi="Times New Roman"/>
          <w:sz w:val="24"/>
          <w:szCs w:val="24"/>
        </w:rPr>
        <w:t xml:space="preserve"> → fatti pubblici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 la difesa di Mulinaris, la vicepresidenza di Simioni, l'udienza papale del 1992. Chi volesse leggervi una «protezione» dovrebbe prima spiegare perché la solidarietà di un fondatore di comunità per i poveri verso un collaboratore che i tribunali avrebbero poi assolto con formula piena debba essere altro da ciò che appare: la difesa di un innocente.</w:t>
      </w:r>
    </w:p>
    <w:p>
      <w:pPr>
        <w:pStyle w:val="ListParagraph"/>
        <w:numPr>
          <w:ilvl w:val="0"/>
          <w:numId w:val="1"/>
        </w:numPr>
        <w:spacing w:after="40"/>
        <w:jc w:val="both"/>
      </w:pPr>
      <w:r>
        <w:rPr>
          <w:rFonts w:ascii="Times New Roman" w:cs="Times New Roman" w:eastAsia="Times New Roman" w:hAnsi="Times New Roman"/>
          <w:b/>
          <w:bCs/>
          <w:sz w:val="24"/>
          <w:szCs w:val="24"/>
        </w:rPr>
        <w:t xml:space="preserve">Le due tesi su Hyperion</w:t>
      </w:r>
      <w:r>
        <w:rPr>
          <w:rFonts w:ascii="Times New Roman" w:cs="Times New Roman" w:eastAsia="Times New Roman" w:hAnsi="Times New Roman"/>
          <w:sz w:val="24"/>
          <w:szCs w:val="24"/>
        </w:rPr>
        <w:t xml:space="preserve"> («centrale del terrorismo» / «centrale d'intelligence») → entrambe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con il criterio di smentita comune già fissato dal corpus: un documento primario che attesti direzione od organizzazione di attività armata (per la prima) o un rapporto organico con un servizio (per la seconda). Nessuno dei due documenti è mai emerso, in quarant'anni e in due Paesi.</w:t>
      </w:r>
    </w:p>
    <w:p>
      <w:pPr>
        <w:pStyle w:val="Heading1"/>
        <w:spacing w:after="120" w:before="240"/>
      </w:pPr>
      <w:r>
        <w:rPr>
          <w:rFonts w:ascii="Times New Roman" w:cs="Times New Roman" w:eastAsia="Times New Roman" w:hAnsi="Times New Roman"/>
          <w:sz w:val="24"/>
          <w:szCs w:val="24"/>
        </w:rPr>
        <w:t xml:space="preserve">Capitolo VIII — Anti-triangolazioni</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L'impiego non è appartenenza, e l'appartenenza non è condotta.</w:t>
      </w:r>
      <w:r>
        <w:rPr>
          <w:rFonts w:ascii="Times New Roman" w:cs="Times New Roman" w:eastAsia="Times New Roman" w:hAnsi="Times New Roman"/>
          <w:sz w:val="24"/>
          <w:szCs w:val="24"/>
        </w:rPr>
        <w:t xml:space="preserve"> Vale per l'USIS di Simioni come vale — nell'altra discendenza — per la militanza dei condannati: la regola è una sola, e si applica a tutti.</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La scissione non è copertura.</w:t>
      </w:r>
      <w:r>
        <w:rPr>
          <w:rFonts w:ascii="Times New Roman" w:cs="Times New Roman" w:eastAsia="Times New Roman" w:hAnsi="Times New Roman"/>
          <w:sz w:val="24"/>
          <w:szCs w:val="24"/>
        </w:rPr>
        <w:t xml:space="preserve"> Che il Superclan sia nato contestando la scelta armata non «nasconde» nulla: è ciò che le fonti attestano, e coincide con l'esito giudiziario dei suoi uomini.</w:t>
      </w:r>
    </w:p>
    <w:p>
      <w:pPr>
        <w:spacing w:after="4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L'assoluzione non è un sospetto residuo.</w:t>
      </w:r>
      <w:r>
        <w:rPr>
          <w:rFonts w:ascii="Times New Roman" w:cs="Times New Roman" w:eastAsia="Times New Roman" w:hAnsi="Times New Roman"/>
          <w:sz w:val="24"/>
          <w:szCs w:val="24"/>
        </w:rPr>
        <w:t xml:space="preserve"> La formula «fu assolto, ma…» è bandita da questo studio: Mulinaris fu assolto </w:t>
      </w:r>
      <w:r>
        <w:rPr>
          <w:rFonts w:ascii="Times New Roman" w:cs="Times New Roman" w:eastAsia="Times New Roman" w:hAnsi="Times New Roman"/>
          <w:i/>
          <w:iCs/>
          <w:sz w:val="24"/>
          <w:szCs w:val="24"/>
        </w:rPr>
        <w:t xml:space="preserve">e risarcito</w:t>
      </w:r>
      <w:r>
        <w:rPr>
          <w:rFonts w:ascii="Times New Roman" w:cs="Times New Roman" w:eastAsia="Times New Roman" w:hAnsi="Times New Roman"/>
          <w:sz w:val="24"/>
          <w:szCs w:val="24"/>
        </w:rPr>
        <w:t xml:space="preserve">; Berio fu assolto due volte; Simioni mai processato a condanna. Il «ma» è il contrabbando della colpa d'appartenenza sotto altro nome.</w:t>
      </w:r>
    </w:p>
    <w:p>
      <w:pPr>
        <w:spacing w:after="4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La coincidenza non è nesso.</w:t>
      </w:r>
      <w:r>
        <w:rPr>
          <w:rFonts w:ascii="Times New Roman" w:cs="Times New Roman" w:eastAsia="Times New Roman" w:hAnsi="Times New Roman"/>
          <w:sz w:val="24"/>
          <w:szCs w:val="24"/>
        </w:rPr>
        <w:t xml:space="preserve"> Via Nicotera resta ciò che è: una domanda aperta, censita al suo grado.</w:t>
      </w:r>
    </w:p>
    <w:p>
      <w:pPr>
        <w:spacing w:after="40"/>
        <w:ind w:left="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Il paragone fra le due discendenze non è equazione.</w:t>
      </w:r>
      <w:r>
        <w:rPr>
          <w:rFonts w:ascii="Times New Roman" w:cs="Times New Roman" w:eastAsia="Times New Roman" w:hAnsi="Times New Roman"/>
          <w:sz w:val="24"/>
          <w:szCs w:val="24"/>
        </w:rPr>
        <w:t xml:space="preserve"> Tredici condannati da una parte, tre prosciolti dall'altra: il ceppo comune non trasferisce nulla nell'una direzione né nell'altra. Ogni persona ha il suo fascicolo; ogni fascicolo il suo esito.</w:t>
      </w:r>
    </w:p>
    <w:p>
      <w:pPr>
        <w:pStyle w:val="Heading1"/>
        <w:spacing w:after="120" w:before="240"/>
      </w:pPr>
      <w:r>
        <w:rPr>
          <w:rFonts w:ascii="Times New Roman" w:cs="Times New Roman" w:eastAsia="Times New Roman" w:hAnsi="Times New Roman"/>
          <w:sz w:val="24"/>
          <w:szCs w:val="24"/>
        </w:rPr>
        <w:t xml:space="preserve">Capitolo IX — Chiusura: la terza strada</w:t>
      </w:r>
    </w:p>
    <w:p>
      <w:pPr>
        <w:spacing w:after="120" w:line="276"/>
        <w:jc w:val="both"/>
      </w:pPr>
      <w:r>
        <w:rPr>
          <w:rFonts w:ascii="Times New Roman" w:cs="Times New Roman" w:eastAsia="Times New Roman" w:hAnsi="Times New Roman"/>
          <w:sz w:val="24"/>
          <w:szCs w:val="24"/>
        </w:rPr>
        <w:t xml:space="preserve">Il corpus aveva già dato un nome alla matrice milanese del 1969-70: </w:t>
      </w:r>
      <w:r>
        <w:rPr>
          <w:rFonts w:ascii="Times New Roman" w:cs="Times New Roman" w:eastAsia="Times New Roman" w:hAnsi="Times New Roman"/>
          <w:b/>
          <w:bCs/>
          <w:sz w:val="24"/>
          <w:szCs w:val="24"/>
        </w:rPr>
        <w:t xml:space="preserve">stesso ceppo, tre strade</w:t>
      </w:r>
      <w:r>
        <w:rPr>
          <w:rFonts w:ascii="Times New Roman" w:cs="Times New Roman" w:eastAsia="Times New Roman" w:hAnsi="Times New Roman"/>
          <w:sz w:val="24"/>
          <w:szCs w:val="24"/>
        </w:rPr>
        <w:t xml:space="preserve"> — i GAP di Feltrinelli, le BR di Curcio, il Superclan di Simioni. Le prime due strade il corpus le ha percorse fino in fondo: la prima finì a Segrate nel marzo 1972, la seconda nel registro dei tredici. Questo studio ha percorso la terza, ed essa finisce in un luogo che nessuna dietrologia aveva previsto: </w:t>
      </w:r>
      <w:r>
        <w:rPr>
          <w:rFonts w:ascii="Times New Roman" w:cs="Times New Roman" w:eastAsia="Times New Roman" w:hAnsi="Times New Roman"/>
          <w:b/>
          <w:bCs/>
          <w:sz w:val="24"/>
          <w:szCs w:val="24"/>
        </w:rPr>
        <w:t xml:space="preserve">nelle aule che assolvono, e a Emmaus</w:t>
      </w:r>
      <w:r>
        <w:rPr>
          <w:rFonts w:ascii="Times New Roman" w:cs="Times New Roman" w:eastAsia="Times New Roman" w:hAnsi="Times New Roman"/>
          <w:sz w:val="24"/>
          <w:szCs w:val="24"/>
        </w:rPr>
        <w:t xml:space="preserve">. Non perché la storia sia edificante — non lo è: in mezzo ci sono anni di carcere ingiusto, digiuni, una scuola marchiata da un sospetto mai provato, tre vite segnate — ma perché è </w:t>
      </w:r>
      <w:r>
        <w:rPr>
          <w:rFonts w:ascii="Times New Roman" w:cs="Times New Roman" w:eastAsia="Times New Roman" w:hAnsi="Times New Roman"/>
          <w:b/>
          <w:bCs/>
          <w:sz w:val="24"/>
          <w:szCs w:val="24"/>
        </w:rPr>
        <w:t xml:space="preserve">così che finì</w:t>
      </w:r>
      <w:r>
        <w:rPr>
          <w:rFonts w:ascii="Times New Roman" w:cs="Times New Roman" w:eastAsia="Times New Roman" w:hAnsi="Times New Roman"/>
          <w:sz w:val="24"/>
          <w:szCs w:val="24"/>
        </w:rPr>
        <w:t xml:space="preserve">, e il mestiere di quest'opera è scrivere come finì.</w:t>
      </w:r>
    </w:p>
    <w:p>
      <w:pPr>
        <w:spacing w:after="120" w:line="276"/>
        <w:jc w:val="both"/>
      </w:pPr>
      <w:r>
        <w:rPr>
          <w:rFonts w:ascii="Times New Roman" w:cs="Times New Roman" w:eastAsia="Times New Roman" w:hAnsi="Times New Roman"/>
          <w:sz w:val="24"/>
          <w:szCs w:val="24"/>
        </w:rPr>
        <w:t xml:space="preserve">Resta il ceppo, come oggetto storico vero: una generazione che nelle stesse stanze del 1969 covò insieme la rivoluzione, e poi si divise fra chi sparò, chi armò, e chi — assolto da ogni accusa — insegnò lingue e servì i poveri. La guerra senza fine passa anche di qui: nella tentazione, mai spenta, di ricondurre le tre strade a una regia sola. Quarant'anni di indagini in due Paesi non l'hanno trovata. Finché non emerga il documento che i criteri di smentita esigono, la regia unica resta ciò che è sempre stata: </w:t>
      </w:r>
      <w:r>
        <w:rPr>
          <w:rFonts w:ascii="Times New Roman" w:cs="Times New Roman" w:eastAsia="Times New Roman" w:hAnsi="Times New Roman"/>
          <w:b/>
          <w:bCs/>
          <w:sz w:val="24"/>
          <w:szCs w:val="24"/>
        </w:rPr>
        <w:t xml:space="preserve">una congettura</w:t>
      </w:r>
      <w:r>
        <w:rPr>
          <w:rFonts w:ascii="Times New Roman" w:cs="Times New Roman" w:eastAsia="Times New Roman" w:hAnsi="Times New Roman"/>
          <w:sz w:val="24"/>
          <w:szCs w:val="24"/>
        </w:rPr>
        <w:t xml:space="preserve"> — e le persone della terza strada restano ciò che i tribunali hanno detto: </w:t>
      </w:r>
      <w:r>
        <w:rPr>
          <w:rFonts w:ascii="Times New Roman" w:cs="Times New Roman" w:eastAsia="Times New Roman" w:hAnsi="Times New Roman"/>
          <w:b/>
          <w:bCs/>
          <w:sz w:val="24"/>
          <w:szCs w:val="24"/>
        </w:rPr>
        <w:t xml:space="preserve">innocenti</w:t>
      </w:r>
      <w:r>
        <w:rPr>
          <w:rFonts w:ascii="Times New Roman" w:cs="Times New Roman" w:eastAsia="Times New Roman" w:hAnsi="Times New Roman"/>
          <w:sz w:val="24"/>
          <w:szCs w:val="24"/>
        </w:rPr>
        <w:t xml:space="preserv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Studio monografico sul ceppo Simioni: la discendenza CPM → Superclan → Hyperion. Complemento della triangolazione Hyperion (di cui assume i nodi e i gradi senza ripeterli) e specchio della Fase decima (il registro dei prosciolti accanto al registro dei condannati, con la stessa disciplina personalistica). Ogni dato biografico e giudiziario è stato verificato su fonti prima della stesura, con gli indirizzi nel testo; le divergenze (1976/1977 per la fondazione di Hyperion) sono riportate e non risolte; le voci non accertate sono marcate come tali. Presunzione d'innocenza piena e nominale; nessuna tesi promossa oltre il grado C; il «fu assolto, ma» è bandito.</w:t>
      </w:r>
    </w:p>
    <w:p>
      <w:r>
        <w:br w:type="page"/>
      </w:r>
    </w:p>
    <w:p>
      <w:pPr>
        <w:pStyle w:val="Heading1"/>
        <w:spacing w:after="120" w:before="240"/>
      </w:pPr>
      <w:r>
        <w:rPr>
          <w:rFonts w:ascii="Times New Roman" w:cs="Times New Roman" w:eastAsia="Times New Roman" w:hAnsi="Times New Roman"/>
          <w:sz w:val="24"/>
          <w:szCs w:val="24"/>
        </w:rPr>
        <w:t xml:space="preserve">Pannello secondo — Triangolazione del nodo Hyperion con il corpus</w:t>
      </w:r>
    </w:p>
    <w:p>
      <w:pPr>
        <w:pStyle w:val="Heading1"/>
        <w:spacing w:after="120" w:before="240"/>
      </w:pPr>
      <w:r>
        <w:rPr>
          <w:rFonts w:ascii="Times New Roman" w:cs="Times New Roman" w:eastAsia="Times New Roman" w:hAnsi="Times New Roman"/>
          <w:sz w:val="24"/>
          <w:szCs w:val="24"/>
        </w:rPr>
        <w:t xml:space="preserve">Triangolazione: Hyperion e il corpus</w:t>
      </w:r>
    </w:p>
    <w:p>
      <w:pPr>
        <w:spacing w:after="120" w:line="276"/>
        <w:jc w:val="both"/>
      </w:pPr>
      <w:r>
        <w:rPr>
          <w:rFonts w:ascii="Times New Roman" w:cs="Times New Roman" w:eastAsia="Times New Roman" w:hAnsi="Times New Roman"/>
          <w:i/>
          <w:iCs/>
          <w:sz w:val="24"/>
          <w:szCs w:val="24"/>
        </w:rPr>
        <w:t xml:space="preserve">La «scuola di lingue» di Parigi nel quadro internazionale del caso Moro — verifica e mappatura dei ponti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un avvertimento più severo del solito.</w:t>
      </w:r>
      <w:r>
        <w:rPr>
          <w:rFonts w:ascii="Times New Roman" w:cs="Times New Roman" w:eastAsia="Times New Roman" w:hAnsi="Times New Roman"/>
          <w:i w:val="false"/>
          <w:iCs w:val="false"/>
          <w:sz w:val="24"/>
          <w:szCs w:val="24"/>
        </w:rPr>
        <w:t xml:space="preserve"> Hyperion è il nodo dove la dietrologia italiana ha costruito di più e i tribunali hanno accertato di meno. Perciò questa triangolazione comincia dal suo esito: </w:t>
      </w:r>
      <w:r>
        <w:rPr>
          <w:rFonts w:ascii="Times New Roman" w:cs="Times New Roman" w:eastAsia="Times New Roman" w:hAnsi="Times New Roman"/>
          <w:b/>
          <w:bCs/>
          <w:i w:val="false"/>
          <w:iCs w:val="false"/>
          <w:sz w:val="24"/>
          <w:szCs w:val="24"/>
        </w:rPr>
        <w:t xml:space="preserve">tutti i procedimenti giudiziari aperti su Hyperion e sui suoi fondatori si sono chiusi con proscioglimenti; nessuno è mai stato condannato.</w:t>
      </w:r>
      <w:r>
        <w:rPr>
          <w:rFonts w:ascii="Times New Roman" w:cs="Times New Roman" w:eastAsia="Times New Roman" w:hAnsi="Times New Roman"/>
          <w:i w:val="false"/>
          <w:iCs w:val="false"/>
          <w:sz w:val="24"/>
          <w:szCs w:val="24"/>
        </w:rPr>
        <w:t xml:space="preserve"> I fondatori sono qui nominati esclusivamente per fatti pubblici e documentati (la fondazione della scuola, i percorsi politici precedenti, gli atti giudiziari e parlamentari che li riguardarono e i loro esiti liberatori) e godono per intero della presunzione d'innocenza. Le due tesi contrapposte che da quarant'anni si contendono il nodo — «centrale del terrorismo internazionale» e «centrale d'intelligence» — restano entrambe, al vaglio delle fonti, </w:t>
      </w:r>
      <w:r>
        <w:rPr>
          <w:rFonts w:ascii="Times New Roman" w:cs="Times New Roman" w:eastAsia="Times New Roman" w:hAnsi="Times New Roman"/>
          <w:b/>
          <w:bCs/>
          <w:i w:val="false"/>
          <w:iCs w:val="false"/>
          <w:sz w:val="24"/>
          <w:szCs w:val="24"/>
        </w:rPr>
        <w:t xml:space="preserve">congetture non provate</w:t>
      </w:r>
      <w:r>
        <w:rPr>
          <w:rFonts w:ascii="Times New Roman" w:cs="Times New Roman" w:eastAsia="Times New Roman" w:hAnsi="Times New Roman"/>
          <w:i w:val="false"/>
          <w:iCs w:val="false"/>
          <w:sz w:val="24"/>
          <w:szCs w:val="24"/>
        </w:rPr>
        <w:t xml:space="preserve">, e come tali sono trattate. La Regola di Ferro vale qui al massimo grado: dove la fonte documenta, si certifica; dove tace — e su Hyperion tace molto — si tace.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1. I fatti documentati (nodi HY-1…HY-9)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Fatto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Riscontro</w:t>
            </w:r>
          </w:p>
        </w:tc>
      </w:tr>
      <w:tr>
        <w:tc>
          <w:tcPr>
            <w:tcW w:type="dxa" w:w="3120"/>
          </w:tcPr>
          <w:p>
            <w:pPr>
              <w:spacing w:after="20" w:before="20"/>
              <w:jc w:val="left"/>
            </w:pPr>
            <w:r>
              <w:rPr>
                <w:rFonts w:ascii="Times New Roman" w:cs="Times New Roman" w:eastAsia="Times New Roman" w:hAnsi="Times New Roman"/>
                <w:sz w:val="20"/>
                <w:szCs w:val="20"/>
              </w:rPr>
              <w:t xml:space="preserve">HY-1</w:t>
            </w:r>
          </w:p>
        </w:tc>
        <w:tc>
          <w:tcPr>
            <w:tcW w:type="dxa" w:w="3120"/>
          </w:tcPr>
          <w:p>
            <w:pPr>
              <w:spacing w:after="20" w:before="20"/>
              <w:jc w:val="left"/>
            </w:pPr>
            <w:r>
              <w:rPr>
                <w:rFonts w:ascii="Times New Roman" w:cs="Times New Roman" w:eastAsia="Times New Roman" w:hAnsi="Times New Roman"/>
                <w:b/>
                <w:bCs/>
                <w:sz w:val="20"/>
                <w:szCs w:val="20"/>
              </w:rPr>
              <w:t xml:space="preserve">La genealogia milanese.</w:t>
            </w:r>
            <w:r>
              <w:rPr>
                <w:rFonts w:ascii="Times New Roman" w:cs="Times New Roman" w:eastAsia="Times New Roman" w:hAnsi="Times New Roman"/>
                <w:sz w:val="20"/>
                <w:szCs w:val="20"/>
              </w:rPr>
              <w:t xml:space="preserve"> Il </w:t>
            </w:r>
            <w:r>
              <w:rPr>
                <w:rFonts w:ascii="Times New Roman" w:cs="Times New Roman" w:eastAsia="Times New Roman" w:hAnsi="Times New Roman"/>
                <w:b/>
                <w:bCs/>
                <w:sz w:val="20"/>
                <w:szCs w:val="20"/>
              </w:rPr>
              <w:t xml:space="preserve">Collettivo Politico Metropolitano (CPM)</w:t>
            </w:r>
            <w:r>
              <w:rPr>
                <w:rFonts w:ascii="Times New Roman" w:cs="Times New Roman" w:eastAsia="Times New Roman" w:hAnsi="Times New Roman"/>
                <w:sz w:val="20"/>
                <w:szCs w:val="20"/>
              </w:rPr>
              <w:t xml:space="preserve">, fondato a Milano nel settembre 1969, comprese fra gli altri Renato Curcio, Corrado Simioni, Duccio Berio e Vanni Mulinaris: lo stesso brodo di coltura da cui sarebbero nate le BR</w:t>
            </w:r>
          </w:p>
        </w:tc>
        <w:tc>
          <w:tcPr>
            <w:tcW w:type="dxa" w:w="3120"/>
          </w:tcPr>
          <w:p>
            <w:pPr>
              <w:spacing w:after="20" w:before="20"/>
              <w:jc w:val="left"/>
            </w:pPr>
            <w:r>
              <w:rPr>
                <w:rFonts w:ascii="Times New Roman" w:cs="Times New Roman" w:eastAsia="Times New Roman" w:hAnsi="Times New Roman"/>
                <w:sz w:val="20"/>
                <w:szCs w:val="20"/>
              </w:rPr>
              <w:t xml:space="preserve">Wikipedia IT, Hyperion (Parigi) (https://it.wikipedia.org/wiki/Hyperion_(Parigi)); Lettera43 (https://www.lettera43.it/scuola-hyperion-gli-intrecci-con-il-caso-moro/)</w:t>
            </w:r>
          </w:p>
        </w:tc>
      </w:tr>
      <w:tr>
        <w:tc>
          <w:tcPr>
            <w:tcW w:type="dxa" w:w="3120"/>
          </w:tcPr>
          <w:p>
            <w:pPr>
              <w:spacing w:after="20" w:before="20"/>
              <w:jc w:val="left"/>
            </w:pPr>
            <w:r>
              <w:rPr>
                <w:rFonts w:ascii="Times New Roman" w:cs="Times New Roman" w:eastAsia="Times New Roman" w:hAnsi="Times New Roman"/>
                <w:sz w:val="20"/>
                <w:szCs w:val="20"/>
              </w:rPr>
              <w:t xml:space="preserve">HY-2</w:t>
            </w:r>
          </w:p>
        </w:tc>
        <w:tc>
          <w:tcPr>
            <w:tcW w:type="dxa" w:w="3120"/>
          </w:tcPr>
          <w:p>
            <w:pPr>
              <w:spacing w:after="20" w:before="20"/>
              <w:jc w:val="left"/>
            </w:pPr>
            <w:r>
              <w:rPr>
                <w:rFonts w:ascii="Times New Roman" w:cs="Times New Roman" w:eastAsia="Times New Roman" w:hAnsi="Times New Roman"/>
                <w:b/>
                <w:bCs/>
                <w:sz w:val="20"/>
                <w:szCs w:val="20"/>
              </w:rPr>
              <w:t xml:space="preserve">La scissione e il «Superclan».</w:t>
            </w:r>
            <w:r>
              <w:rPr>
                <w:rFonts w:ascii="Times New Roman" w:cs="Times New Roman" w:eastAsia="Times New Roman" w:hAnsi="Times New Roman"/>
                <w:sz w:val="20"/>
                <w:szCs w:val="20"/>
              </w:rPr>
              <w:t xml:space="preserve"> Prima della fondazione delle BR, il gruppo di Simioni si separò da quello di Curcio e Franceschini e diede vita a una struttura clandestina detta poi </w:t>
            </w:r>
            <w:r>
              <w:rPr>
                <w:rFonts w:ascii="Times New Roman" w:cs="Times New Roman" w:eastAsia="Times New Roman" w:hAnsi="Times New Roman"/>
                <w:b/>
                <w:bCs/>
                <w:sz w:val="20"/>
                <w:szCs w:val="20"/>
              </w:rPr>
              <w:t xml:space="preserve">«Superclan»</w:t>
            </w:r>
            <w:r>
              <w:rPr>
                <w:rFonts w:ascii="Times New Roman" w:cs="Times New Roman" w:eastAsia="Times New Roman" w:hAnsi="Times New Roman"/>
                <w:sz w:val="20"/>
                <w:szCs w:val="20"/>
              </w:rPr>
              <w:t xml:space="preserve">, di cui le fonti indicano fra i partecipanti anche </w:t>
            </w:r>
            <w:r>
              <w:rPr>
                <w:rFonts w:ascii="Times New Roman" w:cs="Times New Roman" w:eastAsia="Times New Roman" w:hAnsi="Times New Roman"/>
                <w:b/>
                <w:bCs/>
                <w:sz w:val="20"/>
                <w:szCs w:val="20"/>
              </w:rPr>
              <w:t xml:space="preserve">Mario Moretti</w:t>
            </w:r>
            <w:r>
              <w:rPr>
                <w:rFonts w:ascii="Times New Roman" w:cs="Times New Roman" w:eastAsia="Times New Roman" w:hAnsi="Times New Roman"/>
                <w:sz w:val="20"/>
                <w:szCs w:val="20"/>
              </w:rPr>
              <w:t xml:space="preserve"> e Prospero Gallinari — che passarono in seguito alle BR. Il nome divenne pubblico solo nel 1978-79, con le indagini</w:t>
            </w:r>
          </w:p>
        </w:tc>
        <w:tc>
          <w:tcPr>
            <w:tcW w:type="dxa" w:w="3120"/>
          </w:tcPr>
          <w:p>
            <w:pPr>
              <w:spacing w:after="20" w:before="20"/>
              <w:jc w:val="left"/>
            </w:pPr>
            <w:r>
              <w:rPr>
                <w:rFonts w:ascii="Times New Roman" w:cs="Times New Roman" w:eastAsia="Times New Roman" w:hAnsi="Times New Roman"/>
                <w:sz w:val="20"/>
                <w:szCs w:val="20"/>
              </w:rPr>
              <w:t xml:space="preserve">Lucarelli, Hyperion e Superclan (http://www.valeriolucarelli.it/Hyperion.htm); Tassinari (https://www.ugomariatassinari.it/hyperion-mandati-di-cattura/)</w:t>
            </w:r>
          </w:p>
        </w:tc>
      </w:tr>
      <w:tr>
        <w:tc>
          <w:tcPr>
            <w:tcW w:type="dxa" w:w="3120"/>
          </w:tcPr>
          <w:p>
            <w:pPr>
              <w:spacing w:after="20" w:before="20"/>
              <w:jc w:val="left"/>
            </w:pPr>
            <w:r>
              <w:rPr>
                <w:rFonts w:ascii="Times New Roman" w:cs="Times New Roman" w:eastAsia="Times New Roman" w:hAnsi="Times New Roman"/>
                <w:sz w:val="20"/>
                <w:szCs w:val="20"/>
              </w:rPr>
              <w:t xml:space="preserve">HY-3</w:t>
            </w:r>
          </w:p>
        </w:tc>
        <w:tc>
          <w:tcPr>
            <w:tcW w:type="dxa" w:w="3120"/>
          </w:tcPr>
          <w:p>
            <w:pPr>
              <w:spacing w:after="20" w:before="20"/>
              <w:jc w:val="left"/>
            </w:pPr>
            <w:r>
              <w:rPr>
                <w:rFonts w:ascii="Times New Roman" w:cs="Times New Roman" w:eastAsia="Times New Roman" w:hAnsi="Times New Roman"/>
                <w:b/>
                <w:bCs/>
                <w:sz w:val="20"/>
                <w:szCs w:val="20"/>
              </w:rPr>
              <w:t xml:space="preserve">La fondazione della scuola.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Hyperion</w:t>
            </w:r>
            <w:r>
              <w:rPr>
                <w:rFonts w:ascii="Times New Roman" w:cs="Times New Roman" w:eastAsia="Times New Roman" w:hAnsi="Times New Roman"/>
                <w:sz w:val="20"/>
                <w:szCs w:val="20"/>
              </w:rPr>
              <w:t xml:space="preserve"> (già «Agorà») fu formalmente fondata a </w:t>
            </w:r>
            <w:r>
              <w:rPr>
                <w:rFonts w:ascii="Times New Roman" w:cs="Times New Roman" w:eastAsia="Times New Roman" w:hAnsi="Times New Roman"/>
                <w:b/>
                <w:bCs/>
                <w:sz w:val="20"/>
                <w:szCs w:val="20"/>
              </w:rPr>
              <w:t xml:space="preserve">Parigi nel 1976</w:t>
            </w:r>
            <w:r>
              <w:rPr>
                <w:rFonts w:ascii="Times New Roman" w:cs="Times New Roman" w:eastAsia="Times New Roman" w:hAnsi="Times New Roman"/>
                <w:sz w:val="20"/>
                <w:szCs w:val="20"/>
              </w:rPr>
              <w:t xml:space="preserve">, al 27 di Quai de la Tournelle, come scuola di lingue; vi operavano Simioni, Berio e Mulinaris</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 2duerighe (https://www.2duerighe.com/rubriche/storie/176537-luci-e-ombre-della-scuola-di-lingue-hyperion.html)</w:t>
            </w:r>
          </w:p>
        </w:tc>
      </w:tr>
      <w:tr>
        <w:tc>
          <w:tcPr>
            <w:tcW w:type="dxa" w:w="3120"/>
          </w:tcPr>
          <w:p>
            <w:pPr>
              <w:spacing w:after="20" w:before="20"/>
              <w:jc w:val="left"/>
            </w:pPr>
            <w:r>
              <w:rPr>
                <w:rFonts w:ascii="Times New Roman" w:cs="Times New Roman" w:eastAsia="Times New Roman" w:hAnsi="Times New Roman"/>
                <w:sz w:val="20"/>
                <w:szCs w:val="20"/>
              </w:rPr>
              <w:t xml:space="preserve">HY-4</w:t>
            </w:r>
          </w:p>
        </w:tc>
        <w:tc>
          <w:tcPr>
            <w:tcW w:type="dxa" w:w="3120"/>
          </w:tcPr>
          <w:p>
            <w:pPr>
              <w:spacing w:after="20" w:before="20"/>
              <w:jc w:val="left"/>
            </w:pPr>
            <w:r>
              <w:rPr>
                <w:rFonts w:ascii="Times New Roman" w:cs="Times New Roman" w:eastAsia="Times New Roman" w:hAnsi="Times New Roman"/>
                <w:b/>
                <w:bCs/>
                <w:sz w:val="20"/>
                <w:szCs w:val="20"/>
              </w:rPr>
              <w:t xml:space="preserve">L'ufficio romano del febbraio 1978.</w:t>
            </w:r>
            <w:r>
              <w:rPr>
                <w:rFonts w:ascii="Times New Roman" w:cs="Times New Roman" w:eastAsia="Times New Roman" w:hAnsi="Times New Roman"/>
                <w:sz w:val="20"/>
                <w:szCs w:val="20"/>
              </w:rPr>
              <w:t xml:space="preserve"> Nel </w:t>
            </w:r>
            <w:r>
              <w:rPr>
                <w:rFonts w:ascii="Times New Roman" w:cs="Times New Roman" w:eastAsia="Times New Roman" w:hAnsi="Times New Roman"/>
                <w:b/>
                <w:bCs/>
                <w:sz w:val="20"/>
                <w:szCs w:val="20"/>
              </w:rPr>
              <w:t xml:space="preserve">febbraio 1978</w:t>
            </w:r>
            <w:r>
              <w:rPr>
                <w:rFonts w:ascii="Times New Roman" w:cs="Times New Roman" w:eastAsia="Times New Roman" w:hAnsi="Times New Roman"/>
                <w:sz w:val="20"/>
                <w:szCs w:val="20"/>
              </w:rPr>
              <w:t xml:space="preserve"> — un mese prima di via Fani — Hyperion aprì una sede di rappresentanza a Roma in </w:t>
            </w:r>
            <w:r>
              <w:rPr>
                <w:rFonts w:ascii="Times New Roman" w:cs="Times New Roman" w:eastAsia="Times New Roman" w:hAnsi="Times New Roman"/>
                <w:b/>
                <w:bCs/>
                <w:sz w:val="20"/>
                <w:szCs w:val="20"/>
              </w:rPr>
              <w:t xml:space="preserve">via Nicotera 26</w:t>
            </w:r>
            <w:r>
              <w:rPr>
                <w:rFonts w:ascii="Times New Roman" w:cs="Times New Roman" w:eastAsia="Times New Roman" w:hAnsi="Times New Roman"/>
                <w:sz w:val="20"/>
                <w:szCs w:val="20"/>
              </w:rPr>
              <w:t xml:space="preserve">, stabile in cui avevano sede anche società di copertura del SISMI</w:t>
            </w:r>
          </w:p>
        </w:tc>
        <w:tc>
          <w:tcPr>
            <w:tcW w:type="dxa" w:w="3120"/>
          </w:tcPr>
          <w:p>
            <w:pPr>
              <w:spacing w:after="20" w:before="20"/>
              <w:jc w:val="left"/>
            </w:pPr>
            <w:r>
              <w:rPr>
                <w:rFonts w:ascii="Times New Roman" w:cs="Times New Roman" w:eastAsia="Times New Roman" w:hAnsi="Times New Roman"/>
                <w:sz w:val="20"/>
                <w:szCs w:val="20"/>
              </w:rPr>
              <w:t xml:space="preserve">Lettera43 (https://www.lettera43.it/scuola-hyperion-gli-intrecci-con-il-caso-moro/); Colarieti (https://www.colarieti.it/scuola-hyperion-gli-intrecci-con-il-caso-moro/)</w:t>
            </w:r>
          </w:p>
        </w:tc>
      </w:tr>
      <w:tr>
        <w:tc>
          <w:tcPr>
            <w:tcW w:type="dxa" w:w="3120"/>
          </w:tcPr>
          <w:p>
            <w:pPr>
              <w:spacing w:after="20" w:before="20"/>
              <w:jc w:val="left"/>
            </w:pPr>
            <w:r>
              <w:rPr>
                <w:rFonts w:ascii="Times New Roman" w:cs="Times New Roman" w:eastAsia="Times New Roman" w:hAnsi="Times New Roman"/>
                <w:sz w:val="20"/>
                <w:szCs w:val="20"/>
              </w:rPr>
              <w:t xml:space="preserve">HY-5</w:t>
            </w:r>
          </w:p>
        </w:tc>
        <w:tc>
          <w:tcPr>
            <w:tcW w:type="dxa" w:w="3120"/>
          </w:tcPr>
          <w:p>
            <w:pPr>
              <w:spacing w:after="20" w:before="20"/>
              <w:jc w:val="left"/>
            </w:pPr>
            <w:r>
              <w:rPr>
                <w:rFonts w:ascii="Times New Roman" w:cs="Times New Roman" w:eastAsia="Times New Roman" w:hAnsi="Times New Roman"/>
                <w:b/>
                <w:bCs/>
                <w:sz w:val="20"/>
                <w:szCs w:val="20"/>
              </w:rPr>
              <w:t xml:space="preserve">L'ingresso nelle indagini (1979).</w:t>
            </w:r>
            <w:r>
              <w:rPr>
                <w:rFonts w:ascii="Times New Roman" w:cs="Times New Roman" w:eastAsia="Times New Roman" w:hAnsi="Times New Roman"/>
                <w:sz w:val="20"/>
                <w:szCs w:val="20"/>
              </w:rPr>
              <w:t xml:space="preserve"> Hyperion entrò nel mirino della magistratura italiana nel </w:t>
            </w:r>
            <w:r>
              <w:rPr>
                <w:rFonts w:ascii="Times New Roman" w:cs="Times New Roman" w:eastAsia="Times New Roman" w:hAnsi="Times New Roman"/>
                <w:b/>
                <w:bCs/>
                <w:sz w:val="20"/>
                <w:szCs w:val="20"/>
              </w:rPr>
              <w:t xml:space="preserve">1979</w:t>
            </w:r>
            <w:r>
              <w:rPr>
                <w:rFonts w:ascii="Times New Roman" w:cs="Times New Roman" w:eastAsia="Times New Roman" w:hAnsi="Times New Roman"/>
                <w:sz w:val="20"/>
                <w:szCs w:val="20"/>
              </w:rPr>
              <w:t xml:space="preserve">, nell'inchiesta del giudice </w:t>
            </w:r>
            <w:r>
              <w:rPr>
                <w:rFonts w:ascii="Times New Roman" w:cs="Times New Roman" w:eastAsia="Times New Roman" w:hAnsi="Times New Roman"/>
                <w:b/>
                <w:bCs/>
                <w:sz w:val="20"/>
                <w:szCs w:val="20"/>
              </w:rPr>
              <w:t xml:space="preserve">Pietro Calogero</w:t>
            </w:r>
            <w:r>
              <w:rPr>
                <w:rFonts w:ascii="Times New Roman" w:cs="Times New Roman" w:eastAsia="Times New Roman" w:hAnsi="Times New Roman"/>
                <w:sz w:val="20"/>
                <w:szCs w:val="20"/>
              </w:rPr>
              <w:t xml:space="preserve"> sui presunti collegamenti fra Autonomia e terrorismo</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w:t>
            </w:r>
          </w:p>
        </w:tc>
      </w:tr>
      <w:tr>
        <w:tc>
          <w:tcPr>
            <w:tcW w:type="dxa" w:w="3120"/>
          </w:tcPr>
          <w:p>
            <w:pPr>
              <w:spacing w:after="20" w:before="20"/>
              <w:jc w:val="left"/>
            </w:pPr>
            <w:r>
              <w:rPr>
                <w:rFonts w:ascii="Times New Roman" w:cs="Times New Roman" w:eastAsia="Times New Roman" w:hAnsi="Times New Roman"/>
                <w:sz w:val="20"/>
                <w:szCs w:val="20"/>
              </w:rPr>
              <w:t xml:space="preserve">HY-6</w:t>
            </w:r>
          </w:p>
        </w:tc>
        <w:tc>
          <w:tcPr>
            <w:tcW w:type="dxa" w:w="3120"/>
          </w:tcPr>
          <w:p>
            <w:pPr>
              <w:spacing w:after="20" w:before="20"/>
              <w:jc w:val="left"/>
            </w:pPr>
            <w:r>
              <w:rPr>
                <w:rFonts w:ascii="Times New Roman" w:cs="Times New Roman" w:eastAsia="Times New Roman" w:hAnsi="Times New Roman"/>
                <w:b/>
                <w:bCs/>
                <w:sz w:val="20"/>
                <w:szCs w:val="20"/>
              </w:rPr>
              <w:t xml:space="preserve">Gli arresti e i mandati del 1982.</w:t>
            </w:r>
            <w:r>
              <w:rPr>
                <w:rFonts w:ascii="Times New Roman" w:cs="Times New Roman" w:eastAsia="Times New Roman" w:hAnsi="Times New Roman"/>
                <w:sz w:val="20"/>
                <w:szCs w:val="20"/>
              </w:rPr>
              <w:t xml:space="preserve"> Il </w:t>
            </w:r>
            <w:r>
              <w:rPr>
                <w:rFonts w:ascii="Times New Roman" w:cs="Times New Roman" w:eastAsia="Times New Roman" w:hAnsi="Times New Roman"/>
                <w:b/>
                <w:bCs/>
                <w:sz w:val="20"/>
                <w:szCs w:val="20"/>
              </w:rPr>
              <w:t xml:space="preserve">2 febbraio 1982</w:t>
            </w:r>
            <w:r>
              <w:rPr>
                <w:rFonts w:ascii="Times New Roman" w:cs="Times New Roman" w:eastAsia="Times New Roman" w:hAnsi="Times New Roman"/>
                <w:sz w:val="20"/>
                <w:szCs w:val="20"/>
              </w:rPr>
              <w:t xml:space="preserve">, sulla base delle dichiarazioni del pentito Savasta, fu arrestato a Udine </w:t>
            </w:r>
            <w:r>
              <w:rPr>
                <w:rFonts w:ascii="Times New Roman" w:cs="Times New Roman" w:eastAsia="Times New Roman" w:hAnsi="Times New Roman"/>
                <w:b/>
                <w:bCs/>
                <w:sz w:val="20"/>
                <w:szCs w:val="20"/>
              </w:rPr>
              <w:t xml:space="preserve">Vanni Mulinaris</w:t>
            </w:r>
            <w:r>
              <w:rPr>
                <w:rFonts w:ascii="Times New Roman" w:cs="Times New Roman" w:eastAsia="Times New Roman" w:hAnsi="Times New Roman"/>
                <w:sz w:val="20"/>
                <w:szCs w:val="20"/>
              </w:rPr>
              <w:t xml:space="preserve"> (accuse: traffico d'armi e concorso in banda armata); il </w:t>
            </w:r>
            <w:r>
              <w:rPr>
                <w:rFonts w:ascii="Times New Roman" w:cs="Times New Roman" w:eastAsia="Times New Roman" w:hAnsi="Times New Roman"/>
                <w:b/>
                <w:bCs/>
                <w:sz w:val="20"/>
                <w:szCs w:val="20"/>
              </w:rPr>
              <w:t xml:space="preserve">17 giugno 1982</w:t>
            </w:r>
            <w:r>
              <w:rPr>
                <w:rFonts w:ascii="Times New Roman" w:cs="Times New Roman" w:eastAsia="Times New Roman" w:hAnsi="Times New Roman"/>
                <w:sz w:val="20"/>
                <w:szCs w:val="20"/>
              </w:rPr>
              <w:t xml:space="preserve"> il giudice istruttore </w:t>
            </w:r>
            <w:r>
              <w:rPr>
                <w:rFonts w:ascii="Times New Roman" w:cs="Times New Roman" w:eastAsia="Times New Roman" w:hAnsi="Times New Roman"/>
                <w:b/>
                <w:bCs/>
                <w:sz w:val="20"/>
                <w:szCs w:val="20"/>
              </w:rPr>
              <w:t xml:space="preserve">Rosario Priore</w:t>
            </w:r>
            <w:r>
              <w:rPr>
                <w:rFonts w:ascii="Times New Roman" w:cs="Times New Roman" w:eastAsia="Times New Roman" w:hAnsi="Times New Roman"/>
                <w:sz w:val="20"/>
                <w:szCs w:val="20"/>
              </w:rPr>
              <w:t xml:space="preserve"> firmò mandati di cattura internazionali per </w:t>
            </w:r>
            <w:r>
              <w:rPr>
                <w:rFonts w:ascii="Times New Roman" w:cs="Times New Roman" w:eastAsia="Times New Roman" w:hAnsi="Times New Roman"/>
                <w:b/>
                <w:bCs/>
                <w:sz w:val="20"/>
                <w:szCs w:val="20"/>
              </w:rPr>
              <w:t xml:space="preserve">Berio e Simioni</w:t>
            </w:r>
          </w:p>
        </w:tc>
        <w:tc>
          <w:tcPr>
            <w:tcW w:type="dxa" w:w="3120"/>
          </w:tcPr>
          <w:p>
            <w:pPr>
              <w:spacing w:after="20" w:before="20"/>
              <w:jc w:val="left"/>
            </w:pPr>
            <w:r>
              <w:rPr>
                <w:rFonts w:ascii="Times New Roman" w:cs="Times New Roman" w:eastAsia="Times New Roman" w:hAnsi="Times New Roman"/>
                <w:sz w:val="20"/>
                <w:szCs w:val="20"/>
              </w:rPr>
              <w:t xml:space="preserve">Comune di Bologna, cronologia (http://www.comune.bologna.it/iperbole/asnsmp/Friuli_Vanni_Mulinaris.html); Tassinari (https://www.ugomariatassinari.it/hyperion-mandati-di-cattura/)</w:t>
            </w:r>
          </w:p>
        </w:tc>
      </w:tr>
      <w:tr>
        <w:tc>
          <w:tcPr>
            <w:tcW w:type="dxa" w:w="3120"/>
          </w:tcPr>
          <w:p>
            <w:pPr>
              <w:spacing w:after="20" w:before="20"/>
              <w:jc w:val="left"/>
            </w:pPr>
            <w:r>
              <w:rPr>
                <w:rFonts w:ascii="Times New Roman" w:cs="Times New Roman" w:eastAsia="Times New Roman" w:hAnsi="Times New Roman"/>
                <w:sz w:val="20"/>
                <w:szCs w:val="20"/>
              </w:rPr>
              <w:t xml:space="preserve">HY-7</w:t>
            </w:r>
          </w:p>
        </w:tc>
        <w:tc>
          <w:tcPr>
            <w:tcW w:type="dxa" w:w="3120"/>
          </w:tcPr>
          <w:p>
            <w:pPr>
              <w:spacing w:after="20" w:before="20"/>
              <w:jc w:val="left"/>
            </w:pPr>
            <w:r>
              <w:rPr>
                <w:rFonts w:ascii="Times New Roman" w:cs="Times New Roman" w:eastAsia="Times New Roman" w:hAnsi="Times New Roman"/>
                <w:b/>
                <w:bCs/>
                <w:sz w:val="20"/>
                <w:szCs w:val="20"/>
              </w:rPr>
              <w:t xml:space="preserve">Gli esiti: proscioglimenti per tutti.</w:t>
            </w:r>
            <w:r>
              <w:rPr>
                <w:rFonts w:ascii="Times New Roman" w:cs="Times New Roman" w:eastAsia="Times New Roman" w:hAnsi="Times New Roman"/>
                <w:sz w:val="20"/>
                <w:szCs w:val="20"/>
              </w:rPr>
              <w:t xml:space="preserve"> I tre furono </w:t>
            </w:r>
            <w:r>
              <w:rPr>
                <w:rFonts w:ascii="Times New Roman" w:cs="Times New Roman" w:eastAsia="Times New Roman" w:hAnsi="Times New Roman"/>
                <w:b/>
                <w:bCs/>
                <w:sz w:val="20"/>
                <w:szCs w:val="20"/>
              </w:rPr>
              <w:t xml:space="preserve">prosciolti</w:t>
            </w:r>
            <w:r>
              <w:rPr>
                <w:rFonts w:ascii="Times New Roman" w:cs="Times New Roman" w:eastAsia="Times New Roman" w:hAnsi="Times New Roman"/>
                <w:sz w:val="20"/>
                <w:szCs w:val="20"/>
              </w:rPr>
              <w:t xml:space="preserve"> dalle accuse di terrorismo e traffico d'armi; Mulinaris fu dichiarato estraneo, anche a seguito di una campagna di solidarietà di intellettuali francesi — con una lettera al Presidente della Repubblica sottoscritta, fra gli altri, dall'</w:t>
            </w:r>
            <w:r>
              <w:rPr>
                <w:rFonts w:ascii="Times New Roman" w:cs="Times New Roman" w:eastAsia="Times New Roman" w:hAnsi="Times New Roman"/>
                <w:b/>
                <w:bCs/>
                <w:sz w:val="20"/>
                <w:szCs w:val="20"/>
              </w:rPr>
              <w:t xml:space="preserve">Abbé Pierre</w:t>
            </w:r>
            <w:r>
              <w:rPr>
                <w:rFonts w:ascii="Times New Roman" w:cs="Times New Roman" w:eastAsia="Times New Roman" w:hAnsi="Times New Roman"/>
                <w:sz w:val="20"/>
                <w:szCs w:val="20"/>
              </w:rPr>
              <w:t xml:space="preserve"> (fondatore di Emmaus), da Pierre Vidal-Naquet e Jean Cassou</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 Archivio storico del Senato, carteggio Mulinaris (https://patrimonio.archivio.senato.it/inventario/scheda/giacomo-mancini/IT-AFS-043-001944/carteggio-vanni-mulinaris)</w:t>
            </w:r>
          </w:p>
        </w:tc>
      </w:tr>
      <w:tr>
        <w:tc>
          <w:tcPr>
            <w:tcW w:type="dxa" w:w="3120"/>
          </w:tcPr>
          <w:p>
            <w:pPr>
              <w:spacing w:after="20" w:before="20"/>
              <w:jc w:val="left"/>
            </w:pPr>
            <w:r>
              <w:rPr>
                <w:rFonts w:ascii="Times New Roman" w:cs="Times New Roman" w:eastAsia="Times New Roman" w:hAnsi="Times New Roman"/>
                <w:sz w:val="20"/>
                <w:szCs w:val="20"/>
              </w:rPr>
              <w:t xml:space="preserve">HY-8</w:t>
            </w:r>
          </w:p>
        </w:tc>
        <w:tc>
          <w:tcPr>
            <w:tcW w:type="dxa" w:w="3120"/>
          </w:tcPr>
          <w:p>
            <w:pPr>
              <w:spacing w:after="20" w:before="20"/>
              <w:jc w:val="left"/>
            </w:pPr>
            <w:r>
              <w:rPr>
                <w:rFonts w:ascii="Times New Roman" w:cs="Times New Roman" w:eastAsia="Times New Roman" w:hAnsi="Times New Roman"/>
                <w:b/>
                <w:bCs/>
                <w:sz w:val="20"/>
                <w:szCs w:val="20"/>
              </w:rPr>
              <w:t xml:space="preserve">L'audizione parlamentare (2015).</w:t>
            </w:r>
            <w:r>
              <w:rPr>
                <w:rFonts w:ascii="Times New Roman" w:cs="Times New Roman" w:eastAsia="Times New Roman" w:hAnsi="Times New Roman"/>
                <w:sz w:val="20"/>
                <w:szCs w:val="20"/>
              </w:rPr>
              <w:t xml:space="preserve"> La </w:t>
            </w:r>
            <w:r>
              <w:rPr>
                <w:rFonts w:ascii="Times New Roman" w:cs="Times New Roman" w:eastAsia="Times New Roman" w:hAnsi="Times New Roman"/>
                <w:b/>
                <w:bCs/>
                <w:sz w:val="20"/>
                <w:szCs w:val="20"/>
              </w:rPr>
              <w:t xml:space="preserve">Commissione Moro 2</w:t>
            </w:r>
            <w:r>
              <w:rPr>
                <w:rFonts w:ascii="Times New Roman" w:cs="Times New Roman" w:eastAsia="Times New Roman" w:hAnsi="Times New Roman"/>
                <w:sz w:val="20"/>
                <w:szCs w:val="20"/>
              </w:rPr>
              <w:t xml:space="preserve"> riesaminò il nodo; il 28 ottobre 2015 audì </w:t>
            </w:r>
            <w:r>
              <w:rPr>
                <w:rFonts w:ascii="Times New Roman" w:cs="Times New Roman" w:eastAsia="Times New Roman" w:hAnsi="Times New Roman"/>
                <w:b/>
                <w:bCs/>
                <w:sz w:val="20"/>
                <w:szCs w:val="20"/>
              </w:rPr>
              <w:t xml:space="preserve">Duccio Berio</w:t>
            </w:r>
            <w:r>
              <w:rPr>
                <w:rFonts w:ascii="Times New Roman" w:cs="Times New Roman" w:eastAsia="Times New Roman" w:hAnsi="Times New Roman"/>
                <w:sz w:val="20"/>
                <w:szCs w:val="20"/>
              </w:rPr>
              <w:t xml:space="preserve">, che respinse ogni addebito («eravamo solo un gruppo di amici»). Il resoconto stenografico è agli atti della Camera</w:t>
            </w:r>
          </w:p>
        </w:tc>
        <w:tc>
          <w:tcPr>
            <w:tcW w:type="dxa" w:w="3120"/>
          </w:tcPr>
          <w:p>
            <w:pPr>
              <w:spacing w:after="20" w:before="20"/>
              <w:jc w:val="left"/>
            </w:pPr>
            <w:r>
              <w:rPr>
                <w:rFonts w:ascii="Times New Roman" w:cs="Times New Roman" w:eastAsia="Times New Roman" w:hAnsi="Times New Roman"/>
                <w:sz w:val="20"/>
                <w:szCs w:val="20"/>
              </w:rPr>
              <w:t xml:space="preserve">Camera, stenografico 28/10/2015 (https://documenti.camera.it/leg17/resoconti/commissioni/stenografici/html/68/audiz2/audizione/2015/10/28/stenografico.0056.html); Il Fatto Quotidiano (https://www.ilfattoquotidiano.it/2015/10/28/caso-moro-luomo-di-hyperion-alla-commissione-non-centriamo-nulla-eravamo-solo-un-gruppo-di-amici/2169499/)</w:t>
            </w:r>
          </w:p>
        </w:tc>
      </w:tr>
      <w:tr>
        <w:tc>
          <w:tcPr>
            <w:tcW w:type="dxa" w:w="3120"/>
          </w:tcPr>
          <w:p>
            <w:pPr>
              <w:spacing w:after="20" w:before="20"/>
              <w:jc w:val="left"/>
            </w:pPr>
            <w:r>
              <w:rPr>
                <w:rFonts w:ascii="Times New Roman" w:cs="Times New Roman" w:eastAsia="Times New Roman" w:hAnsi="Times New Roman"/>
                <w:sz w:val="20"/>
                <w:szCs w:val="20"/>
              </w:rPr>
              <w:t xml:space="preserve">HY-9</w:t>
            </w:r>
          </w:p>
        </w:tc>
        <w:tc>
          <w:tcPr>
            <w:tcW w:type="dxa" w:w="3120"/>
          </w:tcPr>
          <w:p>
            <w:pPr>
              <w:spacing w:after="20" w:before="20"/>
              <w:jc w:val="left"/>
            </w:pPr>
            <w:r>
              <w:rPr>
                <w:rFonts w:ascii="Times New Roman" w:cs="Times New Roman" w:eastAsia="Times New Roman" w:hAnsi="Times New Roman"/>
                <w:b/>
                <w:bCs/>
                <w:sz w:val="20"/>
                <w:szCs w:val="20"/>
              </w:rPr>
              <w:t xml:space="preserve">La letteratura qualificata.</w:t>
            </w:r>
            <w:r>
              <w:rPr>
                <w:rFonts w:ascii="Times New Roman" w:cs="Times New Roman" w:eastAsia="Times New Roman" w:hAnsi="Times New Roman"/>
                <w:sz w:val="20"/>
                <w:szCs w:val="20"/>
              </w:rPr>
              <w:t xml:space="preserve"> Il nodo ha una bibliografia d'autore: </w:t>
            </w:r>
            <w:r>
              <w:rPr>
                <w:rFonts w:ascii="Times New Roman" w:cs="Times New Roman" w:eastAsia="Times New Roman" w:hAnsi="Times New Roman"/>
                <w:i/>
                <w:iCs/>
                <w:sz w:val="20"/>
                <w:szCs w:val="20"/>
              </w:rPr>
              <w:t xml:space="preserve">Chi manovrava le Brigate rosse?</w:t>
            </w:r>
            <w:r>
              <w:rPr>
                <w:rFonts w:ascii="Times New Roman" w:cs="Times New Roman" w:eastAsia="Times New Roman" w:hAnsi="Times New Roman"/>
                <w:sz w:val="20"/>
                <w:szCs w:val="20"/>
              </w:rPr>
              <w:t xml:space="preserve"> di Silvano De Prospo e </w:t>
            </w:r>
            <w:r>
              <w:rPr>
                <w:rFonts w:ascii="Times New Roman" w:cs="Times New Roman" w:eastAsia="Times New Roman" w:hAnsi="Times New Roman"/>
                <w:b/>
                <w:bCs/>
                <w:sz w:val="20"/>
                <w:szCs w:val="20"/>
              </w:rPr>
              <w:t xml:space="preserve">Rosario Priore</w:t>
            </w:r>
            <w:r>
              <w:rPr>
                <w:rFonts w:ascii="Times New Roman" w:cs="Times New Roman" w:eastAsia="Times New Roman" w:hAnsi="Times New Roman"/>
                <w:sz w:val="20"/>
                <w:szCs w:val="20"/>
              </w:rPr>
              <w:t xml:space="preserve"> (Ponte alle Grazie, 2011) — scritto cioè dallo stesso magistrato che indagò: fonte di parte investigativa, qualificata ma non giudiziale</w:t>
            </w:r>
          </w:p>
        </w:tc>
        <w:tc>
          <w:tcPr>
            <w:tcW w:type="dxa" w:w="3120"/>
          </w:tcPr>
          <w:p>
            <w:pPr>
              <w:spacing w:after="20" w:before="20"/>
              <w:jc w:val="left"/>
            </w:pPr>
            <w:r>
              <w:rPr>
                <w:rFonts w:ascii="Times New Roman" w:cs="Times New Roman" w:eastAsia="Times New Roman" w:hAnsi="Times New Roman"/>
                <w:sz w:val="20"/>
                <w:szCs w:val="20"/>
              </w:rPr>
              <w:t xml:space="preserve">Scheda editoriale (https://www.unilibro.it/libro/de-prospo-silvano-priore-rosario/chi-manovrava-brigate-rosse-storia-misteri-dell-hyperion-parigi-scuola-lingue-centrale-terrorismo-internazionale/9788862201742)</w:t>
            </w:r>
          </w:p>
        </w:tc>
      </w:tr>
    </w:tbl>
    <w:p>
      <w:pPr>
        <w:spacing w:after="80"/>
      </w:pPr>
    </w:p>
    <w:p>
      <w:pPr>
        <w:pStyle w:val="Heading2"/>
        <w:spacing w:after="100" w:before="200"/>
      </w:pPr>
      <w:r>
        <w:rPr>
          <w:rFonts w:ascii="Times New Roman" w:cs="Times New Roman" w:eastAsia="Times New Roman" w:hAnsi="Times New Roman"/>
          <w:sz w:val="24"/>
          <w:szCs w:val="24"/>
        </w:rPr>
        <w:t xml:space="preserve">2. Le due tesi contrapposte — entrambe non provate</w:t>
      </w:r>
    </w:p>
    <w:p>
      <w:pPr>
        <w:spacing w:after="120" w:line="276"/>
        <w:jc w:val="both"/>
      </w:pPr>
      <w:r>
        <w:rPr>
          <w:rFonts w:ascii="Times New Roman" w:cs="Times New Roman" w:eastAsia="Times New Roman" w:hAnsi="Times New Roman"/>
          <w:sz w:val="24"/>
          <w:szCs w:val="24"/>
        </w:rPr>
        <w:t xml:space="preserve">Il nodo Hyperion è conteso da due narrazioni speculari, e la triangolazione deve trattarle simmetricamente.</w:t>
      </w:r>
    </w:p>
    <w:p>
      <w:pPr>
        <w:spacing w:after="120" w:line="276"/>
        <w:jc w:val="both"/>
      </w:pPr>
      <w:r>
        <w:rPr>
          <w:rFonts w:ascii="Times New Roman" w:cs="Times New Roman" w:eastAsia="Times New Roman" w:hAnsi="Times New Roman"/>
          <w:b/>
          <w:bCs/>
          <w:sz w:val="24"/>
          <w:szCs w:val="24"/>
        </w:rPr>
        <w:t xml:space="preserve">Tesi A — «la centrale del terrorismo internazionale».</w:t>
      </w:r>
      <w:r>
        <w:rPr>
          <w:rFonts w:ascii="Times New Roman" w:cs="Times New Roman" w:eastAsia="Times New Roman" w:hAnsi="Times New Roman"/>
          <w:sz w:val="24"/>
          <w:szCs w:val="24"/>
        </w:rPr>
        <w:t xml:space="preserve"> Hyperion come punto d'incontro fra BR, ETA, IRA e OLP e come «direzione strategica estera» della lotta armata italiana. Fondamenti: le dichiarazioni di pentiti, la convergenza temporale dell'ufficio romano (HY-4), i passaggi biografici Superclan→BR (HY-2). </w:t>
      </w:r>
      <w:r>
        <w:rPr>
          <w:rFonts w:ascii="Times New Roman" w:cs="Times New Roman" w:eastAsia="Times New Roman" w:hAnsi="Times New Roman"/>
          <w:b/>
          <w:bCs/>
          <w:sz w:val="24"/>
          <w:szCs w:val="24"/>
        </w:rPr>
        <w:t xml:space="preserve">Esito al vaglio:</w:t>
      </w:r>
      <w:r>
        <w:rPr>
          <w:rFonts w:ascii="Times New Roman" w:cs="Times New Roman" w:eastAsia="Times New Roman" w:hAnsi="Times New Roman"/>
          <w:sz w:val="24"/>
          <w:szCs w:val="24"/>
        </w:rPr>
        <w:t xml:space="preserve"> i procedimenti giudiziari costruiti su questa tesi si sono chiusi con proscioglimenti (HY-7); la Commissione Moro 2 l'ha riesaminata senza produrre accertamenti nuovi di grado giudiziario. </w:t>
      </w:r>
      <w:r>
        <w:rPr>
          <w:rFonts w:ascii="Times New Roman" w:cs="Times New Roman" w:eastAsia="Times New Roman" w:hAnsi="Times New Roman"/>
          <w:b/>
          <w:bCs/>
          <w:sz w:val="24"/>
          <w:szCs w:val="24"/>
        </w:rPr>
        <w:t xml:space="preserve">Resta congettura.</w:t>
      </w:r>
    </w:p>
    <w:p>
      <w:pPr>
        <w:spacing w:after="120" w:line="276"/>
        <w:jc w:val="both"/>
      </w:pPr>
      <w:r>
        <w:rPr>
          <w:rFonts w:ascii="Times New Roman" w:cs="Times New Roman" w:eastAsia="Times New Roman" w:hAnsi="Times New Roman"/>
          <w:b/>
          <w:bCs/>
          <w:sz w:val="24"/>
          <w:szCs w:val="24"/>
        </w:rPr>
        <w:t xml:space="preserve">Tesi B — «la centrale d'intelligence».</w:t>
      </w:r>
      <w:r>
        <w:rPr>
          <w:rFonts w:ascii="Times New Roman" w:cs="Times New Roman" w:eastAsia="Times New Roman" w:hAnsi="Times New Roman"/>
          <w:sz w:val="24"/>
          <w:szCs w:val="24"/>
        </w:rPr>
        <w:t xml:space="preserve"> Hyperion come struttura legata a servizi occidentali — nelle audizioni e nelle dichiarazioni di magistrati (in particolare Priore) si riferisce che il SISDE di Giulio Grassini chiese ai servizi francesi informazioni sulla sede «coperta» di Rouen ritenendola «sede di un servizio d'informazione collegato alla CIA», e che interventi fra servizi avrebbero frenato le indagini (Il Sussidiario, intervista (https://www.ilsussidiario.net/news/scuola-di-lingue-hyperion-copriva-terroristi-a-parigi-i-francesi-sapevano-tutto/2164445/)). </w:t>
      </w:r>
      <w:r>
        <w:rPr>
          <w:rFonts w:ascii="Times New Roman" w:cs="Times New Roman" w:eastAsia="Times New Roman" w:hAnsi="Times New Roman"/>
          <w:b/>
          <w:bCs/>
          <w:sz w:val="24"/>
          <w:szCs w:val="24"/>
        </w:rPr>
        <w:t xml:space="preserve">Esito al vaglio:</w:t>
      </w:r>
      <w:r>
        <w:rPr>
          <w:rFonts w:ascii="Times New Roman" w:cs="Times New Roman" w:eastAsia="Times New Roman" w:hAnsi="Times New Roman"/>
          <w:sz w:val="24"/>
          <w:szCs w:val="24"/>
        </w:rPr>
        <w:t xml:space="preserve"> si tratta di </w:t>
      </w:r>
      <w:r>
        <w:rPr>
          <w:rFonts w:ascii="Times New Roman" w:cs="Times New Roman" w:eastAsia="Times New Roman" w:hAnsi="Times New Roman"/>
          <w:b/>
          <w:bCs/>
          <w:sz w:val="24"/>
          <w:szCs w:val="24"/>
        </w:rPr>
        <w:t xml:space="preserve">testimonianze e valutazioni investigative qualificate</w:t>
      </w:r>
      <w:r>
        <w:rPr>
          <w:rFonts w:ascii="Times New Roman" w:cs="Times New Roman" w:eastAsia="Times New Roman" w:hAnsi="Times New Roman"/>
          <w:sz w:val="24"/>
          <w:szCs w:val="24"/>
        </w:rPr>
        <w:t xml:space="preserve"> — non di accertamenti giudiziari; nessuna sentenza le ha mai convalidate. </w:t>
      </w:r>
      <w:r>
        <w:rPr>
          <w:rFonts w:ascii="Times New Roman" w:cs="Times New Roman" w:eastAsia="Times New Roman" w:hAnsi="Times New Roman"/>
          <w:b/>
          <w:bCs/>
          <w:sz w:val="24"/>
          <w:szCs w:val="24"/>
        </w:rPr>
        <w:t xml:space="preserve">Resta congettura</w:t>
      </w:r>
      <w:r>
        <w:rPr>
          <w:rFonts w:ascii="Times New Roman" w:cs="Times New Roman" w:eastAsia="Times New Roman" w:hAnsi="Times New Roman"/>
          <w:sz w:val="24"/>
          <w:szCs w:val="24"/>
        </w:rPr>
        <w:t xml:space="preserve">, di rango testimoniale.</w:t>
      </w:r>
    </w:p>
    <w:p>
      <w:pPr>
        <w:spacing w:after="120" w:line="276"/>
        <w:jc w:val="both"/>
      </w:pPr>
      <w:r>
        <w:rPr>
          <w:rFonts w:ascii="Times New Roman" w:cs="Times New Roman" w:eastAsia="Times New Roman" w:hAnsi="Times New Roman"/>
          <w:sz w:val="24"/>
          <w:szCs w:val="24"/>
        </w:rPr>
        <w:t xml:space="preserve">Il punto metodologico, che è il contributo del corpus a questo nodo: </w:t>
      </w:r>
      <w:r>
        <w:rPr>
          <w:rFonts w:ascii="Times New Roman" w:cs="Times New Roman" w:eastAsia="Times New Roman" w:hAnsi="Times New Roman"/>
          <w:b/>
          <w:bCs/>
          <w:sz w:val="24"/>
          <w:szCs w:val="24"/>
        </w:rPr>
        <w:t xml:space="preserve">le due tesi non possono sommarsi in un generico «Hyperion era comunque qualcosa di torbido»</w:t>
      </w:r>
      <w:r>
        <w:rPr>
          <w:rFonts w:ascii="Times New Roman" w:cs="Times New Roman" w:eastAsia="Times New Roman" w:hAnsi="Times New Roman"/>
          <w:sz w:val="24"/>
          <w:szCs w:val="24"/>
        </w:rPr>
        <w:t xml:space="preserve">. Sono ipotesi alternative, ciascuna non provata; la loro coesistenza quarantennale nel discorso pubblico misura l'assenza di accertamento, non la sua abbondanza. Il «doppio sospetto» non è un grado di prova: è la forma che prende, in Italia, il vuoto probatorio.</w:t>
      </w:r>
    </w:p>
    <w:p>
      <w:pPr>
        <w:pStyle w:val="Heading2"/>
        <w:spacing w:after="100" w:before="200"/>
      </w:pPr>
      <w:r>
        <w:rPr>
          <w:rFonts w:ascii="Times New Roman" w:cs="Times New Roman" w:eastAsia="Times New Roman" w:hAnsi="Times New Roman"/>
          <w:sz w:val="24"/>
          <w:szCs w:val="24"/>
        </w:rPr>
        <w:t xml:space="preserve">3. I ponti con il corpus (BH-1…BH-4)</w:t>
      </w:r>
    </w:p>
    <w:p>
      <w:pPr>
        <w:pStyle w:val="Heading3"/>
        <w:spacing w:after="80" w:before="160"/>
      </w:pPr>
      <w:r>
        <w:rPr>
          <w:rFonts w:ascii="Times New Roman" w:cs="Times New Roman" w:eastAsia="Times New Roman" w:hAnsi="Times New Roman"/>
          <w:sz w:val="24"/>
          <w:szCs w:val="24"/>
        </w:rPr>
        <w:t xml:space="preserve">BH-1 · Con il fronte Feltrinelli e il nodo Pecorile (M-3) — ponte genealogico documentato</w:t>
      </w:r>
    </w:p>
    <w:p>
      <w:pPr>
        <w:spacing w:after="120" w:line="276"/>
        <w:jc w:val="both"/>
      </w:pPr>
      <w:r>
        <w:rPr>
          <w:rFonts w:ascii="Times New Roman" w:cs="Times New Roman" w:eastAsia="Times New Roman" w:hAnsi="Times New Roman"/>
          <w:sz w:val="24"/>
          <w:szCs w:val="24"/>
        </w:rPr>
        <w:t xml:space="preserve">La matrice del corpus data la nascita delle BR al convegno di Pecorile (agosto 1970), dentro l'area del CPM milanese. Hyperion vi si aggancia </w:t>
      </w:r>
      <w:r>
        <w:rPr>
          <w:rFonts w:ascii="Times New Roman" w:cs="Times New Roman" w:eastAsia="Times New Roman" w:hAnsi="Times New Roman"/>
          <w:b/>
          <w:bCs/>
          <w:sz w:val="24"/>
          <w:szCs w:val="24"/>
        </w:rPr>
        <w:t xml:space="preserve">a monte</w:t>
      </w:r>
      <w:r>
        <w:rPr>
          <w:rFonts w:ascii="Times New Roman" w:cs="Times New Roman" w:eastAsia="Times New Roman" w:hAnsi="Times New Roman"/>
          <w:sz w:val="24"/>
          <w:szCs w:val="24"/>
        </w:rPr>
        <w:t xml:space="preserve">: i suoi futuri fondatori furono co-fondatori del CPM (HY-1) e se ne separarono </w:t>
      </w:r>
      <w:r>
        <w:rPr>
          <w:rFonts w:ascii="Times New Roman" w:cs="Times New Roman" w:eastAsia="Times New Roman" w:hAnsi="Times New Roman"/>
          <w:b/>
          <w:bCs/>
          <w:sz w:val="24"/>
          <w:szCs w:val="24"/>
        </w:rPr>
        <w:t xml:space="preserve">prima</w:t>
      </w:r>
      <w:r>
        <w:rPr>
          <w:rFonts w:ascii="Times New Roman" w:cs="Times New Roman" w:eastAsia="Times New Roman" w:hAnsi="Times New Roman"/>
          <w:sz w:val="24"/>
          <w:szCs w:val="24"/>
        </w:rPr>
        <w:t xml:space="preserve"> della scelta armata di Curcio, formando il Superclan (HY-2). Il ponte documentato è dunque una </w:t>
      </w:r>
      <w:r>
        <w:rPr>
          <w:rFonts w:ascii="Times New Roman" w:cs="Times New Roman" w:eastAsia="Times New Roman" w:hAnsi="Times New Roman"/>
          <w:b/>
          <w:bCs/>
          <w:sz w:val="24"/>
          <w:szCs w:val="24"/>
        </w:rPr>
        <w:t xml:space="preserve">genealogia comune con biforcazione precoce</w:t>
      </w:r>
      <w:r>
        <w:rPr>
          <w:rFonts w:ascii="Times New Roman" w:cs="Times New Roman" w:eastAsia="Times New Roman" w:hAnsi="Times New Roman"/>
          <w:sz w:val="24"/>
          <w:szCs w:val="24"/>
        </w:rPr>
        <w:t xml:space="preserve">: stesso brodo di coltura, strade divise. Il passaggio di </w:t>
      </w:r>
      <w:r>
        <w:rPr>
          <w:rFonts w:ascii="Times New Roman" w:cs="Times New Roman" w:eastAsia="Times New Roman" w:hAnsi="Times New Roman"/>
          <w:b/>
          <w:bCs/>
          <w:sz w:val="24"/>
          <w:szCs w:val="24"/>
        </w:rPr>
        <w:t xml:space="preserve">Moretti</w:t>
      </w:r>
      <w:r>
        <w:rPr>
          <w:rFonts w:ascii="Times New Roman" w:cs="Times New Roman" w:eastAsia="Times New Roman" w:hAnsi="Times New Roman"/>
          <w:sz w:val="24"/>
          <w:szCs w:val="24"/>
        </w:rPr>
        <w:t xml:space="preserve"> — dal Superclan alle BR, fino alla direzione del sequestro Moro e, per sua ammissione (nodo P-1 della matrice), all'uccisione — è il filo biografico che tiene uniti i due rami; ma un filo biografico non è una catena di comando, e la triangolazione lo lascia dov'è.</w:t>
      </w:r>
    </w:p>
    <w:p>
      <w:pPr>
        <w:pStyle w:val="Heading3"/>
        <w:spacing w:after="80" w:before="160"/>
      </w:pPr>
      <w:r>
        <w:rPr>
          <w:rFonts w:ascii="Times New Roman" w:cs="Times New Roman" w:eastAsia="Times New Roman" w:hAnsi="Times New Roman"/>
          <w:sz w:val="24"/>
          <w:szCs w:val="24"/>
        </w:rPr>
        <w:t xml:space="preserve">BH-2 · Con la Parte terza dell'opera morotea (il «quadro internazionale») — ponte tematico</w:t>
      </w:r>
    </w:p>
    <w:p>
      <w:pPr>
        <w:spacing w:after="120" w:line="276"/>
        <w:jc w:val="both"/>
      </w:pPr>
      <w:r>
        <w:rPr>
          <w:rFonts w:ascii="Times New Roman" w:cs="Times New Roman" w:eastAsia="Times New Roman" w:hAnsi="Times New Roman"/>
          <w:sz w:val="24"/>
          <w:szCs w:val="24"/>
        </w:rPr>
        <w:t xml:space="preserve">Il dossier falsificazionista del corpus tratta le questioni aperte del caso Moro assegnando a ciascuna grado di prova e criterio di smentita. Hyperion appartiene a quel capitolo come </w:t>
      </w:r>
      <w:r>
        <w:rPr>
          <w:rFonts w:ascii="Times New Roman" w:cs="Times New Roman" w:eastAsia="Times New Roman" w:hAnsi="Times New Roman"/>
          <w:b/>
          <w:bCs/>
          <w:sz w:val="24"/>
          <w:szCs w:val="24"/>
        </w:rPr>
        <w:t xml:space="preserve">caso di scuola</w:t>
      </w:r>
      <w:r>
        <w:rPr>
          <w:rFonts w:ascii="Times New Roman" w:cs="Times New Roman" w:eastAsia="Times New Roman" w:hAnsi="Times New Roman"/>
          <w:sz w:val="24"/>
          <w:szCs w:val="24"/>
        </w:rPr>
        <w:t xml:space="preserve">: l'ipotesi di una direzione estera delle BR — di qualunque segno — non ha mai superato il vaglio giudiziario. Il criterio di smentita per entrambe le tesi del § 2 è identico e semplice: </w:t>
      </w:r>
      <w:r>
        <w:rPr>
          <w:rFonts w:ascii="Times New Roman" w:cs="Times New Roman" w:eastAsia="Times New Roman" w:hAnsi="Times New Roman"/>
          <w:b/>
          <w:bCs/>
          <w:sz w:val="24"/>
          <w:szCs w:val="24"/>
        </w:rPr>
        <w:t xml:space="preserve">un documento d'archivio o una sentenza</w:t>
      </w:r>
      <w:r>
        <w:rPr>
          <w:rFonts w:ascii="Times New Roman" w:cs="Times New Roman" w:eastAsia="Times New Roman" w:hAnsi="Times New Roman"/>
          <w:sz w:val="24"/>
          <w:szCs w:val="24"/>
        </w:rPr>
        <w:t xml:space="preserve"> che stabilisca l'affiliazione. In quarant'anni non è emerso né l'uno né l'altra.</w:t>
      </w:r>
    </w:p>
    <w:p>
      <w:pPr>
        <w:pStyle w:val="Heading3"/>
        <w:spacing w:after="80" w:before="160"/>
      </w:pPr>
      <w:r>
        <w:rPr>
          <w:rFonts w:ascii="Times New Roman" w:cs="Times New Roman" w:eastAsia="Times New Roman" w:hAnsi="Times New Roman"/>
          <w:sz w:val="24"/>
          <w:szCs w:val="24"/>
        </w:rPr>
        <w:t xml:space="preserve">BH-3 · Con il nodo M-5 («l'ombra statunitense») — simmetria di metodo</w:t>
      </w:r>
    </w:p>
    <w:p>
      <w:pPr>
        <w:spacing w:after="120" w:line="276"/>
        <w:jc w:val="both"/>
      </w:pPr>
      <w:r>
        <w:rPr>
          <w:rFonts w:ascii="Times New Roman" w:cs="Times New Roman" w:eastAsia="Times New Roman" w:hAnsi="Times New Roman"/>
          <w:sz w:val="24"/>
          <w:szCs w:val="24"/>
        </w:rPr>
        <w:t xml:space="preserve">La matrice Guevara-Moro registra fatti americani documentati sulle due morti senza promuoverli a regia. La tesi B su Hyperion (§ 2) chiede lo stesso trattamento: le dichiarazioni sul SISDE e sulla CIA sono </w:t>
      </w:r>
      <w:r>
        <w:rPr>
          <w:rFonts w:ascii="Times New Roman" w:cs="Times New Roman" w:eastAsia="Times New Roman" w:hAnsi="Times New Roman"/>
          <w:b/>
          <w:bCs/>
          <w:sz w:val="24"/>
          <w:szCs w:val="24"/>
        </w:rPr>
        <w:t xml:space="preserve">fatti testimoniali documentati</w:t>
      </w:r>
      <w:r>
        <w:rPr>
          <w:rFonts w:ascii="Times New Roman" w:cs="Times New Roman" w:eastAsia="Times New Roman" w:hAnsi="Times New Roman"/>
          <w:sz w:val="24"/>
          <w:szCs w:val="24"/>
        </w:rPr>
        <w:t xml:space="preserve"> (qualcuno le ha rese, in sedi qualificate) la cui </w:t>
      </w:r>
      <w:r>
        <w:rPr>
          <w:rFonts w:ascii="Times New Roman" w:cs="Times New Roman" w:eastAsia="Times New Roman" w:hAnsi="Times New Roman"/>
          <w:b/>
          <w:bCs/>
          <w:sz w:val="24"/>
          <w:szCs w:val="24"/>
        </w:rPr>
        <w:t xml:space="preserve">verità sostanziale resta non accertata</w:t>
      </w:r>
      <w:r>
        <w:rPr>
          <w:rFonts w:ascii="Times New Roman" w:cs="Times New Roman" w:eastAsia="Times New Roman" w:hAnsi="Times New Roman"/>
          <w:sz w:val="24"/>
          <w:szCs w:val="24"/>
        </w:rPr>
        <w:t xml:space="preserve">. Documentare l'esistenza di una testimonianza non è documentare ciò che essa afferma: è la distinzione su cui il corpus è costruito.</w:t>
      </w:r>
    </w:p>
    <w:p>
      <w:pPr>
        <w:pStyle w:val="Heading3"/>
        <w:spacing w:after="80" w:before="160"/>
      </w:pPr>
      <w:r>
        <w:rPr>
          <w:rFonts w:ascii="Times New Roman" w:cs="Times New Roman" w:eastAsia="Times New Roman" w:hAnsi="Times New Roman"/>
          <w:sz w:val="24"/>
          <w:szCs w:val="24"/>
        </w:rPr>
        <w:t xml:space="preserve">BH-4 · Con la convergenza temporale di via Nicotera (HY-4) — convergenza, da non promuovere</w:t>
      </w:r>
    </w:p>
    <w:p>
      <w:pPr>
        <w:spacing w:after="120" w:line="276"/>
        <w:jc w:val="both"/>
      </w:pPr>
      <w:r>
        <w:rPr>
          <w:rFonts w:ascii="Times New Roman" w:cs="Times New Roman" w:eastAsia="Times New Roman" w:hAnsi="Times New Roman"/>
          <w:sz w:val="24"/>
          <w:szCs w:val="24"/>
        </w:rPr>
        <w:t xml:space="preserve">L'apertura dell'ufficio romano un mese prima di via Fani, in uno stabile condiviso con coperture SISMI, è il tipo esatto di dato che la dietrologia trasforma in prova. Il corpus lo registra per ciò che è: una </w:t>
      </w:r>
      <w:r>
        <w:rPr>
          <w:rFonts w:ascii="Times New Roman" w:cs="Times New Roman" w:eastAsia="Times New Roman" w:hAnsi="Times New Roman"/>
          <w:b/>
          <w:bCs/>
          <w:sz w:val="24"/>
          <w:szCs w:val="24"/>
        </w:rPr>
        <w:t xml:space="preserve">convergenza di tempo e di luogo</w:t>
      </w:r>
      <w:r>
        <w:rPr>
          <w:rFonts w:ascii="Times New Roman" w:cs="Times New Roman" w:eastAsia="Times New Roman" w:hAnsi="Times New Roman"/>
          <w:sz w:val="24"/>
          <w:szCs w:val="24"/>
        </w:rPr>
        <w:t xml:space="preserve">, documentata e mai tradotta in alcun accertamento di responsabilità. Vale la regola dell'intero lavoro: la convergenza non si promuove a nesso.</w:t>
      </w:r>
    </w:p>
    <w:p>
      <w:pPr>
        <w:pStyle w:val="Heading2"/>
        <w:spacing w:after="100" w:before="200"/>
      </w:pPr>
      <w:r>
        <w:rPr>
          <w:rFonts w:ascii="Times New Roman" w:cs="Times New Roman" w:eastAsia="Times New Roman" w:hAnsi="Times New Roman"/>
          <w:sz w:val="24"/>
          <w:szCs w:val="24"/>
        </w:rPr>
        <w:t xml:space="preserve">4. Anti-triangolazioni (ATH-1…ATH-3)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Anti-triangolazione</w:t>
            </w:r>
          </w:p>
        </w:tc>
      </w:tr>
      <w:tr>
        <w:tc>
          <w:tcPr>
            <w:tcW w:type="dxa" w:w="4680"/>
          </w:tcPr>
          <w:p>
            <w:pPr>
              <w:spacing w:after="20" w:before="20"/>
              <w:jc w:val="left"/>
            </w:pPr>
            <w:r>
              <w:rPr>
                <w:rFonts w:ascii="Times New Roman" w:cs="Times New Roman" w:eastAsia="Times New Roman" w:hAnsi="Times New Roman"/>
                <w:sz w:val="20"/>
                <w:szCs w:val="20"/>
              </w:rPr>
              <w:t xml:space="preserve">ATH-1</w:t>
            </w:r>
          </w:p>
        </w:tc>
        <w:tc>
          <w:tcPr>
            <w:tcW w:type="dxa" w:w="4680"/>
          </w:tcPr>
          <w:p>
            <w:pPr>
              <w:spacing w:after="20" w:before="20"/>
              <w:jc w:val="left"/>
            </w:pPr>
            <w:r>
              <w:rPr>
                <w:rFonts w:ascii="Times New Roman" w:cs="Times New Roman" w:eastAsia="Times New Roman" w:hAnsi="Times New Roman"/>
                <w:b/>
                <w:bCs/>
                <w:sz w:val="20"/>
                <w:szCs w:val="20"/>
              </w:rPr>
              <w:t xml:space="preserve">Nessuna condanna, presunzione d'innocenza piena.</w:t>
            </w:r>
            <w:r>
              <w:rPr>
                <w:rFonts w:ascii="Times New Roman" w:cs="Times New Roman" w:eastAsia="Times New Roman" w:hAnsi="Times New Roman"/>
                <w:sz w:val="20"/>
                <w:szCs w:val="20"/>
              </w:rPr>
              <w:t xml:space="preserve"> I fondatori di Hyperion furono indagati e </w:t>
            </w:r>
            <w:r>
              <w:rPr>
                <w:rFonts w:ascii="Times New Roman" w:cs="Times New Roman" w:eastAsia="Times New Roman" w:hAnsi="Times New Roman"/>
                <w:b/>
                <w:bCs/>
                <w:sz w:val="20"/>
                <w:szCs w:val="20"/>
              </w:rPr>
              <w:t xml:space="preserve">prosciolti</w:t>
            </w:r>
            <w:r>
              <w:rPr>
                <w:rFonts w:ascii="Times New Roman" w:cs="Times New Roman" w:eastAsia="Times New Roman" w:hAnsi="Times New Roman"/>
                <w:sz w:val="20"/>
                <w:szCs w:val="20"/>
              </w:rPr>
              <w:t xml:space="preserve">. Ogni uso del loro nome come «responsabili» di alcunché è fuori dal terreno documentato e fuori dalla disciplina del corpus</w:t>
            </w:r>
          </w:p>
        </w:tc>
      </w:tr>
      <w:tr>
        <w:tc>
          <w:tcPr>
            <w:tcW w:type="dxa" w:w="4680"/>
          </w:tcPr>
          <w:p>
            <w:pPr>
              <w:spacing w:after="20" w:before="20"/>
              <w:jc w:val="left"/>
            </w:pPr>
            <w:r>
              <w:rPr>
                <w:rFonts w:ascii="Times New Roman" w:cs="Times New Roman" w:eastAsia="Times New Roman" w:hAnsi="Times New Roman"/>
                <w:sz w:val="20"/>
                <w:szCs w:val="20"/>
              </w:rPr>
              <w:t xml:space="preserve">ATH-2</w:t>
            </w:r>
          </w:p>
        </w:tc>
        <w:tc>
          <w:tcPr>
            <w:tcW w:type="dxa" w:w="4680"/>
          </w:tcPr>
          <w:p>
            <w:pPr>
              <w:spacing w:after="20" w:before="20"/>
              <w:jc w:val="left"/>
            </w:pPr>
            <w:r>
              <w:rPr>
                <w:rFonts w:ascii="Times New Roman" w:cs="Times New Roman" w:eastAsia="Times New Roman" w:hAnsi="Times New Roman"/>
                <w:b/>
                <w:bCs/>
                <w:sz w:val="20"/>
                <w:szCs w:val="20"/>
              </w:rPr>
              <w:t xml:space="preserve">Le due tesi non si sommano.</w:t>
            </w:r>
            <w:r>
              <w:rPr>
                <w:rFonts w:ascii="Times New Roman" w:cs="Times New Roman" w:eastAsia="Times New Roman" w:hAnsi="Times New Roman"/>
                <w:sz w:val="20"/>
                <w:szCs w:val="20"/>
              </w:rPr>
              <w:t xml:space="preserve"> «Centrale del terrorismo» e «centrale d'intelligence» sono congetture alternative; il doppio sospetto non costituisce un grado di prova intermedio. Chi le somma commette due volte l'errore che il corpus chiama promozione della convergenza a nesso</w:t>
            </w:r>
          </w:p>
        </w:tc>
      </w:tr>
      <w:tr>
        <w:tc>
          <w:tcPr>
            <w:tcW w:type="dxa" w:w="4680"/>
          </w:tcPr>
          <w:p>
            <w:pPr>
              <w:spacing w:after="20" w:before="20"/>
              <w:jc w:val="left"/>
            </w:pPr>
            <w:r>
              <w:rPr>
                <w:rFonts w:ascii="Times New Roman" w:cs="Times New Roman" w:eastAsia="Times New Roman" w:hAnsi="Times New Roman"/>
                <w:sz w:val="20"/>
                <w:szCs w:val="20"/>
              </w:rPr>
              <w:t xml:space="preserve">ATH-3</w:t>
            </w:r>
          </w:p>
        </w:tc>
        <w:tc>
          <w:tcPr>
            <w:tcW w:type="dxa" w:w="4680"/>
          </w:tcPr>
          <w:p>
            <w:pPr>
              <w:spacing w:after="20" w:before="20"/>
              <w:jc w:val="left"/>
            </w:pPr>
            <w:r>
              <w:rPr>
                <w:rFonts w:ascii="Times New Roman" w:cs="Times New Roman" w:eastAsia="Times New Roman" w:hAnsi="Times New Roman"/>
                <w:b/>
                <w:bCs/>
                <w:sz w:val="20"/>
                <w:szCs w:val="20"/>
              </w:rPr>
              <w:t xml:space="preserve">Il filo Moretti non è una catena di comando.</w:t>
            </w:r>
            <w:r>
              <w:rPr>
                <w:rFonts w:ascii="Times New Roman" w:cs="Times New Roman" w:eastAsia="Times New Roman" w:hAnsi="Times New Roman"/>
                <w:sz w:val="20"/>
                <w:szCs w:val="20"/>
              </w:rPr>
              <w:t xml:space="preserve"> Il passaggio biografico Superclan→BR di Moretti è documentato; la deduzione che le BR fossero eterodirette attraverso quel filo non lo è, e i processi — che pure disponevano delle dichiarazioni dei pentiti — non l'hanno accertata</w:t>
            </w:r>
          </w:p>
        </w:tc>
      </w:tr>
    </w:tbl>
    <w:p>
      <w:pPr>
        <w:spacing w:after="80"/>
      </w:pPr>
    </w:p>
    <w:p>
      <w:pPr>
        <w:pStyle w:val="Heading2"/>
        <w:spacing w:after="100" w:before="200"/>
      </w:pPr>
      <w:r>
        <w:rPr>
          <w:rFonts w:ascii="Times New Roman" w:cs="Times New Roman" w:eastAsia="Times New Roman" w:hAnsi="Times New Roman"/>
          <w:sz w:val="24"/>
          <w:szCs w:val="24"/>
        </w:rPr>
        <w:t xml:space="preserve">5. Registro di esecuzione</w:t>
      </w:r>
    </w:p>
    <w:p>
      <w:pPr>
        <w:pStyle w:val="ListParagraph"/>
        <w:numPr>
          <w:ilvl w:val="0"/>
          <w:numId w:val="1"/>
        </w:numPr>
        <w:spacing w:after="40"/>
        <w:jc w:val="both"/>
      </w:pPr>
      <w:r>
        <w:rPr>
          <w:rFonts w:ascii="Times New Roman" w:cs="Times New Roman" w:eastAsia="Times New Roman" w:hAnsi="Times New Roman"/>
          <w:sz w:val="24"/>
          <w:szCs w:val="24"/>
        </w:rPr>
        <w:t xml:space="preserve">Nodi documentati: </w:t>
      </w: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(HY-1…HY-9), tutti con fonte citata; verifiche web dedicate eseguite in sessione: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sz w:val="24"/>
          <w:szCs w:val="24"/>
        </w:rPr>
        <w:t xml:space="preserve">Tesi vagliate e lasciate al grado di congettura: </w:t>
      </w: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 2), con criterio di smentita comune dichiarato (BH-2).</w:t>
      </w:r>
    </w:p>
    <w:p>
      <w:pPr>
        <w:pStyle w:val="ListParagraph"/>
        <w:numPr>
          <w:ilvl w:val="0"/>
          <w:numId w:val="1"/>
        </w:numPr>
        <w:spacing w:after="40"/>
        <w:jc w:val="both"/>
      </w:pPr>
      <w:r>
        <w:rPr>
          <w:rFonts w:ascii="Times New Roman" w:cs="Times New Roman" w:eastAsia="Times New Roman" w:hAnsi="Times New Roman"/>
          <w:sz w:val="24"/>
          <w:szCs w:val="24"/>
        </w:rPr>
        <w:t xml:space="preserve">Ponti con il corpus: </w:t>
      </w: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(BH-1 genealogico documentato; BH-2 tematico; BH-3 simmetria di metodo; BH-4 convergenza dichiarata).</w:t>
      </w:r>
    </w:p>
    <w:p>
      <w:pPr>
        <w:pStyle w:val="ListParagraph"/>
        <w:numPr>
          <w:ilvl w:val="0"/>
          <w:numId w:val="1"/>
        </w:numPr>
        <w:spacing w:after="40"/>
        <w:jc w:val="both"/>
      </w:pPr>
      <w:r>
        <w:rPr>
          <w:rFonts w:ascii="Times New Roman" w:cs="Times New Roman" w:eastAsia="Times New Roman" w:hAnsi="Times New Roman"/>
          <w:sz w:val="24"/>
          <w:szCs w:val="24"/>
        </w:rPr>
        <w:t xml:space="preserve">Anti-triangolazioni: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sz w:val="24"/>
          <w:szCs w:val="24"/>
        </w:rPr>
        <w:t xml:space="preserve">Il nodo </w:t>
      </w:r>
      <w:r>
        <w:rPr>
          <w:rFonts w:ascii="Times New Roman" w:cs="Times New Roman" w:eastAsia="Times New Roman" w:hAnsi="Times New Roman"/>
          <w:b/>
          <w:bCs/>
          <w:sz w:val="24"/>
          <w:szCs w:val="24"/>
        </w:rPr>
        <w:t xml:space="preserve">non è inserito</w:t>
      </w:r>
      <w:r>
        <w:rPr>
          <w:rFonts w:ascii="Times New Roman" w:cs="Times New Roman" w:eastAsia="Times New Roman" w:hAnsi="Times New Roman"/>
          <w:sz w:val="24"/>
          <w:szCs w:val="24"/>
        </w:rPr>
        <w:t xml:space="preserve"> nella cronologia sinottica: quella registra solo fatti documentati dei tre fili (Guevara, mito, Moro), e Hyperion vi apparterrebbe solo per via di tesi non provate.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Triangolazione del nodo Hyperion con il corpus. Fondatori nominati solo per fatti pubblici e con esiti giudiziari liberatori esplicitati; le due tesi contrapposte lasciate entrambe al grado di congettura con criterio di smentita dichiarato. Nessuna imputazione oltre il giudicato — qui, dove il giudicato assolve, la formula significa: nessuna imputazione.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2026-08-25T09:23:28.450Z</dcterms:created>
  <dcterms:modified xsi:type="dcterms:W3CDTF">2026-08-25T09:23:28.466Z</dcterms:modified>
</cp:coreProperties>
</file>

<file path=docProps/custom.xml><?xml version="1.0" encoding="utf-8"?>
<Properties xmlns="http://schemas.openxmlformats.org/officeDocument/2006/custom-properties" xmlns:vt="http://schemas.openxmlformats.org/officeDocument/2006/docPropsVTypes"/>
</file>