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Il fascicolo aperto</w:t>
      </w:r>
    </w:p>
    <w:p>
      <w:pPr>
        <w:spacing w:after="120" w:line="276"/>
        <w:jc w:val="both"/>
      </w:pPr>
      <w:r>
        <w:rPr>
          <w:rFonts w:ascii="Barlow Semi Condensed" w:cs="Barlow Semi Condensed" w:eastAsia="Barlow Semi Condensed" w:hAnsi="Barlow Semi Condensed"/>
          <w:b/>
          <w:bCs/>
          <w:sz w:val="24"/>
          <w:szCs w:val="24"/>
        </w:rPr>
        <w:t xml:space="preserve">Il programma investigativo integrale · le piste con punteggio · le schede operative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Il volume raccoglie l'intero versante investigativo del corpus. </w:t>
      </w:r>
      <w:r>
        <w:rPr>
          <w:rFonts w:ascii="Barlow Semi Condensed" w:cs="Barlow Semi Condensed" w:eastAsia="Barlow Semi Condensed" w:hAnsi="Barlow Semi Condensed"/>
          <w:b/>
          <w:bCs/>
          <w:i w:val="false"/>
          <w:iCs w:val="false"/>
          <w:sz w:val="24"/>
          <w:szCs w:val="24"/>
        </w:rPr>
        <w:t xml:space="preserve">Parte prima</w:t>
      </w:r>
      <w:r>
        <w:rPr>
          <w:rFonts w:ascii="Barlow Semi Condensed" w:cs="Barlow Semi Condensed" w:eastAsia="Barlow Semi Condensed" w:hAnsi="Barlow Semi Condensed"/>
          <w:i w:val="false"/>
          <w:iCs w:val="false"/>
          <w:sz w:val="24"/>
          <w:szCs w:val="24"/>
        </w:rPr>
        <w:t xml:space="preserve">: il programma — il cambio di metodo dallo storico all'investigatore a regime di prova invariato, il quadro operativo reale (il fascicolo ancora aperto a Roma; la Direttiva Renzi), le dieci piste in formato operativo, la graduatoria a punteggio delle piste escluso il comparto BR e Superclan (modello dichiarato in cinque criteri pesati), le piste su entità e strutture con punteggio, la matrice delle priorità e i presidi. </w:t>
      </w:r>
      <w:r>
        <w:rPr>
          <w:rFonts w:ascii="Barlow Semi Condensed" w:cs="Barlow Semi Condensed" w:eastAsia="Barlow Semi Condensed" w:hAnsi="Barlow Semi Condensed"/>
          <w:b/>
          <w:bCs/>
          <w:i w:val="false"/>
          <w:iCs w:val="false"/>
          <w:sz w:val="24"/>
          <w:szCs w:val="24"/>
        </w:rPr>
        <w:t xml:space="preserve">Parte seconda</w:t>
      </w:r>
      <w:r>
        <w:rPr>
          <w:rFonts w:ascii="Barlow Semi Condensed" w:cs="Barlow Semi Condensed" w:eastAsia="Barlow Semi Condensed" w:hAnsi="Barlow Semi Condensed"/>
          <w:i w:val="false"/>
          <w:iCs w:val="false"/>
          <w:sz w:val="24"/>
          <w:szCs w:val="24"/>
        </w:rPr>
        <w:t xml:space="preserve">: le schede operative delle piste di testa, con la Nota di revisione n. 1 (la testimonianza Marini). </w:t>
      </w:r>
      <w:r>
        <w:rPr>
          <w:rFonts w:ascii="Barlow Semi Condensed" w:cs="Barlow Semi Condensed" w:eastAsia="Barlow Semi Condensed" w:hAnsi="Barlow Semi Condensed"/>
          <w:b/>
          <w:bCs/>
          <w:i w:val="false"/>
          <w:iCs w:val="false"/>
          <w:sz w:val="24"/>
          <w:szCs w:val="24"/>
        </w:rPr>
        <w:t xml:space="preserve">Parte terza</w:t>
      </w:r>
      <w:r>
        <w:rPr>
          <w:rFonts w:ascii="Barlow Semi Condensed" w:cs="Barlow Semi Condensed" w:eastAsia="Barlow Semi Condensed" w:hAnsi="Barlow Semi Condensed"/>
          <w:i w:val="false"/>
          <w:iCs w:val="false"/>
          <w:sz w:val="24"/>
          <w:szCs w:val="24"/>
        </w:rPr>
        <w:t xml:space="preserve">: le sei schede delle entità (i comitati del Viminale; i trenta giorni di via Gradoli; il condominio e le sue date; la mediazione vaticana; gli alleati e la regola dell'originatore; il registro delle segnalazioni). </w:t>
      </w:r>
      <w:r>
        <w:rPr>
          <w:rFonts w:ascii="Barlow Semi Condensed" w:cs="Barlow Semi Condensed" w:eastAsia="Barlow Semi Condensed" w:hAnsi="Barlow Semi Condensed"/>
          <w:b/>
          <w:bCs/>
          <w:i w:val="false"/>
          <w:iCs w:val="false"/>
          <w:sz w:val="24"/>
          <w:szCs w:val="24"/>
        </w:rPr>
        <w:t xml:space="preserve">Parte quarta</w:t>
      </w:r>
      <w:r>
        <w:rPr>
          <w:rFonts w:ascii="Barlow Semi Condensed" w:cs="Barlow Semi Condensed" w:eastAsia="Barlow Semi Condensed" w:hAnsi="Barlow Semi Condensed"/>
          <w:i w:val="false"/>
          <w:iCs w:val="false"/>
          <w:sz w:val="24"/>
          <w:szCs w:val="24"/>
        </w:rPr>
        <w:t xml:space="preserve">: il manuale operativo del nuovo Caso Moro in quattrocento blocchi mirati (seconda edizione), ordinati in quindici serie con statuto.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Un'indagine produce atti, non colpevoli. Nessuna pista ha un nome come esito atteso; le ipotesi restano in forma ACH e nessuna probabilità numerica è assegnata alle persone; i punteggi ordinano atti istruttori; l'iscrizione a un'associazione è un fatto e mai la prova di una condotta; la negligenza non diventa dolo per impazienza; gli assolti restano assolti e il registro del giudicato resta l'unico luogo dei nomi. Ogni fatto è stato verificato su fonti prima della stesura, con gli indirizzi riportati per la tracciabilità.</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Parte prima —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seconda —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terza — Le schede delle entità e strutture</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quarta — Il manuale del nuovo Caso Moro in quattrocento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2026-08-25T17:32:07.503Z</dcterms:created>
  <dcterms:modified xsi:type="dcterms:W3CDTF">2026-08-25T17:32:07.503Z</dcterms:modified>
</cp:coreProperties>
</file>

<file path=docProps/custom.xml><?xml version="1.0" encoding="utf-8"?>
<Properties xmlns="http://schemas.openxmlformats.org/officeDocument/2006/custom-properties" xmlns:vt="http://schemas.openxmlformats.org/officeDocument/2006/docPropsVTypes"/>
</file>